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3DA76">
      <w:pPr>
        <w:pStyle w:val="2"/>
        <w:spacing w:line="252" w:lineRule="auto"/>
      </w:pPr>
    </w:p>
    <w:p w14:paraId="01AF2D08">
      <w:pPr>
        <w:pStyle w:val="2"/>
        <w:spacing w:line="252" w:lineRule="auto"/>
      </w:pPr>
    </w:p>
    <w:p w14:paraId="01531B19">
      <w:pPr>
        <w:pStyle w:val="2"/>
        <w:spacing w:line="252" w:lineRule="auto"/>
      </w:pPr>
    </w:p>
    <w:p w14:paraId="2999A435">
      <w:pPr>
        <w:pStyle w:val="2"/>
        <w:spacing w:line="253" w:lineRule="auto"/>
      </w:pPr>
    </w:p>
    <w:p w14:paraId="03644F78">
      <w:pPr>
        <w:pStyle w:val="2"/>
        <w:spacing w:line="253" w:lineRule="auto"/>
      </w:pPr>
    </w:p>
    <w:p w14:paraId="51E97DA5">
      <w:pPr>
        <w:pStyle w:val="2"/>
        <w:spacing w:line="253" w:lineRule="auto"/>
      </w:pPr>
    </w:p>
    <w:p w14:paraId="24E92044">
      <w:pPr>
        <w:pStyle w:val="2"/>
        <w:spacing w:line="253" w:lineRule="auto"/>
      </w:pPr>
    </w:p>
    <w:p w14:paraId="7AB54A35">
      <w:pPr>
        <w:pStyle w:val="2"/>
        <w:spacing w:line="253" w:lineRule="auto"/>
      </w:pPr>
    </w:p>
    <w:p w14:paraId="32F4B555">
      <w:pPr>
        <w:pStyle w:val="2"/>
        <w:spacing w:line="253" w:lineRule="auto"/>
      </w:pPr>
    </w:p>
    <w:p w14:paraId="281F911B">
      <w:pPr>
        <w:spacing w:before="169" w:line="220" w:lineRule="auto"/>
        <w:ind w:left="210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运维服务改进制度</w:t>
      </w:r>
    </w:p>
    <w:p w14:paraId="33C22358">
      <w:pPr>
        <w:pStyle w:val="2"/>
        <w:spacing w:line="259" w:lineRule="auto"/>
      </w:pPr>
    </w:p>
    <w:p w14:paraId="49150116">
      <w:pPr>
        <w:pStyle w:val="2"/>
        <w:spacing w:line="259" w:lineRule="auto"/>
      </w:pPr>
    </w:p>
    <w:p w14:paraId="79D9E8C6">
      <w:pPr>
        <w:pStyle w:val="2"/>
        <w:spacing w:line="259" w:lineRule="auto"/>
      </w:pPr>
    </w:p>
    <w:p w14:paraId="47EE871D">
      <w:pPr>
        <w:pStyle w:val="2"/>
        <w:spacing w:line="259" w:lineRule="auto"/>
      </w:pPr>
    </w:p>
    <w:p w14:paraId="4D1B6383">
      <w:pPr>
        <w:pStyle w:val="2"/>
        <w:spacing w:line="259" w:lineRule="auto"/>
      </w:pPr>
    </w:p>
    <w:p w14:paraId="64BA1337">
      <w:pPr>
        <w:pStyle w:val="2"/>
        <w:spacing w:line="260" w:lineRule="auto"/>
      </w:pPr>
    </w:p>
    <w:p w14:paraId="78DDD09E">
      <w:pPr>
        <w:pStyle w:val="2"/>
        <w:spacing w:line="260" w:lineRule="auto"/>
      </w:pPr>
    </w:p>
    <w:p w14:paraId="2D65CDB4">
      <w:pPr>
        <w:pStyle w:val="2"/>
        <w:spacing w:line="260" w:lineRule="auto"/>
      </w:pPr>
    </w:p>
    <w:p w14:paraId="59C2D6DA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0AF9">
      <w:pPr>
        <w:pStyle w:val="2"/>
        <w:spacing w:line="248" w:lineRule="auto"/>
      </w:pPr>
    </w:p>
    <w:p w14:paraId="7AB12FD4">
      <w:pPr>
        <w:pStyle w:val="2"/>
        <w:spacing w:line="248" w:lineRule="auto"/>
      </w:pPr>
    </w:p>
    <w:p w14:paraId="6F35C556">
      <w:pPr>
        <w:pStyle w:val="2"/>
        <w:spacing w:line="248" w:lineRule="auto"/>
      </w:pPr>
    </w:p>
    <w:p w14:paraId="39A69BAE">
      <w:pPr>
        <w:pStyle w:val="2"/>
        <w:spacing w:line="248" w:lineRule="auto"/>
      </w:pPr>
    </w:p>
    <w:p w14:paraId="45570563">
      <w:pPr>
        <w:pStyle w:val="2"/>
        <w:spacing w:line="248" w:lineRule="auto"/>
      </w:pPr>
    </w:p>
    <w:p w14:paraId="27AED50B">
      <w:pPr>
        <w:pStyle w:val="2"/>
        <w:spacing w:line="248" w:lineRule="auto"/>
      </w:pPr>
    </w:p>
    <w:p w14:paraId="7098F40B">
      <w:pPr>
        <w:pStyle w:val="2"/>
        <w:spacing w:line="248" w:lineRule="auto"/>
      </w:pPr>
    </w:p>
    <w:p w14:paraId="752A946E">
      <w:pPr>
        <w:pStyle w:val="2"/>
        <w:spacing w:line="248" w:lineRule="auto"/>
      </w:pPr>
    </w:p>
    <w:p w14:paraId="11410DF5">
      <w:pPr>
        <w:pStyle w:val="2"/>
        <w:spacing w:line="248" w:lineRule="auto"/>
      </w:pPr>
    </w:p>
    <w:p w14:paraId="41369083">
      <w:pPr>
        <w:pStyle w:val="2"/>
        <w:spacing w:line="248" w:lineRule="auto"/>
      </w:pPr>
    </w:p>
    <w:p w14:paraId="7541A901">
      <w:pPr>
        <w:pStyle w:val="2"/>
        <w:spacing w:line="248" w:lineRule="auto"/>
      </w:pPr>
    </w:p>
    <w:p w14:paraId="45510D4D">
      <w:pPr>
        <w:pStyle w:val="2"/>
        <w:spacing w:line="249" w:lineRule="auto"/>
      </w:pPr>
    </w:p>
    <w:p w14:paraId="666F063A">
      <w:pPr>
        <w:pStyle w:val="2"/>
        <w:spacing w:line="249" w:lineRule="auto"/>
      </w:pPr>
    </w:p>
    <w:p w14:paraId="0DF82F89">
      <w:pPr>
        <w:pStyle w:val="2"/>
        <w:spacing w:line="249" w:lineRule="auto"/>
      </w:pPr>
    </w:p>
    <w:p w14:paraId="0F6150B7">
      <w:pPr>
        <w:pStyle w:val="2"/>
        <w:spacing w:line="249" w:lineRule="auto"/>
      </w:pPr>
    </w:p>
    <w:p w14:paraId="1D1AD63E">
      <w:pPr>
        <w:pStyle w:val="2"/>
        <w:spacing w:line="249" w:lineRule="auto"/>
      </w:pPr>
    </w:p>
    <w:p w14:paraId="32EBB3F4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163A5D87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2725F7E8">
      <w:pPr>
        <w:pStyle w:val="2"/>
        <w:spacing w:line="363" w:lineRule="auto"/>
      </w:pPr>
    </w:p>
    <w:p w14:paraId="0F5B12B1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5617EC58">
      <w:pPr>
        <w:spacing w:line="131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7B7E9E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492FA771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74144DFD">
            <w:pPr>
              <w:spacing w:before="18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运维服务改进制度（HHLC-ITSS-YWFWGJ）</w:t>
            </w:r>
          </w:p>
        </w:tc>
      </w:tr>
      <w:tr w14:paraId="1EA6FA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269C40D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00535471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3B3C2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12DE8E8E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29518ED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20CEE2F0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198DEFE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7D2E811F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2F6E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7049FF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24438E96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6CE2124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CB11A3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1689F42B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  <w:bookmarkStart w:id="24" w:name="_GoBack"/>
            <w:bookmarkEnd w:id="24"/>
          </w:p>
        </w:tc>
      </w:tr>
      <w:tr w14:paraId="462DD8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B2941EA">
            <w:pPr>
              <w:pStyle w:val="6"/>
            </w:pPr>
          </w:p>
        </w:tc>
        <w:tc>
          <w:tcPr>
            <w:tcW w:w="1413" w:type="dxa"/>
            <w:vAlign w:val="top"/>
          </w:tcPr>
          <w:p w14:paraId="386295BC">
            <w:pPr>
              <w:pStyle w:val="6"/>
            </w:pPr>
          </w:p>
        </w:tc>
        <w:tc>
          <w:tcPr>
            <w:tcW w:w="2303" w:type="dxa"/>
            <w:vAlign w:val="top"/>
          </w:tcPr>
          <w:p w14:paraId="182173FF">
            <w:pPr>
              <w:pStyle w:val="6"/>
            </w:pPr>
          </w:p>
        </w:tc>
        <w:tc>
          <w:tcPr>
            <w:tcW w:w="1557" w:type="dxa"/>
            <w:vAlign w:val="top"/>
          </w:tcPr>
          <w:p w14:paraId="436DC25C">
            <w:pPr>
              <w:pStyle w:val="6"/>
            </w:pPr>
          </w:p>
        </w:tc>
        <w:tc>
          <w:tcPr>
            <w:tcW w:w="1953" w:type="dxa"/>
            <w:vAlign w:val="top"/>
          </w:tcPr>
          <w:p w14:paraId="2DA5A1A5">
            <w:pPr>
              <w:pStyle w:val="6"/>
            </w:pPr>
          </w:p>
        </w:tc>
      </w:tr>
      <w:tr w14:paraId="26F13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C6826A6">
            <w:pPr>
              <w:pStyle w:val="6"/>
            </w:pPr>
          </w:p>
        </w:tc>
        <w:tc>
          <w:tcPr>
            <w:tcW w:w="1413" w:type="dxa"/>
            <w:vAlign w:val="top"/>
          </w:tcPr>
          <w:p w14:paraId="32F7101C">
            <w:pPr>
              <w:pStyle w:val="6"/>
            </w:pPr>
          </w:p>
        </w:tc>
        <w:tc>
          <w:tcPr>
            <w:tcW w:w="2303" w:type="dxa"/>
            <w:vAlign w:val="top"/>
          </w:tcPr>
          <w:p w14:paraId="48CF6176">
            <w:pPr>
              <w:pStyle w:val="6"/>
            </w:pPr>
          </w:p>
        </w:tc>
        <w:tc>
          <w:tcPr>
            <w:tcW w:w="1557" w:type="dxa"/>
            <w:vAlign w:val="top"/>
          </w:tcPr>
          <w:p w14:paraId="663A1BBC">
            <w:pPr>
              <w:pStyle w:val="6"/>
            </w:pPr>
          </w:p>
        </w:tc>
        <w:tc>
          <w:tcPr>
            <w:tcW w:w="1953" w:type="dxa"/>
            <w:vAlign w:val="top"/>
          </w:tcPr>
          <w:p w14:paraId="38264020">
            <w:pPr>
              <w:pStyle w:val="6"/>
            </w:pPr>
          </w:p>
        </w:tc>
      </w:tr>
      <w:tr w14:paraId="6A9F8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B87A05">
            <w:pPr>
              <w:pStyle w:val="6"/>
            </w:pPr>
          </w:p>
        </w:tc>
        <w:tc>
          <w:tcPr>
            <w:tcW w:w="1413" w:type="dxa"/>
            <w:vAlign w:val="top"/>
          </w:tcPr>
          <w:p w14:paraId="3A43728E">
            <w:pPr>
              <w:pStyle w:val="6"/>
            </w:pPr>
          </w:p>
        </w:tc>
        <w:tc>
          <w:tcPr>
            <w:tcW w:w="2303" w:type="dxa"/>
            <w:vAlign w:val="top"/>
          </w:tcPr>
          <w:p w14:paraId="19C053D4">
            <w:pPr>
              <w:pStyle w:val="6"/>
            </w:pPr>
          </w:p>
        </w:tc>
        <w:tc>
          <w:tcPr>
            <w:tcW w:w="1557" w:type="dxa"/>
            <w:vAlign w:val="top"/>
          </w:tcPr>
          <w:p w14:paraId="10E5081B">
            <w:pPr>
              <w:pStyle w:val="6"/>
            </w:pPr>
          </w:p>
        </w:tc>
        <w:tc>
          <w:tcPr>
            <w:tcW w:w="1953" w:type="dxa"/>
            <w:vAlign w:val="top"/>
          </w:tcPr>
          <w:p w14:paraId="0D19CFA5">
            <w:pPr>
              <w:pStyle w:val="6"/>
            </w:pPr>
          </w:p>
        </w:tc>
      </w:tr>
      <w:tr w14:paraId="678886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4E03450">
            <w:pPr>
              <w:pStyle w:val="6"/>
            </w:pPr>
          </w:p>
        </w:tc>
        <w:tc>
          <w:tcPr>
            <w:tcW w:w="1413" w:type="dxa"/>
            <w:vAlign w:val="top"/>
          </w:tcPr>
          <w:p w14:paraId="4758B5AB">
            <w:pPr>
              <w:pStyle w:val="6"/>
            </w:pPr>
          </w:p>
        </w:tc>
        <w:tc>
          <w:tcPr>
            <w:tcW w:w="2303" w:type="dxa"/>
            <w:vAlign w:val="top"/>
          </w:tcPr>
          <w:p w14:paraId="49B8AC27">
            <w:pPr>
              <w:pStyle w:val="6"/>
            </w:pPr>
          </w:p>
        </w:tc>
        <w:tc>
          <w:tcPr>
            <w:tcW w:w="1557" w:type="dxa"/>
            <w:vAlign w:val="top"/>
          </w:tcPr>
          <w:p w14:paraId="6FBD63EF">
            <w:pPr>
              <w:pStyle w:val="6"/>
            </w:pPr>
          </w:p>
        </w:tc>
        <w:tc>
          <w:tcPr>
            <w:tcW w:w="1953" w:type="dxa"/>
            <w:vAlign w:val="top"/>
          </w:tcPr>
          <w:p w14:paraId="7702881D">
            <w:pPr>
              <w:pStyle w:val="6"/>
            </w:pPr>
          </w:p>
        </w:tc>
      </w:tr>
      <w:tr w14:paraId="6ECF4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F504BEB">
            <w:pPr>
              <w:pStyle w:val="6"/>
            </w:pPr>
          </w:p>
        </w:tc>
        <w:tc>
          <w:tcPr>
            <w:tcW w:w="1413" w:type="dxa"/>
            <w:vAlign w:val="top"/>
          </w:tcPr>
          <w:p w14:paraId="5DFBEB3B">
            <w:pPr>
              <w:pStyle w:val="6"/>
            </w:pPr>
          </w:p>
        </w:tc>
        <w:tc>
          <w:tcPr>
            <w:tcW w:w="2303" w:type="dxa"/>
            <w:vAlign w:val="top"/>
          </w:tcPr>
          <w:p w14:paraId="388DEE04">
            <w:pPr>
              <w:pStyle w:val="6"/>
            </w:pPr>
          </w:p>
        </w:tc>
        <w:tc>
          <w:tcPr>
            <w:tcW w:w="1557" w:type="dxa"/>
            <w:vAlign w:val="top"/>
          </w:tcPr>
          <w:p w14:paraId="36C1B7DD">
            <w:pPr>
              <w:pStyle w:val="6"/>
            </w:pPr>
          </w:p>
        </w:tc>
        <w:tc>
          <w:tcPr>
            <w:tcW w:w="1953" w:type="dxa"/>
            <w:vAlign w:val="top"/>
          </w:tcPr>
          <w:p w14:paraId="5747BDDB">
            <w:pPr>
              <w:pStyle w:val="6"/>
            </w:pPr>
          </w:p>
        </w:tc>
      </w:tr>
    </w:tbl>
    <w:p w14:paraId="2809418D">
      <w:pPr>
        <w:pStyle w:val="2"/>
      </w:pPr>
    </w:p>
    <w:p w14:paraId="310E4E1A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65618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58F89F95">
          <w:pPr>
            <w:spacing w:before="378" w:line="222" w:lineRule="auto"/>
            <w:ind w:left="3904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195CC3E2">
          <w:pPr>
            <w:tabs>
              <w:tab w:val="right" w:leader="dot" w:pos="8495"/>
            </w:tabs>
            <w:spacing w:before="59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9E81456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2C70592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E245731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E583725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20390F5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1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工作程序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29A357F3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6.1. 识别、定义度量项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3BA0F538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6.2. 确定服务能力基准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4A12A1FA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6.3.</w:t>
          </w:r>
          <w:r>
            <w:rPr>
              <w:rFonts w:ascii="宋体" w:hAnsi="宋体" w:eastAsia="宋体" w:cs="宋体"/>
              <w:spacing w:val="1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设定目标</w:t>
          </w:r>
          <w:r>
            <w:rPr>
              <w:rFonts w:ascii="宋体" w:hAnsi="宋体" w:eastAsia="宋体" w:cs="宋体"/>
              <w:spacing w:val="-6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19BF10D6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6.4. 收集指标数据改进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0FF8D6B7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6.5. 分析能力数据</w:t>
          </w:r>
          <w:r>
            <w:rPr>
              <w:rFonts w:ascii="宋体" w:hAnsi="宋体" w:eastAsia="宋体" w:cs="宋体"/>
              <w:spacing w:val="-4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1BCBFA88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6.6. 识别差距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66EFE10C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6.7. 确定服务改进措施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</w:p>
        <w:p w14:paraId="6E8369F7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6.8. 服务改进实施</w:t>
          </w:r>
          <w:r>
            <w:rPr>
              <w:rFonts w:ascii="宋体" w:hAnsi="宋体" w:eastAsia="宋体" w:cs="宋体"/>
              <w:spacing w:val="-4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</w:p>
        <w:p w14:paraId="432E6AB8">
          <w:pPr>
            <w:tabs>
              <w:tab w:val="right" w:leader="dot" w:pos="8495"/>
            </w:tabs>
            <w:spacing w:before="72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6.9. 服务监控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3F222195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7. 相关文件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4FCD1662">
          <w:pPr>
            <w:tabs>
              <w:tab w:val="right" w:leader="dot" w:pos="8495"/>
            </w:tabs>
            <w:spacing w:before="71" w:line="219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附</w:t>
          </w:r>
          <w:r>
            <w:rPr>
              <w:rFonts w:ascii="宋体" w:hAnsi="宋体" w:eastAsia="宋体" w:cs="宋体"/>
              <w:spacing w:val="7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</w:sdtContent>
    </w:sdt>
    <w:p w14:paraId="16CF8010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2733C12B">
      <w:pPr>
        <w:spacing w:before="144" w:line="222" w:lineRule="auto"/>
        <w:ind w:left="105"/>
        <w:outlineLvl w:val="0"/>
        <w:rPr>
          <w:rFonts w:ascii="宋体" w:hAnsi="宋体" w:eastAsia="宋体" w:cs="宋体"/>
          <w:sz w:val="36"/>
          <w:szCs w:val="36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1.</w:t>
      </w:r>
      <w:r>
        <w:rPr>
          <w:rFonts w:ascii="宋体" w:hAnsi="宋体" w:eastAsia="宋体" w:cs="宋体"/>
          <w:spacing w:val="-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目的</w:t>
      </w:r>
    </w:p>
    <w:p w14:paraId="6D7A427E">
      <w:pPr>
        <w:spacing w:before="171" w:line="360" w:lineRule="auto"/>
        <w:ind w:left="83" w:right="316" w:firstLine="47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为推进公司运维服务能力管理工作的持续改进，特建立本程序，主要目的</w:t>
      </w:r>
      <w:r>
        <w:rPr>
          <w:rFonts w:ascii="宋体" w:hAnsi="宋体" w:eastAsia="宋体" w:cs="宋体"/>
          <w:spacing w:val="-9"/>
          <w:sz w:val="24"/>
          <w:szCs w:val="24"/>
        </w:rPr>
        <w:t>归纳为以下几点：</w:t>
      </w:r>
    </w:p>
    <w:p w14:paraId="1522BEFE">
      <w:pPr>
        <w:spacing w:before="1" w:line="289" w:lineRule="auto"/>
        <w:ind w:left="73" w:right="330" w:firstLine="61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1、根据信息技术服务运行维护相应标准，识别公</w:t>
      </w:r>
      <w:r>
        <w:rPr>
          <w:rFonts w:ascii="宋体" w:hAnsi="宋体" w:eastAsia="宋体" w:cs="宋体"/>
          <w:spacing w:val="-2"/>
          <w:sz w:val="24"/>
          <w:szCs w:val="24"/>
        </w:rPr>
        <w:t>司运维服务能力管理差</w:t>
      </w:r>
      <w:r>
        <w:rPr>
          <w:rFonts w:ascii="宋体" w:hAnsi="宋体" w:eastAsia="宋体" w:cs="宋体"/>
          <w:spacing w:val="-10"/>
          <w:sz w:val="24"/>
          <w:szCs w:val="24"/>
        </w:rPr>
        <w:t>距</w:t>
      </w:r>
      <w:r>
        <w:rPr>
          <w:rFonts w:ascii="宋体" w:hAnsi="宋体" w:eastAsia="宋体" w:cs="宋体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并进行改进；</w:t>
      </w:r>
    </w:p>
    <w:p w14:paraId="0BD161A5">
      <w:pPr>
        <w:spacing w:before="181" w:line="290" w:lineRule="auto"/>
        <w:ind w:left="78" w:right="326" w:firstLine="5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2、在日常运维服务过程中，识别存在的问题或与同行之间的差距等，进</w:t>
      </w:r>
      <w:r>
        <w:rPr>
          <w:rFonts w:ascii="宋体" w:hAnsi="宋体" w:eastAsia="宋体" w:cs="宋体"/>
          <w:spacing w:val="-6"/>
          <w:sz w:val="24"/>
          <w:szCs w:val="24"/>
        </w:rPr>
        <w:t>行相应措施的落实与改进；</w:t>
      </w:r>
    </w:p>
    <w:p w14:paraId="66A597F6">
      <w:pPr>
        <w:spacing w:before="182" w:line="290" w:lineRule="auto"/>
        <w:ind w:left="101" w:right="196" w:firstLine="4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3、通过一系列指标的收集分析以及目标管理，识别公司服务能力管理水平</w:t>
      </w:r>
      <w:r>
        <w:rPr>
          <w:rFonts w:ascii="宋体" w:hAnsi="宋体" w:eastAsia="宋体" w:cs="宋体"/>
          <w:spacing w:val="-3"/>
          <w:sz w:val="24"/>
          <w:szCs w:val="24"/>
        </w:rPr>
        <w:t>以及需要持续改进之处，并提出可改进的相应措施进行改进。</w:t>
      </w:r>
    </w:p>
    <w:p w14:paraId="57AAF516">
      <w:pPr>
        <w:spacing w:before="202" w:line="220" w:lineRule="auto"/>
        <w:ind w:left="83"/>
        <w:outlineLvl w:val="0"/>
        <w:rPr>
          <w:rFonts w:ascii="宋体" w:hAnsi="宋体" w:eastAsia="宋体" w:cs="宋体"/>
          <w:sz w:val="36"/>
          <w:szCs w:val="36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</w:p>
    <w:p w14:paraId="6CBC6A81">
      <w:pPr>
        <w:spacing w:before="176" w:line="362" w:lineRule="auto"/>
        <w:ind w:left="76" w:right="31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涉及公司运维服务业务的部门，适用于运维</w:t>
      </w:r>
      <w:r>
        <w:rPr>
          <w:rFonts w:ascii="宋体" w:hAnsi="宋体" w:eastAsia="宋体" w:cs="宋体"/>
          <w:spacing w:val="-1"/>
          <w:sz w:val="24"/>
          <w:szCs w:val="24"/>
        </w:rPr>
        <w:t>服务过程中提供方与其他相关</w:t>
      </w:r>
      <w:r>
        <w:rPr>
          <w:rFonts w:ascii="宋体" w:hAnsi="宋体" w:eastAsia="宋体" w:cs="宋体"/>
          <w:spacing w:val="-3"/>
          <w:sz w:val="24"/>
          <w:szCs w:val="24"/>
        </w:rPr>
        <w:t>主体之间就服务质量所进行的协调活动。</w:t>
      </w:r>
    </w:p>
    <w:p w14:paraId="3C09777C">
      <w:pPr>
        <w:spacing w:before="12" w:line="220" w:lineRule="auto"/>
        <w:ind w:left="86"/>
        <w:outlineLvl w:val="0"/>
        <w:rPr>
          <w:rFonts w:ascii="宋体" w:hAnsi="宋体" w:eastAsia="宋体" w:cs="宋体"/>
          <w:sz w:val="36"/>
          <w:szCs w:val="36"/>
        </w:rPr>
      </w:pPr>
      <w:bookmarkStart w:id="3" w:name="bookmark4"/>
      <w:bookmarkEnd w:id="3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</w:p>
    <w:p w14:paraId="340834F3">
      <w:pPr>
        <w:spacing w:before="177" w:line="220" w:lineRule="auto"/>
        <w:ind w:left="57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36066414">
      <w:pPr>
        <w:spacing w:before="182" w:line="220" w:lineRule="auto"/>
        <w:ind w:left="5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33FBF94C">
      <w:pPr>
        <w:spacing w:before="190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第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部分:交付规范》</w:t>
      </w:r>
    </w:p>
    <w:p w14:paraId="0A2DA7A2">
      <w:pPr>
        <w:spacing w:before="182" w:line="292" w:lineRule="auto"/>
        <w:ind w:left="979" w:right="170" w:hanging="4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</w:t>
      </w:r>
      <w:r>
        <w:rPr>
          <w:rFonts w:ascii="宋体" w:hAnsi="宋体" w:eastAsia="宋体" w:cs="宋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GB/T</w:t>
      </w:r>
      <w:r>
        <w:rPr>
          <w:rFonts w:ascii="宋体" w:hAnsi="宋体" w:eastAsia="宋体" w:cs="宋体"/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28827.3-2012 《信息技术服务</w:t>
      </w:r>
      <w:r>
        <w:rPr>
          <w:rFonts w:ascii="宋体" w:hAnsi="宋体" w:eastAsia="宋体" w:cs="宋体"/>
          <w:spacing w:val="4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386A8B55">
      <w:pPr>
        <w:spacing w:before="177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30E2BBF9">
      <w:pPr>
        <w:spacing w:before="182" w:line="220" w:lineRule="auto"/>
        <w:ind w:left="55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</w:t>
      </w:r>
      <w:r>
        <w:rPr>
          <w:rFonts w:ascii="宋体" w:hAnsi="宋体" w:eastAsia="宋体" w:cs="宋体"/>
          <w:spacing w:val="3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562C7294">
      <w:pPr>
        <w:pStyle w:val="2"/>
        <w:spacing w:line="313" w:lineRule="auto"/>
      </w:pPr>
    </w:p>
    <w:p w14:paraId="5EB1CA13">
      <w:pPr>
        <w:pStyle w:val="2"/>
        <w:spacing w:line="313" w:lineRule="auto"/>
      </w:pPr>
    </w:p>
    <w:p w14:paraId="517DC63E">
      <w:pPr>
        <w:pStyle w:val="2"/>
        <w:spacing w:line="314" w:lineRule="auto"/>
      </w:pPr>
    </w:p>
    <w:p w14:paraId="2497FD5C">
      <w:pPr>
        <w:spacing w:before="118" w:line="220" w:lineRule="auto"/>
        <w:ind w:left="135"/>
        <w:outlineLvl w:val="0"/>
        <w:rPr>
          <w:rFonts w:ascii="宋体" w:hAnsi="宋体" w:eastAsia="宋体" w:cs="宋体"/>
          <w:sz w:val="36"/>
          <w:szCs w:val="36"/>
        </w:rPr>
      </w:pPr>
      <w:bookmarkStart w:id="4" w:name="bookmark5"/>
      <w:bookmarkEnd w:id="4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</w:p>
    <w:p w14:paraId="79816CDD">
      <w:pPr>
        <w:spacing w:before="177" w:line="220" w:lineRule="auto"/>
        <w:ind w:left="6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0FE4906">
      <w:pPr>
        <w:pStyle w:val="2"/>
        <w:spacing w:line="392" w:lineRule="auto"/>
      </w:pPr>
    </w:p>
    <w:p w14:paraId="1F0B77DB">
      <w:pPr>
        <w:spacing w:before="118" w:line="219" w:lineRule="auto"/>
        <w:ind w:left="144"/>
        <w:outlineLvl w:val="0"/>
        <w:rPr>
          <w:rFonts w:ascii="宋体" w:hAnsi="宋体" w:eastAsia="宋体" w:cs="宋体"/>
          <w:sz w:val="36"/>
          <w:szCs w:val="36"/>
        </w:rPr>
      </w:pPr>
      <w:bookmarkStart w:id="5" w:name="bookmark6"/>
      <w:bookmarkEnd w:id="5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</w:p>
    <w:p w14:paraId="72E023D7">
      <w:pPr>
        <w:spacing w:line="62" w:lineRule="exact"/>
      </w:pPr>
    </w:p>
    <w:tbl>
      <w:tblPr>
        <w:tblStyle w:val="5"/>
        <w:tblW w:w="853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2740"/>
        <w:gridCol w:w="3517"/>
      </w:tblGrid>
      <w:tr w14:paraId="5B9B3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275" w:type="dxa"/>
            <w:shd w:val="clear" w:color="auto" w:fill="BFBFBF"/>
            <w:vAlign w:val="top"/>
          </w:tcPr>
          <w:p w14:paraId="154BCFCB">
            <w:pPr>
              <w:spacing w:before="52" w:line="219" w:lineRule="auto"/>
              <w:ind w:left="9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740" w:type="dxa"/>
            <w:shd w:val="clear" w:color="auto" w:fill="BFBFBF"/>
            <w:vAlign w:val="top"/>
          </w:tcPr>
          <w:p w14:paraId="15911007">
            <w:pPr>
              <w:spacing w:before="52" w:line="221" w:lineRule="auto"/>
              <w:ind w:left="116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517" w:type="dxa"/>
            <w:shd w:val="clear" w:color="auto" w:fill="BFBFBF"/>
            <w:vAlign w:val="top"/>
          </w:tcPr>
          <w:p w14:paraId="61540A84">
            <w:pPr>
              <w:spacing w:before="52" w:line="219" w:lineRule="auto"/>
              <w:ind w:left="2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06A4F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275" w:type="dxa"/>
            <w:tcBorders>
              <w:bottom w:val="single" w:color="auto" w:sz="4" w:space="0"/>
            </w:tcBorders>
            <w:vAlign w:val="top"/>
          </w:tcPr>
          <w:p w14:paraId="627C6F3A">
            <w:pPr>
              <w:spacing w:before="43" w:line="220" w:lineRule="auto"/>
              <w:ind w:left="6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740" w:type="dxa"/>
            <w:tcBorders>
              <w:bottom w:val="single" w:color="auto" w:sz="4" w:space="0"/>
            </w:tcBorders>
            <w:vAlign w:val="top"/>
          </w:tcPr>
          <w:p w14:paraId="1DD2DFF4">
            <w:pPr>
              <w:spacing w:before="43" w:line="220" w:lineRule="auto"/>
              <w:ind w:left="3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517" w:type="dxa"/>
            <w:tcBorders>
              <w:bottom w:val="single" w:color="auto" w:sz="4" w:space="0"/>
            </w:tcBorders>
            <w:vAlign w:val="top"/>
          </w:tcPr>
          <w:p w14:paraId="49EAE54E">
            <w:pPr>
              <w:spacing w:before="43" w:line="220" w:lineRule="auto"/>
              <w:ind w:left="1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6791D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0EED29E5">
            <w:pPr>
              <w:spacing w:before="36" w:line="220" w:lineRule="auto"/>
              <w:ind w:left="55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 w14:paraId="7F91B7B4">
            <w:pPr>
              <w:spacing w:before="36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5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5DA607B">
            <w:pPr>
              <w:spacing w:before="36" w:line="229" w:lineRule="auto"/>
              <w:ind w:left="138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7F9B5ED9">
      <w:pPr>
        <w:pStyle w:val="2"/>
      </w:pPr>
    </w:p>
    <w:p w14:paraId="141AA43C">
      <w:pPr>
        <w:sectPr>
          <w:footerReference r:id="rId5" w:type="default"/>
          <w:pgSz w:w="11906" w:h="16839"/>
          <w:pgMar w:top="1431" w:right="1629" w:bottom="711" w:left="1734" w:header="0" w:footer="548" w:gutter="0"/>
          <w:cols w:space="720" w:num="1"/>
        </w:sectPr>
      </w:pPr>
    </w:p>
    <w:p w14:paraId="116A7C1F">
      <w:pPr>
        <w:spacing w:before="135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6" w:name="bookmark8"/>
      <w:bookmarkEnd w:id="6"/>
      <w:bookmarkStart w:id="7" w:name="bookmark7"/>
      <w:bookmarkEnd w:id="7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6.</w:t>
      </w:r>
      <w:r>
        <w:rPr>
          <w:rFonts w:ascii="宋体" w:hAnsi="宋体" w:eastAsia="宋体" w:cs="宋体"/>
          <w:spacing w:val="-102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工作程序</w:t>
      </w:r>
    </w:p>
    <w:p w14:paraId="410911DB">
      <w:pPr>
        <w:spacing w:before="214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9"/>
      <w:bookmarkEnd w:id="8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6.1.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识别、定义度量项</w:t>
      </w:r>
    </w:p>
    <w:p w14:paraId="42A60C76">
      <w:pPr>
        <w:spacing w:before="202" w:line="361" w:lineRule="auto"/>
        <w:ind w:left="121" w:right="258" w:firstLine="48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公司运维服务部能力度量体系由运维服务部负责维护，每年年初需要根据</w:t>
      </w:r>
      <w:r>
        <w:rPr>
          <w:rFonts w:ascii="宋体" w:hAnsi="宋体" w:eastAsia="宋体" w:cs="宋体"/>
          <w:sz w:val="24"/>
          <w:szCs w:val="24"/>
        </w:rPr>
        <w:t>年度实施情况做调整，主要工作：识别新的度量项、去</w:t>
      </w:r>
      <w:r>
        <w:rPr>
          <w:rFonts w:ascii="宋体" w:hAnsi="宋体" w:eastAsia="宋体" w:cs="宋体"/>
          <w:spacing w:val="-1"/>
          <w:sz w:val="24"/>
          <w:szCs w:val="24"/>
        </w:rPr>
        <w:t>除不合理的度量项，根</w:t>
      </w:r>
      <w:r>
        <w:rPr>
          <w:rFonts w:ascii="宋体" w:hAnsi="宋体" w:eastAsia="宋体" w:cs="宋体"/>
          <w:sz w:val="24"/>
          <w:szCs w:val="24"/>
        </w:rPr>
        <w:t>据本年度运维服务能力量化目标识别本年度需要测量的</w:t>
      </w:r>
      <w:r>
        <w:rPr>
          <w:rFonts w:ascii="宋体" w:hAnsi="宋体" w:eastAsia="宋体" w:cs="宋体"/>
          <w:spacing w:val="-1"/>
          <w:sz w:val="24"/>
          <w:szCs w:val="24"/>
        </w:rPr>
        <w:t>指标，并对以上指标进</w:t>
      </w:r>
      <w:r>
        <w:rPr>
          <w:rFonts w:ascii="宋体" w:hAnsi="宋体" w:eastAsia="宋体" w:cs="宋体"/>
          <w:spacing w:val="-3"/>
          <w:sz w:val="24"/>
          <w:szCs w:val="24"/>
        </w:rPr>
        <w:t>行规范定义、发布以及培训指导。</w:t>
      </w:r>
    </w:p>
    <w:p w14:paraId="516EA770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9" w:name="bookmark9"/>
      <w:bookmarkEnd w:id="9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6.2.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确定服务能力基准</w:t>
      </w:r>
    </w:p>
    <w:p w14:paraId="6D19C8D0">
      <w:pPr>
        <w:spacing w:before="205" w:line="362" w:lineRule="auto"/>
        <w:ind w:left="123" w:right="258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运维服务部需根据上年度运维服务部能力指标实</w:t>
      </w:r>
      <w:r>
        <w:rPr>
          <w:rFonts w:ascii="宋体" w:hAnsi="宋体" w:eastAsia="宋体" w:cs="宋体"/>
          <w:spacing w:val="-1"/>
          <w:sz w:val="24"/>
          <w:szCs w:val="24"/>
        </w:rPr>
        <w:t>施情况，收集整理相关指</w:t>
      </w:r>
      <w:r>
        <w:rPr>
          <w:rFonts w:ascii="宋体" w:hAnsi="宋体" w:eastAsia="宋体" w:cs="宋体"/>
          <w:spacing w:val="-2"/>
          <w:sz w:val="24"/>
          <w:szCs w:val="24"/>
        </w:rPr>
        <w:t>标数据，并建立关键能力指标基线，衡量公司现有服务能力水平。</w:t>
      </w:r>
    </w:p>
    <w:p w14:paraId="7CE1A14E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0" w:name="bookmark10"/>
      <w:bookmarkEnd w:id="10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6.3.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设定目标</w:t>
      </w:r>
    </w:p>
    <w:p w14:paraId="45A34AED">
      <w:pPr>
        <w:spacing w:before="205" w:line="361" w:lineRule="auto"/>
        <w:ind w:left="123" w:right="258" w:firstLine="479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根据公司最新服务能力指标以及客户要求，运维</w:t>
      </w:r>
      <w:r>
        <w:rPr>
          <w:rFonts w:ascii="宋体" w:hAnsi="宋体" w:eastAsia="宋体" w:cs="宋体"/>
          <w:spacing w:val="-1"/>
          <w:sz w:val="24"/>
          <w:szCs w:val="24"/>
        </w:rPr>
        <w:t>服务部需要召集相关领导</w:t>
      </w:r>
      <w:r>
        <w:rPr>
          <w:rFonts w:ascii="宋体" w:hAnsi="宋体" w:eastAsia="宋体" w:cs="宋体"/>
          <w:sz w:val="24"/>
          <w:szCs w:val="24"/>
        </w:rPr>
        <w:t>和其他干系人讨论年度运维服务能力目标的合理性</w:t>
      </w:r>
      <w:r>
        <w:rPr>
          <w:rFonts w:ascii="宋体" w:hAnsi="宋体" w:eastAsia="宋体" w:cs="宋体"/>
          <w:spacing w:val="-1"/>
          <w:sz w:val="24"/>
          <w:szCs w:val="24"/>
        </w:rPr>
        <w:t>问题，最终确定一个合理的</w:t>
      </w:r>
      <w:r>
        <w:rPr>
          <w:rFonts w:ascii="宋体" w:hAnsi="宋体" w:eastAsia="宋体" w:cs="宋体"/>
          <w:spacing w:val="-8"/>
          <w:sz w:val="24"/>
          <w:szCs w:val="24"/>
        </w:rPr>
        <w:t>目标数据。</w:t>
      </w:r>
    </w:p>
    <w:p w14:paraId="1B9BC5C7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1" w:name="bookmark11"/>
      <w:bookmarkEnd w:id="11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6.4.</w:t>
      </w:r>
      <w:r>
        <w:rPr>
          <w:rFonts w:ascii="宋体" w:hAnsi="宋体" w:eastAsia="宋体" w:cs="宋体"/>
          <w:spacing w:val="7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收集指标数据改进</w:t>
      </w:r>
    </w:p>
    <w:p w14:paraId="658CFF38">
      <w:pPr>
        <w:spacing w:before="206" w:line="361" w:lineRule="auto"/>
        <w:ind w:left="121" w:right="258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质量中心根据在监督执行过程改进工作的同时</w:t>
      </w:r>
      <w:r>
        <w:rPr>
          <w:rFonts w:ascii="宋体" w:hAnsi="宋体" w:eastAsia="宋体" w:cs="宋体"/>
          <w:spacing w:val="-1"/>
          <w:sz w:val="24"/>
          <w:szCs w:val="24"/>
        </w:rPr>
        <w:t>，需要收集相关过程指标数</w:t>
      </w:r>
      <w:r>
        <w:rPr>
          <w:rFonts w:ascii="宋体" w:hAnsi="宋体" w:eastAsia="宋体" w:cs="宋体"/>
          <w:sz w:val="24"/>
          <w:szCs w:val="24"/>
        </w:rPr>
        <w:t>据或一些改进建议信息，供运维服务部分析使用，过程</w:t>
      </w:r>
      <w:r>
        <w:rPr>
          <w:rFonts w:ascii="宋体" w:hAnsi="宋体" w:eastAsia="宋体" w:cs="宋体"/>
          <w:spacing w:val="-1"/>
          <w:sz w:val="24"/>
          <w:szCs w:val="24"/>
        </w:rPr>
        <w:t>中发现阶段目标偏离或</w:t>
      </w:r>
      <w:r>
        <w:rPr>
          <w:rFonts w:ascii="宋体" w:hAnsi="宋体" w:eastAsia="宋体" w:cs="宋体"/>
          <w:spacing w:val="-3"/>
          <w:sz w:val="24"/>
          <w:szCs w:val="24"/>
        </w:rPr>
        <w:t>者其他问题，需及时与运维服务部进行反应。</w:t>
      </w:r>
    </w:p>
    <w:p w14:paraId="40398FD6">
      <w:pPr>
        <w:spacing w:before="32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2" w:name="bookmark12"/>
      <w:bookmarkEnd w:id="12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6.5.</w:t>
      </w:r>
      <w:r>
        <w:rPr>
          <w:rFonts w:ascii="宋体" w:hAnsi="宋体" w:eastAsia="宋体" w:cs="宋体"/>
          <w:spacing w:val="63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分析能力数据</w:t>
      </w:r>
    </w:p>
    <w:p w14:paraId="0C769A0A">
      <w:pPr>
        <w:spacing w:before="205" w:line="360" w:lineRule="auto"/>
        <w:ind w:left="122" w:right="72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运维服务部根据质量中心收集的过程数据，并依</w:t>
      </w:r>
      <w:r>
        <w:rPr>
          <w:rFonts w:ascii="宋体" w:hAnsi="宋体" w:eastAsia="宋体" w:cs="宋体"/>
          <w:spacing w:val="-1"/>
          <w:sz w:val="24"/>
          <w:szCs w:val="24"/>
        </w:rPr>
        <w:t>据计划开展过程能力分析</w:t>
      </w:r>
      <w:r>
        <w:rPr>
          <w:rFonts w:ascii="宋体" w:hAnsi="宋体" w:eastAsia="宋体" w:cs="宋体"/>
          <w:sz w:val="24"/>
          <w:szCs w:val="24"/>
        </w:rPr>
        <w:t>活动，依据年初发布的过程能力水平，在过程中需要</w:t>
      </w:r>
      <w:r>
        <w:rPr>
          <w:rFonts w:ascii="宋体" w:hAnsi="宋体" w:eastAsia="宋体" w:cs="宋体"/>
          <w:spacing w:val="-1"/>
          <w:sz w:val="24"/>
          <w:szCs w:val="24"/>
        </w:rPr>
        <w:t>加强异常指标的管控，按</w:t>
      </w:r>
      <w:r>
        <w:rPr>
          <w:rFonts w:ascii="宋体" w:hAnsi="宋体" w:eastAsia="宋体" w:cs="宋体"/>
          <w:spacing w:val="-2"/>
          <w:sz w:val="24"/>
          <w:szCs w:val="24"/>
        </w:rPr>
        <w:t>照基线修改判异规则触发条件，及时发现问题进行分析，在一定的管控监控点，运维服务部还应与设定的目标进行对比，以判定目标设定是否合理，必要时，</w:t>
      </w:r>
    </w:p>
    <w:p w14:paraId="79165C08">
      <w:pPr>
        <w:spacing w:before="1" w:line="220" w:lineRule="auto"/>
        <w:ind w:left="1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对设定目标进行调整。</w:t>
      </w:r>
    </w:p>
    <w:p w14:paraId="67313630">
      <w:pPr>
        <w:spacing w:before="220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3" w:name="bookmark13"/>
      <w:bookmarkEnd w:id="13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6.6.</w:t>
      </w:r>
      <w:r>
        <w:rPr>
          <w:rFonts w:ascii="宋体" w:hAnsi="宋体" w:eastAsia="宋体" w:cs="宋体"/>
          <w:spacing w:val="56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识别差距</w:t>
      </w:r>
    </w:p>
    <w:p w14:paraId="72152766">
      <w:pPr>
        <w:spacing w:before="204" w:line="362" w:lineRule="auto"/>
        <w:ind w:left="124" w:right="258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在项目日常执行过程中，运维服务部需要定期收集</w:t>
      </w:r>
      <w:r>
        <w:rPr>
          <w:rFonts w:ascii="宋体" w:hAnsi="宋体" w:eastAsia="宋体" w:cs="宋体"/>
          <w:spacing w:val="-1"/>
          <w:sz w:val="24"/>
          <w:szCs w:val="24"/>
        </w:rPr>
        <w:t>运维方面的改进建议，</w:t>
      </w:r>
      <w:r>
        <w:rPr>
          <w:rFonts w:ascii="宋体" w:hAnsi="宋体" w:eastAsia="宋体" w:cs="宋体"/>
          <w:sz w:val="24"/>
          <w:szCs w:val="24"/>
        </w:rPr>
        <w:t>主要来源客户反馈、运维服务部发现以及组织监</w:t>
      </w:r>
      <w:r>
        <w:rPr>
          <w:rFonts w:ascii="宋体" w:hAnsi="宋体" w:eastAsia="宋体" w:cs="宋体"/>
          <w:spacing w:val="-1"/>
          <w:sz w:val="24"/>
          <w:szCs w:val="24"/>
        </w:rPr>
        <w:t>控中发现的问题等，运维服务</w:t>
      </w:r>
    </w:p>
    <w:p w14:paraId="6B9737C4">
      <w:pPr>
        <w:spacing w:line="362" w:lineRule="auto"/>
        <w:rPr>
          <w:rFonts w:ascii="宋体" w:hAnsi="宋体" w:eastAsia="宋体" w:cs="宋体"/>
          <w:sz w:val="24"/>
          <w:szCs w:val="24"/>
        </w:rPr>
        <w:sectPr>
          <w:headerReference r:id="rId6" w:type="default"/>
          <w:footerReference r:id="rId7" w:type="default"/>
          <w:pgSz w:w="11906" w:h="16839"/>
          <w:pgMar w:top="1771" w:right="1687" w:bottom="1375" w:left="1686" w:header="1761" w:footer="1211" w:gutter="0"/>
          <w:cols w:space="720" w:num="1"/>
        </w:sectPr>
      </w:pPr>
    </w:p>
    <w:p w14:paraId="7B0D0CEA">
      <w:pPr>
        <w:pStyle w:val="2"/>
        <w:spacing w:line="267" w:lineRule="auto"/>
      </w:pPr>
    </w:p>
    <w:p w14:paraId="0A3B8F20">
      <w:pPr>
        <w:pStyle w:val="2"/>
        <w:spacing w:line="268" w:lineRule="auto"/>
      </w:pPr>
    </w:p>
    <w:p w14:paraId="7683B820">
      <w:pPr>
        <w:pStyle w:val="2"/>
        <w:spacing w:line="268" w:lineRule="auto"/>
      </w:pPr>
    </w:p>
    <w:p w14:paraId="7ADCA375">
      <w:pPr>
        <w:pStyle w:val="2"/>
        <w:spacing w:line="268" w:lineRule="auto"/>
      </w:pPr>
    </w:p>
    <w:p w14:paraId="2284F57A">
      <w:pPr>
        <w:spacing w:before="78" w:line="360" w:lineRule="auto"/>
        <w:ind w:left="25" w:right="1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部需要不定期进行相关讨论，识别真正需要改</w:t>
      </w:r>
      <w:r>
        <w:rPr>
          <w:rFonts w:ascii="宋体" w:hAnsi="宋体" w:eastAsia="宋体" w:cs="宋体"/>
          <w:spacing w:val="-1"/>
          <w:sz w:val="24"/>
          <w:szCs w:val="24"/>
        </w:rPr>
        <w:t>进的差距或提升项。另外运维服</w:t>
      </w:r>
      <w:r>
        <w:rPr>
          <w:rFonts w:ascii="宋体" w:hAnsi="宋体" w:eastAsia="宋体" w:cs="宋体"/>
          <w:sz w:val="24"/>
          <w:szCs w:val="24"/>
        </w:rPr>
        <w:t>务部针对指标基线以及指标执行数据，分析本年</w:t>
      </w:r>
      <w:r>
        <w:rPr>
          <w:rFonts w:ascii="宋体" w:hAnsi="宋体" w:eastAsia="宋体" w:cs="宋体"/>
          <w:spacing w:val="-1"/>
          <w:sz w:val="24"/>
          <w:szCs w:val="24"/>
        </w:rPr>
        <w:t>度服务能力水平趋势，识别异</w:t>
      </w:r>
      <w:r>
        <w:rPr>
          <w:rFonts w:ascii="宋体" w:hAnsi="宋体" w:eastAsia="宋体" w:cs="宋体"/>
          <w:spacing w:val="-4"/>
          <w:sz w:val="24"/>
          <w:szCs w:val="24"/>
        </w:rPr>
        <w:t>常点进行重点分析管控。</w:t>
      </w:r>
    </w:p>
    <w:p w14:paraId="31CC6740">
      <w:pPr>
        <w:spacing w:line="362" w:lineRule="auto"/>
        <w:ind w:left="27" w:right="160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运维服务部需要根据识别的差距严重程度，有选</w:t>
      </w:r>
      <w:r>
        <w:rPr>
          <w:rFonts w:ascii="宋体" w:hAnsi="宋体" w:eastAsia="宋体" w:cs="宋体"/>
          <w:spacing w:val="-1"/>
          <w:sz w:val="24"/>
          <w:szCs w:val="24"/>
        </w:rPr>
        <w:t>择性地强化某些方面的能</w:t>
      </w:r>
      <w:r>
        <w:rPr>
          <w:rFonts w:ascii="宋体" w:hAnsi="宋体" w:eastAsia="宋体" w:cs="宋体"/>
          <w:spacing w:val="-3"/>
          <w:sz w:val="24"/>
          <w:szCs w:val="24"/>
        </w:rPr>
        <w:t>力提升，应给予相关人员一定的培训。</w:t>
      </w:r>
    </w:p>
    <w:p w14:paraId="54FB9BA1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4" w:name="bookmark14"/>
      <w:bookmarkEnd w:id="14"/>
      <w:bookmarkStart w:id="15" w:name="bookmark1"/>
      <w:bookmarkEnd w:id="15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6.7.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确定服务改进措施</w:t>
      </w:r>
    </w:p>
    <w:p w14:paraId="1FA7777C">
      <w:pPr>
        <w:spacing w:before="205" w:line="362" w:lineRule="auto"/>
        <w:ind w:left="26" w:right="160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运维服务部根据收集分析获得的改进项以及发现</w:t>
      </w:r>
      <w:r>
        <w:rPr>
          <w:rFonts w:ascii="宋体" w:hAnsi="宋体" w:eastAsia="宋体" w:cs="宋体"/>
          <w:spacing w:val="-1"/>
          <w:sz w:val="24"/>
          <w:szCs w:val="24"/>
        </w:rPr>
        <w:t>改进的问题项，进行针对</w:t>
      </w:r>
      <w:r>
        <w:rPr>
          <w:rFonts w:ascii="宋体" w:hAnsi="宋体" w:eastAsia="宋体" w:cs="宋体"/>
          <w:spacing w:val="-2"/>
          <w:sz w:val="24"/>
          <w:szCs w:val="24"/>
        </w:rPr>
        <w:t>性的提出服务改进解决方案，并通报给相关领导和改进参与人。</w:t>
      </w:r>
    </w:p>
    <w:p w14:paraId="754CB7FC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6" w:name="bookmark15"/>
      <w:bookmarkEnd w:id="16"/>
      <w:bookmarkStart w:id="17" w:name="bookmark1"/>
      <w:bookmarkEnd w:id="17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6.8.</w:t>
      </w:r>
      <w:r>
        <w:rPr>
          <w:rFonts w:ascii="宋体" w:hAnsi="宋体" w:eastAsia="宋体" w:cs="宋体"/>
          <w:spacing w:val="52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服务改进实施</w:t>
      </w:r>
    </w:p>
    <w:p w14:paraId="64E3DBBD">
      <w:pPr>
        <w:spacing w:before="206" w:line="361" w:lineRule="auto"/>
        <w:ind w:left="21" w:right="14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根据改进解决方案，针对性进行改进工作规划与</w:t>
      </w:r>
      <w:r>
        <w:rPr>
          <w:rFonts w:ascii="宋体" w:hAnsi="宋体" w:eastAsia="宋体" w:cs="宋体"/>
          <w:spacing w:val="-1"/>
          <w:sz w:val="24"/>
          <w:szCs w:val="24"/>
        </w:rPr>
        <w:t>实施，运维服务部根据改进</w:t>
      </w:r>
      <w:r>
        <w:rPr>
          <w:rFonts w:ascii="宋体" w:hAnsi="宋体" w:eastAsia="宋体" w:cs="宋体"/>
          <w:spacing w:val="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措施的实施情况，将效果比较好的有效措施固化到流程中，不断优化公司服</w:t>
      </w:r>
      <w:r>
        <w:rPr>
          <w:rFonts w:ascii="宋体" w:hAnsi="宋体" w:eastAsia="宋体" w:cs="宋体"/>
          <w:spacing w:val="-6"/>
          <w:sz w:val="24"/>
          <w:szCs w:val="24"/>
        </w:rPr>
        <w:t>务能力体系。</w:t>
      </w:r>
    </w:p>
    <w:p w14:paraId="12C53430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8" w:name="bookmark1"/>
      <w:bookmarkEnd w:id="18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6.9.</w:t>
      </w:r>
      <w:r>
        <w:rPr>
          <w:rFonts w:ascii="宋体" w:hAnsi="宋体" w:eastAsia="宋体" w:cs="宋体"/>
          <w:spacing w:val="56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服务监控</w:t>
      </w:r>
    </w:p>
    <w:p w14:paraId="3D32B745">
      <w:pPr>
        <w:spacing w:before="204" w:line="362" w:lineRule="auto"/>
        <w:ind w:left="34" w:right="160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质量中心跟踪服务改进方案实施进行情况，发</w:t>
      </w:r>
      <w:r>
        <w:rPr>
          <w:rFonts w:ascii="宋体" w:hAnsi="宋体" w:eastAsia="宋体" w:cs="宋体"/>
          <w:spacing w:val="-1"/>
          <w:sz w:val="24"/>
          <w:szCs w:val="24"/>
        </w:rPr>
        <w:t>现措施实施有效问题时，及</w:t>
      </w:r>
      <w:r>
        <w:rPr>
          <w:rFonts w:ascii="宋体" w:hAnsi="宋体" w:eastAsia="宋体" w:cs="宋体"/>
          <w:spacing w:val="-2"/>
          <w:sz w:val="24"/>
          <w:szCs w:val="24"/>
        </w:rPr>
        <w:t>时通知运维服务部，商议调整改进方案事项，使改进达到最佳效果。</w:t>
      </w:r>
    </w:p>
    <w:p w14:paraId="79D0F2A2">
      <w:pPr>
        <w:spacing w:before="285" w:line="220" w:lineRule="auto"/>
        <w:ind w:left="41"/>
        <w:outlineLvl w:val="0"/>
        <w:rPr>
          <w:rFonts w:ascii="宋体" w:hAnsi="宋体" w:eastAsia="宋体" w:cs="宋体"/>
          <w:sz w:val="44"/>
          <w:szCs w:val="44"/>
        </w:rPr>
      </w:pPr>
      <w:bookmarkStart w:id="19" w:name="bookmark16"/>
      <w:bookmarkEnd w:id="19"/>
      <w:bookmarkStart w:id="20" w:name="bookmark18"/>
      <w:bookmarkEnd w:id="20"/>
      <w:bookmarkStart w:id="21" w:name="bookmark17"/>
      <w:bookmarkEnd w:id="21"/>
      <w:bookmarkStart w:id="22" w:name="bookmark1"/>
      <w:bookmarkEnd w:id="22"/>
      <w:r>
        <w:rPr>
          <w:rFonts w:ascii="宋体" w:hAnsi="宋体" w:eastAsia="宋体" w:cs="宋体"/>
          <w:b/>
          <w:bCs/>
          <w:spacing w:val="-12"/>
          <w:sz w:val="44"/>
          <w:szCs w:val="44"/>
        </w:rPr>
        <w:t>7.</w:t>
      </w:r>
      <w:r>
        <w:rPr>
          <w:rFonts w:ascii="宋体" w:hAnsi="宋体" w:eastAsia="宋体" w:cs="宋体"/>
          <w:spacing w:val="199"/>
          <w:sz w:val="44"/>
          <w:szCs w:val="4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4"/>
          <w:szCs w:val="44"/>
        </w:rPr>
        <w:t>相关文件</w:t>
      </w:r>
    </w:p>
    <w:p w14:paraId="51781AC0">
      <w:pPr>
        <w:spacing w:before="44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5987DFCD">
      <w:pPr>
        <w:spacing w:before="122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3" w:name="bookmark1"/>
      <w:bookmarkEnd w:id="23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8.</w:t>
      </w:r>
      <w:r>
        <w:rPr>
          <w:rFonts w:ascii="宋体" w:hAnsi="宋体" w:eastAsia="宋体" w:cs="宋体"/>
          <w:spacing w:val="-7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</w:p>
    <w:p w14:paraId="7635D8C0">
      <w:pPr>
        <w:spacing w:before="178" w:line="219" w:lineRule="auto"/>
        <w:ind w:left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本制度由公司质量中心拟定，自公司总经理</w:t>
      </w:r>
      <w:r>
        <w:rPr>
          <w:rFonts w:ascii="宋体" w:hAnsi="宋体" w:eastAsia="宋体" w:cs="宋体"/>
          <w:spacing w:val="-3"/>
          <w:sz w:val="24"/>
          <w:szCs w:val="24"/>
        </w:rPr>
        <w:t>批准颁布之日起施行。</w:t>
      </w:r>
    </w:p>
    <w:sectPr>
      <w:headerReference r:id="rId8" w:type="default"/>
      <w:footerReference r:id="rId9" w:type="default"/>
      <w:pgSz w:w="11906" w:h="16839"/>
      <w:pgMar w:top="400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437D21">
    <w:pPr>
      <w:spacing w:line="166" w:lineRule="auto"/>
      <w:ind w:left="424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654B4A">
    <w:pPr>
      <w:spacing w:line="167" w:lineRule="auto"/>
      <w:ind w:left="42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876FC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D3622">
    <w:pPr>
      <w:pStyle w:val="2"/>
      <w:spacing w:line="104" w:lineRule="auto"/>
      <w:rPr>
        <w:sz w:val="2"/>
      </w:rPr>
    </w:pPr>
    <w:r>
      <w:pict>
        <v:shape id="_x0000_s2049" o:spid="_x0000_s2049" style="position:absolute;left:0pt;margin-left:84.35pt;margin-top:88.1pt;height:0.5pt;width:426.6pt;mso-position-horizontal-relative:page;mso-position-vertical-relative:page;z-index:251659264;mso-width-relative:page;mso-height-relative:page;" filled="f" stroked="t" coordsize="8532,10" o:allowincell="f" path="m0,5l8531,5e">
          <v:fill on="f" focussize="0,0"/>
          <v:stroke weight="0.5pt"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46150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5EE467B"/>
    <w:rsid w:val="1A5E64D5"/>
    <w:rsid w:val="2F6D3FB3"/>
    <w:rsid w:val="4C583BC9"/>
    <w:rsid w:val="4F4C5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1628</Words>
  <Characters>1792</Characters>
  <TotalTime>2</TotalTime>
  <ScaleCrop>false</ScaleCrop>
  <LinksUpToDate>false</LinksUpToDate>
  <CharactersWithSpaces>1935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2025-08-19T19:09:00Z</dcterms:created>
  <dc:creator>chenlei</dc:creator>
  <cp:lastModifiedBy>郝宇</cp:lastModifiedBy>
  <dcterms:modified xsi:type="dcterms:W3CDTF">2025-08-20T08:14:20Z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2025-08-20T16:11:11Z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6F81604A16B843C3BEE61252C9D979B7_12</vt:lpwstr>
  </property>
</Properties>
</file>