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13830">
      <w:pPr>
        <w:pStyle w:val="11"/>
        <w:spacing w:line="359" w:lineRule="auto"/>
      </w:pPr>
    </w:p>
    <w:p w14:paraId="73B57A8F">
      <w:pPr>
        <w:spacing w:before="169" w:line="220" w:lineRule="auto"/>
        <w:ind w:left="2151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6"/>
          <w:sz w:val="52"/>
          <w:szCs w:val="52"/>
        </w:rPr>
        <w:t>管理评审控制程序</w:t>
      </w:r>
    </w:p>
    <w:p w14:paraId="27CEA885">
      <w:pPr>
        <w:pStyle w:val="11"/>
        <w:spacing w:line="249" w:lineRule="auto"/>
      </w:pPr>
    </w:p>
    <w:p w14:paraId="7911231A">
      <w:pPr>
        <w:pStyle w:val="11"/>
        <w:spacing w:line="249" w:lineRule="auto"/>
      </w:pPr>
    </w:p>
    <w:p w14:paraId="0A133917">
      <w:pPr>
        <w:pStyle w:val="11"/>
        <w:spacing w:line="249" w:lineRule="auto"/>
      </w:pPr>
    </w:p>
    <w:p w14:paraId="16F16C7E">
      <w:pPr>
        <w:pStyle w:val="11"/>
        <w:spacing w:line="249" w:lineRule="auto"/>
      </w:pPr>
    </w:p>
    <w:p w14:paraId="5E48D165">
      <w:pPr>
        <w:pStyle w:val="11"/>
        <w:spacing w:line="249" w:lineRule="auto"/>
      </w:pPr>
    </w:p>
    <w:p w14:paraId="024BA606">
      <w:pPr>
        <w:pStyle w:val="11"/>
        <w:spacing w:line="249" w:lineRule="auto"/>
      </w:pPr>
    </w:p>
    <w:p w14:paraId="75D15B06">
      <w:pPr>
        <w:pStyle w:val="11"/>
        <w:spacing w:line="249" w:lineRule="auto"/>
      </w:pPr>
    </w:p>
    <w:p w14:paraId="76A86FDF">
      <w:pPr>
        <w:pStyle w:val="11"/>
        <w:spacing w:line="249" w:lineRule="auto"/>
      </w:pPr>
    </w:p>
    <w:p w14:paraId="516E6F24">
      <w:pPr>
        <w:pStyle w:val="11"/>
        <w:spacing w:line="249" w:lineRule="auto"/>
      </w:pPr>
    </w:p>
    <w:p w14:paraId="14A48073">
      <w:pPr>
        <w:pStyle w:val="11"/>
        <w:spacing w:line="249" w:lineRule="auto"/>
      </w:pPr>
    </w:p>
    <w:p w14:paraId="341F9664">
      <w:pPr>
        <w:pStyle w:val="11"/>
        <w:spacing w:line="249" w:lineRule="auto"/>
      </w:pPr>
    </w:p>
    <w:p w14:paraId="3EFCA614">
      <w:pPr>
        <w:pStyle w:val="11"/>
        <w:spacing w:line="249" w:lineRule="auto"/>
      </w:pPr>
    </w:p>
    <w:p w14:paraId="4152E239">
      <w:pPr>
        <w:pStyle w:val="11"/>
        <w:spacing w:line="249" w:lineRule="auto"/>
      </w:pPr>
    </w:p>
    <w:p w14:paraId="2158CB20">
      <w:pPr>
        <w:pStyle w:val="11"/>
        <w:spacing w:line="249" w:lineRule="auto"/>
      </w:pPr>
    </w:p>
    <w:p w14:paraId="615F7D16">
      <w:pPr>
        <w:pStyle w:val="11"/>
        <w:spacing w:line="249" w:lineRule="auto"/>
      </w:pPr>
    </w:p>
    <w:p w14:paraId="4727D0B5">
      <w:pPr>
        <w:pStyle w:val="11"/>
        <w:spacing w:line="249" w:lineRule="auto"/>
      </w:pPr>
    </w:p>
    <w:p w14:paraId="27BF52DA">
      <w:pPr>
        <w:spacing w:line="1286" w:lineRule="exact"/>
        <w:ind w:firstLine="2006"/>
      </w:pPr>
      <w:r>
        <w:rPr>
          <w:position w:val="-25"/>
        </w:rPr>
        <w:drawing>
          <wp:inline distT="0" distB="0" distL="0" distR="0">
            <wp:extent cx="2743200" cy="8159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6AC">
      <w:pPr>
        <w:pStyle w:val="11"/>
        <w:spacing w:line="247" w:lineRule="auto"/>
      </w:pPr>
    </w:p>
    <w:p w14:paraId="2F79B7C4">
      <w:pPr>
        <w:pStyle w:val="11"/>
        <w:spacing w:line="247" w:lineRule="auto"/>
      </w:pPr>
    </w:p>
    <w:p w14:paraId="48B7B1A4">
      <w:pPr>
        <w:pStyle w:val="11"/>
        <w:spacing w:line="247" w:lineRule="auto"/>
      </w:pPr>
    </w:p>
    <w:p w14:paraId="76ED1515">
      <w:pPr>
        <w:pStyle w:val="11"/>
        <w:spacing w:line="247" w:lineRule="auto"/>
      </w:pPr>
    </w:p>
    <w:p w14:paraId="0990B202">
      <w:pPr>
        <w:pStyle w:val="11"/>
        <w:spacing w:line="247" w:lineRule="auto"/>
      </w:pPr>
    </w:p>
    <w:p w14:paraId="43459B57">
      <w:pPr>
        <w:pStyle w:val="11"/>
        <w:spacing w:line="247" w:lineRule="auto"/>
      </w:pPr>
    </w:p>
    <w:p w14:paraId="6108F121">
      <w:pPr>
        <w:pStyle w:val="11"/>
        <w:spacing w:line="247" w:lineRule="auto"/>
      </w:pPr>
    </w:p>
    <w:p w14:paraId="4B48AA02">
      <w:pPr>
        <w:pStyle w:val="11"/>
        <w:spacing w:line="247" w:lineRule="auto"/>
      </w:pPr>
    </w:p>
    <w:p w14:paraId="1CEA1C41">
      <w:pPr>
        <w:pStyle w:val="11"/>
        <w:spacing w:line="247" w:lineRule="auto"/>
      </w:pPr>
    </w:p>
    <w:p w14:paraId="6BA1EC5E">
      <w:pPr>
        <w:pStyle w:val="11"/>
        <w:spacing w:line="247" w:lineRule="auto"/>
      </w:pPr>
    </w:p>
    <w:p w14:paraId="347198FC">
      <w:pPr>
        <w:pStyle w:val="11"/>
        <w:spacing w:line="247" w:lineRule="auto"/>
      </w:pPr>
    </w:p>
    <w:p w14:paraId="4F6E8E88">
      <w:pPr>
        <w:pStyle w:val="11"/>
        <w:spacing w:line="248" w:lineRule="auto"/>
      </w:pPr>
    </w:p>
    <w:p w14:paraId="544977BE">
      <w:pPr>
        <w:pStyle w:val="11"/>
        <w:spacing w:line="248" w:lineRule="auto"/>
      </w:pPr>
    </w:p>
    <w:p w14:paraId="485D71C3">
      <w:pPr>
        <w:pStyle w:val="11"/>
        <w:spacing w:line="248" w:lineRule="auto"/>
      </w:pPr>
    </w:p>
    <w:p w14:paraId="4DC5777A">
      <w:pPr>
        <w:pStyle w:val="11"/>
        <w:spacing w:line="248" w:lineRule="auto"/>
      </w:pPr>
    </w:p>
    <w:p w14:paraId="0A0C2363">
      <w:pPr>
        <w:pStyle w:val="11"/>
        <w:spacing w:line="248" w:lineRule="auto"/>
      </w:pPr>
    </w:p>
    <w:p w14:paraId="60B36210">
      <w:pPr>
        <w:spacing w:before="114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8"/>
          <w:sz w:val="35"/>
          <w:szCs w:val="35"/>
        </w:rPr>
        <w:t>青岛慧海联创信息技术有限公司</w:t>
      </w:r>
    </w:p>
    <w:p w14:paraId="57D5F1D3">
      <w:pPr>
        <w:spacing w:before="225" w:line="225" w:lineRule="auto"/>
        <w:ind w:left="294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10"/>
          <w:sz w:val="35"/>
          <w:szCs w:val="35"/>
        </w:rPr>
        <w:t>2025年 1</w:t>
      </w:r>
      <w:r>
        <w:rPr>
          <w:rFonts w:ascii="宋体" w:hAnsi="宋体" w:eastAsia="宋体" w:cs="宋体"/>
          <w:spacing w:val="-50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月</w:t>
      </w:r>
      <w:r>
        <w:rPr>
          <w:rFonts w:ascii="宋体" w:hAnsi="宋体" w:eastAsia="宋体" w:cs="宋体"/>
          <w:spacing w:val="-74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4</w:t>
      </w:r>
      <w:r>
        <w:rPr>
          <w:rFonts w:ascii="宋体" w:hAnsi="宋体" w:eastAsia="宋体" w:cs="宋体"/>
          <w:spacing w:val="55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日</w:t>
      </w:r>
    </w:p>
    <w:p w14:paraId="5044920C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59959E86">
      <w:pPr>
        <w:pStyle w:val="11"/>
        <w:spacing w:line="378" w:lineRule="auto"/>
      </w:pPr>
    </w:p>
    <w:p w14:paraId="5BF68A41">
      <w:pPr>
        <w:spacing w:before="91" w:line="220" w:lineRule="auto"/>
        <w:ind w:left="3822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5"/>
          <w:sz w:val="28"/>
          <w:szCs w:val="28"/>
        </w:rPr>
        <w:t>文档信息</w:t>
      </w:r>
    </w:p>
    <w:p w14:paraId="2644CEC1">
      <w:pPr>
        <w:spacing w:line="114" w:lineRule="exact"/>
      </w:pPr>
    </w:p>
    <w:tbl>
      <w:tblPr>
        <w:tblStyle w:val="18"/>
        <w:tblW w:w="915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8"/>
        <w:gridCol w:w="1696"/>
        <w:gridCol w:w="2340"/>
        <w:gridCol w:w="1982"/>
        <w:gridCol w:w="1568"/>
      </w:tblGrid>
      <w:tr w14:paraId="0D2171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568" w:type="dxa"/>
            <w:vAlign w:val="top"/>
          </w:tcPr>
          <w:p w14:paraId="6B1CC38E">
            <w:pPr>
              <w:spacing w:before="166" w:line="313" w:lineRule="auto"/>
              <w:ind w:left="135" w:right="256" w:hanging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文档名称编</w:t>
            </w:r>
            <w:r>
              <w:rPr>
                <w:rFonts w:ascii="宋体" w:hAnsi="宋体" w:eastAsia="宋体" w:cs="宋体"/>
                <w:sz w:val="24"/>
                <w:szCs w:val="24"/>
              </w:rP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2C43FC42">
            <w:pPr>
              <w:pStyle w:val="19"/>
              <w:spacing w:line="311" w:lineRule="auto"/>
            </w:pPr>
          </w:p>
          <w:p w14:paraId="51FFBD63">
            <w:pPr>
              <w:spacing w:before="78" w:line="219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管理评审控制程序（HHLC-ITSS-GLPSKZCX）</w:t>
            </w:r>
          </w:p>
        </w:tc>
      </w:tr>
      <w:tr w14:paraId="6E157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568" w:type="dxa"/>
            <w:vAlign w:val="top"/>
          </w:tcPr>
          <w:p w14:paraId="0AFF6172">
            <w:pPr>
              <w:spacing w:before="200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7C70563E">
            <w:pPr>
              <w:spacing w:before="196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青岛慧海联创信息技术有限公司</w:t>
            </w:r>
          </w:p>
        </w:tc>
      </w:tr>
      <w:tr w14:paraId="2D23EB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356670AC">
            <w:pPr>
              <w:spacing w:before="20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66796E9C">
            <w:pPr>
              <w:spacing w:before="202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秘密</w:t>
            </w:r>
          </w:p>
        </w:tc>
      </w:tr>
      <w:tr w14:paraId="5188BA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21BEDEAD">
            <w:pPr>
              <w:spacing w:before="201" w:line="219" w:lineRule="auto"/>
              <w:ind w:left="3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文档版本</w:t>
            </w:r>
          </w:p>
        </w:tc>
        <w:tc>
          <w:tcPr>
            <w:tcW w:w="1696" w:type="dxa"/>
            <w:vAlign w:val="top"/>
          </w:tcPr>
          <w:p w14:paraId="21C63B8D">
            <w:pPr>
              <w:spacing w:before="201" w:line="219" w:lineRule="auto"/>
              <w:ind w:left="3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版本日期</w:t>
            </w:r>
          </w:p>
        </w:tc>
        <w:tc>
          <w:tcPr>
            <w:tcW w:w="2340" w:type="dxa"/>
            <w:vAlign w:val="top"/>
          </w:tcPr>
          <w:p w14:paraId="3CED29EF">
            <w:pPr>
              <w:spacing w:before="201" w:line="219" w:lineRule="auto"/>
              <w:ind w:left="7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版本说明</w:t>
            </w:r>
          </w:p>
        </w:tc>
        <w:tc>
          <w:tcPr>
            <w:tcW w:w="1982" w:type="dxa"/>
            <w:vAlign w:val="top"/>
          </w:tcPr>
          <w:p w14:paraId="75E18A05">
            <w:pPr>
              <w:spacing w:before="204" w:line="220" w:lineRule="auto"/>
              <w:ind w:left="7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作者</w:t>
            </w:r>
          </w:p>
        </w:tc>
        <w:tc>
          <w:tcPr>
            <w:tcW w:w="1568" w:type="dxa"/>
            <w:vAlign w:val="top"/>
          </w:tcPr>
          <w:p w14:paraId="224911DE">
            <w:pPr>
              <w:spacing w:before="204" w:line="220" w:lineRule="auto"/>
              <w:ind w:left="5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审核</w:t>
            </w:r>
          </w:p>
        </w:tc>
      </w:tr>
      <w:tr w14:paraId="2FE5BD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568" w:type="dxa"/>
            <w:vAlign w:val="top"/>
          </w:tcPr>
          <w:p w14:paraId="3F6DA577">
            <w:pPr>
              <w:spacing w:before="205" w:line="268" w:lineRule="exact"/>
              <w:ind w:left="5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6" w:type="dxa"/>
            <w:vAlign w:val="top"/>
          </w:tcPr>
          <w:p w14:paraId="410E4074">
            <w:pPr>
              <w:spacing w:before="205" w:line="269" w:lineRule="exact"/>
              <w:ind w:left="44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40" w:type="dxa"/>
            <w:vAlign w:val="top"/>
          </w:tcPr>
          <w:p w14:paraId="4BA1C64E">
            <w:pPr>
              <w:spacing w:before="157" w:line="227" w:lineRule="auto"/>
              <w:ind w:left="7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发布版本</w:t>
            </w:r>
          </w:p>
        </w:tc>
        <w:tc>
          <w:tcPr>
            <w:tcW w:w="1982" w:type="dxa"/>
            <w:vAlign w:val="top"/>
          </w:tcPr>
          <w:p w14:paraId="4B1DAFE6">
            <w:pPr>
              <w:spacing w:before="157" w:line="228" w:lineRule="auto"/>
              <w:ind w:left="6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王予婷</w:t>
            </w:r>
          </w:p>
        </w:tc>
        <w:tc>
          <w:tcPr>
            <w:tcW w:w="1568" w:type="dxa"/>
            <w:vAlign w:val="top"/>
          </w:tcPr>
          <w:p w14:paraId="5ED9E749">
            <w:pPr>
              <w:spacing w:before="160" w:line="228" w:lineRule="auto"/>
              <w:ind w:left="5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宫海亭</w:t>
            </w:r>
          </w:p>
        </w:tc>
      </w:tr>
      <w:tr w14:paraId="2D14F8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8" w:type="dxa"/>
            <w:vAlign w:val="top"/>
          </w:tcPr>
          <w:p w14:paraId="4F328865">
            <w:pPr>
              <w:pStyle w:val="19"/>
            </w:pPr>
          </w:p>
        </w:tc>
        <w:tc>
          <w:tcPr>
            <w:tcW w:w="1696" w:type="dxa"/>
            <w:vAlign w:val="top"/>
          </w:tcPr>
          <w:p w14:paraId="66D9DCDA">
            <w:pPr>
              <w:pStyle w:val="19"/>
            </w:pPr>
          </w:p>
        </w:tc>
        <w:tc>
          <w:tcPr>
            <w:tcW w:w="2340" w:type="dxa"/>
            <w:vAlign w:val="top"/>
          </w:tcPr>
          <w:p w14:paraId="20C06BA5">
            <w:pPr>
              <w:pStyle w:val="19"/>
            </w:pPr>
          </w:p>
        </w:tc>
        <w:tc>
          <w:tcPr>
            <w:tcW w:w="1982" w:type="dxa"/>
            <w:vAlign w:val="top"/>
          </w:tcPr>
          <w:p w14:paraId="4735D9CC">
            <w:pPr>
              <w:pStyle w:val="19"/>
            </w:pPr>
          </w:p>
        </w:tc>
        <w:tc>
          <w:tcPr>
            <w:tcW w:w="1568" w:type="dxa"/>
            <w:vAlign w:val="top"/>
          </w:tcPr>
          <w:p w14:paraId="6E85EDF0">
            <w:pPr>
              <w:pStyle w:val="19"/>
            </w:pPr>
          </w:p>
        </w:tc>
      </w:tr>
      <w:tr w14:paraId="7E39B7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11243FD9">
            <w:pPr>
              <w:pStyle w:val="19"/>
            </w:pPr>
          </w:p>
        </w:tc>
        <w:tc>
          <w:tcPr>
            <w:tcW w:w="1696" w:type="dxa"/>
            <w:vAlign w:val="top"/>
          </w:tcPr>
          <w:p w14:paraId="643EFA79">
            <w:pPr>
              <w:pStyle w:val="19"/>
            </w:pPr>
          </w:p>
        </w:tc>
        <w:tc>
          <w:tcPr>
            <w:tcW w:w="2340" w:type="dxa"/>
            <w:vAlign w:val="top"/>
          </w:tcPr>
          <w:p w14:paraId="633A653E">
            <w:pPr>
              <w:pStyle w:val="19"/>
            </w:pPr>
          </w:p>
        </w:tc>
        <w:tc>
          <w:tcPr>
            <w:tcW w:w="1982" w:type="dxa"/>
            <w:vAlign w:val="top"/>
          </w:tcPr>
          <w:p w14:paraId="7CB6CEB2">
            <w:pPr>
              <w:pStyle w:val="19"/>
            </w:pPr>
          </w:p>
        </w:tc>
        <w:tc>
          <w:tcPr>
            <w:tcW w:w="1568" w:type="dxa"/>
            <w:vAlign w:val="top"/>
          </w:tcPr>
          <w:p w14:paraId="7AA59F36">
            <w:pPr>
              <w:pStyle w:val="19"/>
            </w:pPr>
          </w:p>
        </w:tc>
      </w:tr>
      <w:tr w14:paraId="0354B6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46E0629F">
            <w:pPr>
              <w:pStyle w:val="19"/>
            </w:pPr>
          </w:p>
        </w:tc>
        <w:tc>
          <w:tcPr>
            <w:tcW w:w="1696" w:type="dxa"/>
            <w:vAlign w:val="top"/>
          </w:tcPr>
          <w:p w14:paraId="40C3E053">
            <w:pPr>
              <w:pStyle w:val="19"/>
            </w:pPr>
          </w:p>
        </w:tc>
        <w:tc>
          <w:tcPr>
            <w:tcW w:w="2340" w:type="dxa"/>
            <w:vAlign w:val="top"/>
          </w:tcPr>
          <w:p w14:paraId="5FDDADB6">
            <w:pPr>
              <w:pStyle w:val="19"/>
            </w:pPr>
          </w:p>
        </w:tc>
        <w:tc>
          <w:tcPr>
            <w:tcW w:w="1982" w:type="dxa"/>
            <w:vAlign w:val="top"/>
          </w:tcPr>
          <w:p w14:paraId="349F1DD5">
            <w:pPr>
              <w:pStyle w:val="19"/>
            </w:pPr>
          </w:p>
        </w:tc>
        <w:tc>
          <w:tcPr>
            <w:tcW w:w="1568" w:type="dxa"/>
            <w:vAlign w:val="top"/>
          </w:tcPr>
          <w:p w14:paraId="76D07F07">
            <w:pPr>
              <w:pStyle w:val="19"/>
            </w:pPr>
          </w:p>
        </w:tc>
      </w:tr>
      <w:tr w14:paraId="2137FB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8" w:type="dxa"/>
            <w:vAlign w:val="top"/>
          </w:tcPr>
          <w:p w14:paraId="7424E100">
            <w:pPr>
              <w:pStyle w:val="19"/>
            </w:pPr>
          </w:p>
        </w:tc>
        <w:tc>
          <w:tcPr>
            <w:tcW w:w="1696" w:type="dxa"/>
            <w:vAlign w:val="top"/>
          </w:tcPr>
          <w:p w14:paraId="0FFF8A95">
            <w:pPr>
              <w:pStyle w:val="19"/>
            </w:pPr>
          </w:p>
        </w:tc>
        <w:tc>
          <w:tcPr>
            <w:tcW w:w="2340" w:type="dxa"/>
            <w:vAlign w:val="top"/>
          </w:tcPr>
          <w:p w14:paraId="7FB122CA">
            <w:pPr>
              <w:pStyle w:val="19"/>
            </w:pPr>
          </w:p>
        </w:tc>
        <w:tc>
          <w:tcPr>
            <w:tcW w:w="1982" w:type="dxa"/>
            <w:vAlign w:val="top"/>
          </w:tcPr>
          <w:p w14:paraId="39696CF6">
            <w:pPr>
              <w:pStyle w:val="19"/>
            </w:pPr>
          </w:p>
        </w:tc>
        <w:tc>
          <w:tcPr>
            <w:tcW w:w="1568" w:type="dxa"/>
            <w:vAlign w:val="top"/>
          </w:tcPr>
          <w:p w14:paraId="510211D6">
            <w:pPr>
              <w:pStyle w:val="19"/>
            </w:pPr>
          </w:p>
        </w:tc>
      </w:tr>
    </w:tbl>
    <w:p w14:paraId="77292418">
      <w:pPr>
        <w:pStyle w:val="11"/>
      </w:pPr>
    </w:p>
    <w:p w14:paraId="1A7BAB8D">
      <w:pPr>
        <w:sectPr>
          <w:pgSz w:w="11906" w:h="16840"/>
          <w:pgMar w:top="1431" w:right="1151" w:bottom="0" w:left="1595" w:header="0" w:footer="0" w:gutter="0"/>
          <w:cols w:space="720" w:num="1"/>
        </w:sectPr>
      </w:pPr>
    </w:p>
    <w:p w14:paraId="7A1A319C">
      <w:pPr>
        <w:pStyle w:val="11"/>
        <w:spacing w:line="383" w:lineRule="auto"/>
      </w:pPr>
    </w:p>
    <w:sdt>
      <w:sdtPr>
        <w:rPr>
          <w:rFonts w:ascii="宋体" w:hAnsi="宋体" w:eastAsia="宋体" w:cs="宋体"/>
          <w:sz w:val="28"/>
          <w:szCs w:val="28"/>
        </w:rPr>
        <w:id w:val="14745317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239B6A74">
          <w:pPr>
            <w:spacing w:before="91" w:line="222" w:lineRule="auto"/>
            <w:ind w:left="4092"/>
            <w:rPr>
              <w:rFonts w:ascii="宋体" w:hAnsi="宋体" w:eastAsia="宋体" w:cs="宋体"/>
              <w:sz w:val="28"/>
              <w:szCs w:val="28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5"/>
              <w:sz w:val="28"/>
              <w:szCs w:val="28"/>
            </w:rPr>
            <w:t>目录</w:t>
          </w:r>
        </w:p>
        <w:p w14:paraId="30C4EFDB">
          <w:pPr>
            <w:tabs>
              <w:tab w:val="right" w:leader="dot" w:pos="8484"/>
            </w:tabs>
            <w:spacing w:before="142" w:line="222" w:lineRule="auto"/>
            <w:ind w:left="4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8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3"/>
              <w:sz w:val="24"/>
              <w:szCs w:val="24"/>
            </w:rPr>
            <w:t xml:space="preserve">      </w:t>
          </w:r>
          <w:r>
            <w:rPr>
              <w:rFonts w:ascii="宋体" w:hAnsi="宋体" w:eastAsia="宋体" w:cs="宋体"/>
              <w:spacing w:val="-38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48F6DEDA">
          <w:pPr>
            <w:tabs>
              <w:tab w:val="right" w:leader="dot" w:pos="8484"/>
            </w:tabs>
            <w:spacing w:before="35" w:line="220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4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spacing w:val="2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适用范围</w:t>
          </w:r>
          <w:r>
            <w:rPr>
              <w:rFonts w:ascii="宋体" w:hAnsi="宋体" w:eastAsia="宋体" w:cs="宋体"/>
              <w:spacing w:val="-4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2BB8A5F8">
          <w:pPr>
            <w:tabs>
              <w:tab w:val="right" w:leader="dot" w:pos="8484"/>
            </w:tabs>
            <w:spacing w:before="39" w:line="219" w:lineRule="auto"/>
            <w:ind w:left="10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7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spacing w:val="4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4EA8F7CF">
          <w:pPr>
            <w:tabs>
              <w:tab w:val="right" w:leader="dot" w:pos="8484"/>
            </w:tabs>
            <w:spacing w:before="40" w:line="21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5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管理评审流程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7F5AC441">
          <w:pPr>
            <w:tabs>
              <w:tab w:val="right" w:leader="dot" w:pos="8474"/>
            </w:tabs>
            <w:spacing w:before="41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4.1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管理评审时间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4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fldChar w:fldCharType="end"/>
          </w:r>
        </w:p>
        <w:p w14:paraId="51219D7E">
          <w:pPr>
            <w:tabs>
              <w:tab w:val="right" w:leader="dot" w:pos="8475"/>
            </w:tabs>
            <w:spacing w:before="40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4.2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管理评审的频次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2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fldChar w:fldCharType="end"/>
          </w:r>
        </w:p>
        <w:p w14:paraId="122422EA">
          <w:pPr>
            <w:tabs>
              <w:tab w:val="right" w:leader="dot" w:pos="8475"/>
            </w:tabs>
            <w:spacing w:before="41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4.3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管理评审流程的解释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5B7D870">
          <w:pPr>
            <w:tabs>
              <w:tab w:val="right" w:leader="dot" w:pos="8475"/>
            </w:tabs>
            <w:spacing w:before="39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4"/>
              <w:sz w:val="24"/>
              <w:szCs w:val="24"/>
            </w:rPr>
            <w:t>4.3.1</w:t>
          </w:r>
          <w:r>
            <w:rPr>
              <w:rFonts w:ascii="Calibri" w:hAnsi="Calibri" w:eastAsia="Calibri" w:cs="Calibri"/>
              <w:spacing w:val="12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管理评审准备</w:t>
          </w:r>
          <w:r>
            <w:rPr>
              <w:rFonts w:ascii="宋体" w:hAnsi="宋体" w:eastAsia="宋体" w:cs="宋体"/>
              <w:spacing w:val="-4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4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pacing w:val="-14"/>
              <w:sz w:val="24"/>
              <w:szCs w:val="24"/>
            </w:rPr>
            <w:fldChar w:fldCharType="end"/>
          </w:r>
        </w:p>
        <w:p w14:paraId="4CF4F093">
          <w:pPr>
            <w:tabs>
              <w:tab w:val="right" w:leader="dot" w:pos="8475"/>
            </w:tabs>
            <w:spacing w:before="41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4.3.2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召开管理评审会议</w:t>
          </w:r>
          <w:r>
            <w:rPr>
              <w:rFonts w:ascii="宋体" w:hAnsi="宋体" w:eastAsia="宋体" w:cs="宋体"/>
              <w:spacing w:val="-3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fldChar w:fldCharType="end"/>
          </w:r>
        </w:p>
        <w:p w14:paraId="654AAE3D">
          <w:pPr>
            <w:tabs>
              <w:tab w:val="right" w:leader="dot" w:pos="8475"/>
            </w:tabs>
            <w:spacing w:before="40" w:line="218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4.3.3</w:t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编写管理评审报告</w:t>
          </w:r>
          <w:r>
            <w:rPr>
              <w:rFonts w:ascii="宋体" w:hAnsi="宋体" w:eastAsia="宋体" w:cs="宋体"/>
              <w:spacing w:val="-3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fldChar w:fldCharType="end"/>
          </w:r>
        </w:p>
        <w:p w14:paraId="0FFF5B32">
          <w:pPr>
            <w:tabs>
              <w:tab w:val="right" w:leader="dot" w:pos="8475"/>
            </w:tabs>
            <w:spacing w:before="44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4.3.4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改进措施的实施</w:t>
          </w:r>
          <w:r>
            <w:rPr>
              <w:rFonts w:ascii="宋体" w:hAnsi="宋体" w:eastAsia="宋体" w:cs="宋体"/>
              <w:spacing w:val="-4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9B590D5">
          <w:pPr>
            <w:tabs>
              <w:tab w:val="right" w:leader="dot" w:pos="8479"/>
            </w:tabs>
            <w:spacing w:before="39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4.3.5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改进措施的跟踪验证</w:t>
          </w:r>
          <w:r>
            <w:rPr>
              <w:rFonts w:ascii="宋体" w:hAnsi="宋体" w:eastAsia="宋体" w:cs="宋体"/>
              <w:spacing w:val="-3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4C074FC2">
          <w:pPr>
            <w:tabs>
              <w:tab w:val="right" w:leader="dot" w:pos="8484"/>
            </w:tabs>
            <w:spacing w:before="41" w:line="220" w:lineRule="auto"/>
            <w:ind w:left="14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5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流程衡量指标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fldChar w:fldCharType="end"/>
          </w:r>
        </w:p>
        <w:p w14:paraId="64A78EC1">
          <w:pPr>
            <w:tabs>
              <w:tab w:val="right" w:leader="dot" w:pos="8484"/>
            </w:tabs>
            <w:spacing w:before="62" w:line="219" w:lineRule="auto"/>
            <w:ind w:left="1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6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相关文件及模板</w:t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fldChar w:fldCharType="end"/>
          </w:r>
        </w:p>
      </w:sdtContent>
    </w:sdt>
    <w:p w14:paraId="0416D837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40"/>
          <w:pgMar w:top="1431" w:right="1713" w:bottom="0" w:left="1707" w:header="0" w:footer="0" w:gutter="0"/>
          <w:cols w:space="720" w:num="1"/>
        </w:sectPr>
      </w:pPr>
    </w:p>
    <w:p w14:paraId="7B713F9D">
      <w:pPr>
        <w:pStyle w:val="20"/>
        <w:bidi w:val="0"/>
      </w:pPr>
      <w:bookmarkStart w:id="1" w:name="bookmark2"/>
      <w:bookmarkEnd w:id="1"/>
      <w:r>
        <w:t>目的</w:t>
      </w:r>
    </w:p>
    <w:p w14:paraId="7BD84A0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管理层按策划的时间间隔定期对公司质量监督体系进行系统评价，提出并</w:t>
      </w:r>
      <w:r>
        <w:rPr>
          <w:rFonts w:ascii="宋体" w:hAnsi="宋体" w:eastAsia="宋体" w:cs="宋体"/>
          <w:spacing w:val="-1"/>
          <w:sz w:val="24"/>
          <w:szCs w:val="24"/>
        </w:rPr>
        <w:t>确定各种改进的机会和变更需要，确保质量监督体系持续的适宜性、充分性和</w:t>
      </w:r>
      <w:r>
        <w:rPr>
          <w:rFonts w:ascii="宋体" w:hAnsi="宋体" w:eastAsia="宋体" w:cs="宋体"/>
          <w:spacing w:val="-8"/>
          <w:sz w:val="24"/>
          <w:szCs w:val="24"/>
        </w:rPr>
        <w:t>有效性。</w:t>
      </w:r>
    </w:p>
    <w:p w14:paraId="6B27CD75">
      <w:pPr>
        <w:pStyle w:val="20"/>
        <w:bidi w:val="0"/>
      </w:pPr>
      <w:bookmarkStart w:id="2" w:name="bookmark3"/>
      <w:bookmarkEnd w:id="2"/>
      <w:r>
        <w:t>适用范围</w:t>
      </w:r>
    </w:p>
    <w:p w14:paraId="5263225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适用于公司运维体系所覆盖的所有部门。</w:t>
      </w:r>
    </w:p>
    <w:p w14:paraId="1651780C">
      <w:pPr>
        <w:pStyle w:val="20"/>
        <w:bidi w:val="0"/>
      </w:pPr>
      <w:bookmarkStart w:id="3" w:name="bookmark4"/>
      <w:bookmarkEnd w:id="3"/>
      <w:r>
        <w:t>角色与职责</w:t>
      </w:r>
    </w:p>
    <w:tbl>
      <w:tblPr>
        <w:tblStyle w:val="18"/>
        <w:tblW w:w="918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6"/>
        <w:gridCol w:w="7201"/>
      </w:tblGrid>
      <w:tr w14:paraId="5E2B4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986" w:type="dxa"/>
            <w:shd w:val="clear" w:color="auto" w:fill="C0C0C0"/>
            <w:vAlign w:val="top"/>
          </w:tcPr>
          <w:p w14:paraId="5CD88391">
            <w:pPr>
              <w:spacing w:before="202" w:line="219" w:lineRule="auto"/>
              <w:ind w:left="7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角色</w:t>
            </w:r>
          </w:p>
        </w:tc>
        <w:tc>
          <w:tcPr>
            <w:tcW w:w="7201" w:type="dxa"/>
            <w:shd w:val="clear" w:color="auto" w:fill="C0C0C0"/>
            <w:vAlign w:val="top"/>
          </w:tcPr>
          <w:p w14:paraId="527DD37F">
            <w:pPr>
              <w:spacing w:before="204" w:line="221" w:lineRule="auto"/>
              <w:ind w:left="31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主要职责</w:t>
            </w:r>
          </w:p>
        </w:tc>
      </w:tr>
      <w:tr w14:paraId="199E7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4" w:hRule="atLeast"/>
        </w:trPr>
        <w:tc>
          <w:tcPr>
            <w:tcW w:w="1986" w:type="dxa"/>
            <w:vAlign w:val="top"/>
          </w:tcPr>
          <w:p w14:paraId="1AD3AC94">
            <w:pPr>
              <w:pStyle w:val="19"/>
              <w:spacing w:line="275" w:lineRule="auto"/>
            </w:pPr>
          </w:p>
          <w:p w14:paraId="2F6323C9">
            <w:pPr>
              <w:pStyle w:val="19"/>
              <w:spacing w:line="275" w:lineRule="auto"/>
            </w:pPr>
          </w:p>
          <w:p w14:paraId="7AD98282">
            <w:pPr>
              <w:spacing w:before="78" w:line="220" w:lineRule="auto"/>
              <w:ind w:left="5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质量中心</w:t>
            </w:r>
          </w:p>
        </w:tc>
        <w:tc>
          <w:tcPr>
            <w:tcW w:w="7201" w:type="dxa"/>
            <w:vAlign w:val="top"/>
          </w:tcPr>
          <w:p w14:paraId="4A728B63">
            <w:pPr>
              <w:spacing w:before="92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受公司最高管理者委托，由质量中心负责实现管理评审活动；</w:t>
            </w:r>
          </w:p>
          <w:p w14:paraId="3B2F06F9">
            <w:pPr>
              <w:spacing w:before="71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负责对本程序文件的意见收集、改进和更新、培训及解释工作；</w:t>
            </w:r>
          </w:p>
          <w:p w14:paraId="74E01F3F">
            <w:pPr>
              <w:spacing w:before="94" w:line="229" w:lineRule="auto"/>
              <w:ind w:left="115" w:right="14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负责管理评审的准备、记录工作，并负责对管理评审改进措施的跟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踪和验证。</w:t>
            </w:r>
          </w:p>
        </w:tc>
      </w:tr>
      <w:tr w14:paraId="3817A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6" w:type="dxa"/>
            <w:vAlign w:val="top"/>
          </w:tcPr>
          <w:p w14:paraId="1056603D">
            <w:pPr>
              <w:spacing w:before="207" w:line="220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质量中心经理</w:t>
            </w:r>
          </w:p>
        </w:tc>
        <w:tc>
          <w:tcPr>
            <w:tcW w:w="7201" w:type="dxa"/>
            <w:vAlign w:val="top"/>
          </w:tcPr>
          <w:p w14:paraId="0ED1587F">
            <w:pPr>
              <w:spacing w:before="205" w:line="218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负责管理评审的组织和协调，并报告公司整体运营情况。</w:t>
            </w:r>
          </w:p>
        </w:tc>
      </w:tr>
      <w:tr w14:paraId="498D6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1986" w:type="dxa"/>
            <w:vAlign w:val="top"/>
          </w:tcPr>
          <w:p w14:paraId="33A4AEC1">
            <w:pPr>
              <w:spacing w:before="212" w:line="219" w:lineRule="auto"/>
              <w:ind w:left="6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各部门</w:t>
            </w:r>
          </w:p>
        </w:tc>
        <w:tc>
          <w:tcPr>
            <w:tcW w:w="7201" w:type="dxa"/>
            <w:vAlign w:val="top"/>
          </w:tcPr>
          <w:p w14:paraId="32E2E8C9">
            <w:pPr>
              <w:spacing w:before="208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负责提供管理评审输入资料和评审后的改进措施的实施。</w:t>
            </w:r>
          </w:p>
        </w:tc>
      </w:tr>
    </w:tbl>
    <w:p w14:paraId="4CFCFA03">
      <w:pPr>
        <w:pStyle w:val="11"/>
        <w:spacing w:line="291" w:lineRule="auto"/>
      </w:pPr>
    </w:p>
    <w:p w14:paraId="3A1F9149">
      <w:pPr>
        <w:pStyle w:val="20"/>
        <w:bidi w:val="0"/>
      </w:pPr>
      <w:bookmarkStart w:id="4" w:name="bookmark6"/>
      <w:bookmarkEnd w:id="4"/>
      <w:bookmarkStart w:id="5" w:name="bookmark5"/>
      <w:bookmarkEnd w:id="5"/>
      <w:bookmarkStart w:id="6" w:name="bookmark7"/>
      <w:bookmarkEnd w:id="6"/>
      <w:r>
        <w:t>管理评审流程</w:t>
      </w:r>
    </w:p>
    <w:p w14:paraId="0E0640DB">
      <w:pPr>
        <w:pStyle w:val="21"/>
        <w:bidi w:val="0"/>
      </w:pPr>
      <w:bookmarkStart w:id="7" w:name="bookmark16"/>
      <w:bookmarkEnd w:id="7"/>
      <w:r>
        <w:t>管理评审时间</w:t>
      </w:r>
    </w:p>
    <w:p w14:paraId="6395CD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管理评审时间一般会在内审结束后一周左右进行。</w:t>
      </w:r>
    </w:p>
    <w:p w14:paraId="7FA1A836">
      <w:pPr>
        <w:pStyle w:val="21"/>
        <w:bidi w:val="0"/>
      </w:pPr>
      <w:bookmarkStart w:id="8" w:name="bookmark17"/>
      <w:bookmarkEnd w:id="8"/>
      <w:r>
        <w:t>管理评审的频次</w:t>
      </w:r>
    </w:p>
    <w:p w14:paraId="33A5C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管理评审每年进行一次，两次评审间隔不超过12个月。当遇到下列情况时，总经理确定增加评审次数：</w:t>
      </w:r>
    </w:p>
    <w:p w14:paraId="4DC9681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组织机构发生重大变化时；</w:t>
      </w:r>
    </w:p>
    <w:p w14:paraId="4316AF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发生重大质量事故时；</w:t>
      </w:r>
    </w:p>
    <w:p w14:paraId="0D28E5E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市场需求发生重大变化时；</w:t>
      </w:r>
    </w:p>
    <w:p w14:paraId="7A447A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当国家政策或法律、法规发生重大变化时，影响到公司经营方针或目标有重大改变时；</w:t>
      </w:r>
    </w:p>
    <w:p w14:paraId="2AAA1B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公司最高管理者认为有必要时。</w:t>
      </w:r>
    </w:p>
    <w:p w14:paraId="19BD0B30">
      <w:pPr>
        <w:pStyle w:val="21"/>
        <w:bidi w:val="0"/>
      </w:pPr>
      <w:bookmarkStart w:id="9" w:name="bookmark8"/>
      <w:bookmarkEnd w:id="9"/>
      <w:r>
        <w:t>管理评审流程的解释</w:t>
      </w:r>
    </w:p>
    <w:p w14:paraId="7ECB840C">
      <w:pPr>
        <w:pStyle w:val="11"/>
        <w:spacing w:line="309" w:lineRule="auto"/>
      </w:pPr>
    </w:p>
    <w:p w14:paraId="5BA4004F">
      <w:pPr>
        <w:pStyle w:val="11"/>
        <w:spacing w:line="309" w:lineRule="auto"/>
      </w:pPr>
    </w:p>
    <w:p w14:paraId="7C1D13D5">
      <w:pPr>
        <w:pStyle w:val="11"/>
        <w:spacing w:line="309" w:lineRule="auto"/>
      </w:pPr>
    </w:p>
    <w:p w14:paraId="276771AD">
      <w:pPr>
        <w:spacing w:before="78" w:line="244" w:lineRule="auto"/>
        <w:ind w:left="3864" w:right="3282" w:hanging="222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-128905</wp:posOffset>
            </wp:positionV>
            <wp:extent cx="1828800" cy="463169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3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6"/>
          <w:sz w:val="24"/>
          <w:szCs w:val="24"/>
        </w:rPr>
        <w:t>下达召开管理</w:t>
      </w:r>
      <w:r>
        <w:rPr>
          <w:rFonts w:ascii="宋体" w:hAnsi="宋体" w:eastAsia="宋体" w:cs="宋体"/>
          <w:spacing w:val="-4"/>
          <w:sz w:val="24"/>
          <w:szCs w:val="24"/>
        </w:rPr>
        <w:t>评审通知</w:t>
      </w:r>
    </w:p>
    <w:p w14:paraId="6EB38321">
      <w:pPr>
        <w:pStyle w:val="11"/>
      </w:pPr>
    </w:p>
    <w:p w14:paraId="563FF7AC">
      <w:pPr>
        <w:pStyle w:val="11"/>
        <w:spacing w:line="241" w:lineRule="auto"/>
      </w:pPr>
    </w:p>
    <w:p w14:paraId="5EDD9E85">
      <w:pPr>
        <w:spacing w:before="78" w:line="219" w:lineRule="auto"/>
        <w:ind w:left="36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制定管理评审计划</w:t>
      </w:r>
    </w:p>
    <w:p w14:paraId="43C2EEA8">
      <w:pPr>
        <w:pStyle w:val="11"/>
        <w:spacing w:line="284" w:lineRule="auto"/>
      </w:pPr>
    </w:p>
    <w:p w14:paraId="2193762F">
      <w:pPr>
        <w:pStyle w:val="11"/>
        <w:spacing w:line="285" w:lineRule="auto"/>
      </w:pPr>
    </w:p>
    <w:p w14:paraId="2F0142C6">
      <w:pPr>
        <w:spacing w:before="79" w:line="219" w:lineRule="auto"/>
        <w:ind w:left="37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评审输入准备</w:t>
      </w:r>
    </w:p>
    <w:p w14:paraId="437D563E">
      <w:pPr>
        <w:pStyle w:val="11"/>
        <w:spacing w:line="286" w:lineRule="auto"/>
      </w:pPr>
    </w:p>
    <w:p w14:paraId="1BBB3C4C">
      <w:pPr>
        <w:pStyle w:val="11"/>
        <w:spacing w:line="286" w:lineRule="auto"/>
      </w:pPr>
    </w:p>
    <w:p w14:paraId="323CC06E">
      <w:pPr>
        <w:spacing w:before="78" w:line="219" w:lineRule="auto"/>
        <w:ind w:left="3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评审输入整理、发放</w:t>
      </w:r>
    </w:p>
    <w:p w14:paraId="04F73CC7">
      <w:pPr>
        <w:pStyle w:val="11"/>
        <w:spacing w:line="282" w:lineRule="auto"/>
      </w:pPr>
    </w:p>
    <w:p w14:paraId="48C45086">
      <w:pPr>
        <w:pStyle w:val="11"/>
        <w:spacing w:line="282" w:lineRule="auto"/>
      </w:pPr>
    </w:p>
    <w:p w14:paraId="42180068">
      <w:pPr>
        <w:spacing w:before="78" w:line="219" w:lineRule="auto"/>
        <w:ind w:left="3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召开评审会</w:t>
      </w:r>
    </w:p>
    <w:p w14:paraId="201CFDB8">
      <w:pPr>
        <w:pStyle w:val="11"/>
        <w:spacing w:line="277" w:lineRule="auto"/>
      </w:pPr>
    </w:p>
    <w:p w14:paraId="41C55C90">
      <w:pPr>
        <w:pStyle w:val="11"/>
        <w:spacing w:line="278" w:lineRule="auto"/>
      </w:pPr>
    </w:p>
    <w:p w14:paraId="613C61F3">
      <w:pPr>
        <w:spacing w:before="79" w:line="218" w:lineRule="auto"/>
        <w:ind w:left="383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编写评审报告</w:t>
      </w:r>
    </w:p>
    <w:p w14:paraId="1BD1D675">
      <w:pPr>
        <w:pStyle w:val="11"/>
        <w:spacing w:line="296" w:lineRule="auto"/>
      </w:pPr>
    </w:p>
    <w:p w14:paraId="2E38CBC6">
      <w:pPr>
        <w:pStyle w:val="11"/>
        <w:spacing w:line="297" w:lineRule="auto"/>
      </w:pPr>
    </w:p>
    <w:p w14:paraId="67CAF063">
      <w:pPr>
        <w:spacing w:before="78" w:line="219" w:lineRule="auto"/>
        <w:ind w:left="37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改进措施的实施</w:t>
      </w:r>
    </w:p>
    <w:p w14:paraId="4FDD9461">
      <w:pPr>
        <w:pStyle w:val="11"/>
        <w:spacing w:line="419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227330</wp:posOffset>
            </wp:positionV>
            <wp:extent cx="1517015" cy="952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1BE5A">
      <w:pPr>
        <w:spacing w:before="78" w:line="219" w:lineRule="auto"/>
        <w:ind w:left="3454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255905</wp:posOffset>
            </wp:positionV>
            <wp:extent cx="1517015" cy="952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4"/>
          <w:sz w:val="24"/>
          <w:szCs w:val="24"/>
        </w:rPr>
        <w:t>改进措施的跟踪验证</w:t>
      </w:r>
    </w:p>
    <w:p w14:paraId="0713659F">
      <w:pPr>
        <w:spacing w:before="187" w:line="337" w:lineRule="exact"/>
        <w:ind w:left="3004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图</w:t>
      </w:r>
      <w:r>
        <w:rPr>
          <w:rFonts w:ascii="黑体" w:hAnsi="黑体" w:eastAsia="黑体" w:cs="黑体"/>
          <w:spacing w:val="-54"/>
          <w:position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9"/>
          <w:position w:val="1"/>
          <w:sz w:val="24"/>
          <w:szCs w:val="24"/>
        </w:rPr>
        <w:t>4-1</w:t>
      </w:r>
      <w:r>
        <w:rPr>
          <w:rFonts w:ascii="Calibri" w:hAnsi="Calibri" w:eastAsia="Calibri" w:cs="Calibri"/>
          <w:b/>
          <w:bCs/>
          <w:spacing w:val="13"/>
          <w:position w:val="1"/>
          <w:sz w:val="24"/>
          <w:szCs w:val="24"/>
        </w:rPr>
        <w:t xml:space="preserve">  </w:t>
      </w: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管理评审流程图</w:t>
      </w:r>
    </w:p>
    <w:p w14:paraId="5AF380AC">
      <w:pPr>
        <w:pStyle w:val="22"/>
        <w:bidi w:val="0"/>
      </w:pPr>
      <w:bookmarkStart w:id="10" w:name="bookmark9"/>
      <w:bookmarkEnd w:id="10"/>
      <w:r>
        <w:t>管理评审准备</w:t>
      </w:r>
    </w:p>
    <w:p w14:paraId="7701EB0E">
      <w:pPr>
        <w:spacing w:before="295" w:line="338" w:lineRule="exact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position w:val="1"/>
          <w:sz w:val="24"/>
          <w:szCs w:val="24"/>
        </w:rPr>
        <w:t>4.3.1.1</w:t>
      </w:r>
      <w:r>
        <w:rPr>
          <w:rFonts w:ascii="Calibri" w:hAnsi="Calibri" w:eastAsia="Calibri" w:cs="Calibri"/>
          <w:b/>
          <w:bCs/>
          <w:spacing w:val="23"/>
          <w:w w:val="101"/>
          <w:position w:val="1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6"/>
          <w:position w:val="1"/>
          <w:sz w:val="24"/>
          <w:szCs w:val="24"/>
        </w:rPr>
        <w:t>下达召开管理评审通知</w:t>
      </w:r>
    </w:p>
    <w:p w14:paraId="0C5C1250">
      <w:pPr>
        <w:pStyle w:val="11"/>
        <w:spacing w:line="250" w:lineRule="auto"/>
      </w:pPr>
    </w:p>
    <w:p w14:paraId="71F16BA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管理者代表通知质量中心召开管理评审的时间和内容，明确管理评审内容的责任部门和责任人。</w:t>
      </w:r>
    </w:p>
    <w:p w14:paraId="64A37DD3">
      <w:pPr>
        <w:spacing w:before="100" w:line="338" w:lineRule="exact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position w:val="1"/>
          <w:sz w:val="24"/>
          <w:szCs w:val="24"/>
        </w:rPr>
        <w:t>4.3.1.2</w:t>
      </w:r>
      <w:r>
        <w:rPr>
          <w:rFonts w:ascii="Calibri" w:hAnsi="Calibri" w:eastAsia="Calibri" w:cs="Calibri"/>
          <w:b/>
          <w:bCs/>
          <w:spacing w:val="39"/>
          <w:w w:val="101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6"/>
          <w:position w:val="1"/>
          <w:sz w:val="24"/>
          <w:szCs w:val="24"/>
        </w:rPr>
        <w:t>制定管理评审计划</w:t>
      </w:r>
    </w:p>
    <w:p w14:paraId="3B04AC21">
      <w:pPr>
        <w:pStyle w:val="11"/>
        <w:spacing w:line="251" w:lineRule="auto"/>
      </w:pPr>
    </w:p>
    <w:p w14:paraId="75721B0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质量中心负责编制计划，计划中确定管理评审时间、地点、参加人员及各部门需要提交给质量中心的管理评审的输入信息。该计划于评审前发放到各部门，要求各部门准备相关资料。管理评审的输入一般包括：</w:t>
      </w:r>
    </w:p>
    <w:p w14:paraId="5E476E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审核结果（内、外部）；</w:t>
      </w:r>
    </w:p>
    <w:p w14:paraId="357AF71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206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客户反馈，包括客户满意和不满意程度的测量结果、客户投诉等；</w:t>
      </w:r>
    </w:p>
    <w:p w14:paraId="0F02D9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质量中心定期或不定期对各部门进行巡检的结果。检查方法：抽查；</w:t>
      </w:r>
    </w:p>
    <w:p w14:paraId="41485E8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预防和纠正措施的实施情况；</w:t>
      </w:r>
    </w:p>
    <w:p w14:paraId="791EDD4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以往管理评审所确定的措施的实施情况及有效性；</w:t>
      </w:r>
    </w:p>
    <w:p w14:paraId="33FAC8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可能影响质量监督运维能力体系的变更，如内外部环境、组织机构变化；</w:t>
      </w:r>
    </w:p>
    <w:p w14:paraId="127EF7B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由于各种原因而引起有关组织的产品、过程和体系改进的建议。</w:t>
      </w:r>
    </w:p>
    <w:p w14:paraId="583E1BAA">
      <w:pPr>
        <w:spacing w:before="78" w:line="219" w:lineRule="auto"/>
        <w:ind w:left="2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 xml:space="preserve">4.3.1.3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评审输入的整理和发放</w:t>
      </w:r>
    </w:p>
    <w:p w14:paraId="03E15B5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在管理评审会议召开 2 天前，各部门将应该提交的资料提交到质量中心，质量中心根据各部门提交的资料进行整理，形成管理评审计划的初稿，至少在会议召开的前一天发给参会人员。</w:t>
      </w:r>
    </w:p>
    <w:p w14:paraId="1C190427">
      <w:pPr>
        <w:pStyle w:val="22"/>
        <w:bidi w:val="0"/>
      </w:pPr>
      <w:bookmarkStart w:id="11" w:name="bookmark1"/>
      <w:bookmarkEnd w:id="11"/>
      <w:bookmarkStart w:id="12" w:name="bookmark10"/>
      <w:bookmarkEnd w:id="12"/>
      <w:r>
        <w:t>召开管理评审会议</w:t>
      </w:r>
    </w:p>
    <w:p w14:paraId="00F3549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由管理者代表主持召开管理评审会议，对管理评审输入资料内容进行评审，参加会议人员进行充分评价后，做出评审结论（必要时由总经理确定，辅以现场审查），质量中心负责会议评审的记录和保存。</w:t>
      </w:r>
    </w:p>
    <w:p w14:paraId="606B0916">
      <w:pPr>
        <w:pStyle w:val="22"/>
        <w:bidi w:val="0"/>
      </w:pPr>
      <w:bookmarkStart w:id="13" w:name="bookmark11"/>
      <w:bookmarkEnd w:id="13"/>
      <w:bookmarkStart w:id="14" w:name="bookmark1"/>
      <w:bookmarkEnd w:id="14"/>
      <w:r>
        <w:t>编写管理评审报告</w:t>
      </w:r>
    </w:p>
    <w:p w14:paraId="420387C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质量中心根据会议记录的内容编写《管理评审报告》。《管理评审报告》整理完成后报总经理审批。管理评审报告的内容（输出）一般包括：</w:t>
      </w:r>
    </w:p>
    <w:p w14:paraId="169B8D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会议时间、地点、参加人员；</w:t>
      </w:r>
    </w:p>
    <w:p w14:paraId="7CF4548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发放范围；</w:t>
      </w:r>
    </w:p>
    <w:p w14:paraId="08C648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评审内容；</w:t>
      </w:r>
    </w:p>
    <w:p w14:paraId="684CF81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评审结论：</w:t>
      </w:r>
    </w:p>
    <w:p w14:paraId="7D8B9D3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A   质量监督运维能力体系持续的适宜性、充分性和有效性及公司方针、目标实现情况的评价。</w:t>
      </w:r>
    </w:p>
    <w:p w14:paraId="2CB38DC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B   质量监督运维能力体系及其过程有效性的改进方面的决定和措施（如对质量运维能力体系方针和目标、组织结构与职责权限、质量监</w:t>
      </w: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144780" cy="15240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2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>维能力体系文件</w:t>
      </w:r>
    </w:p>
    <w:p w14:paraId="11A8539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及具体的产品实现过程的改进。）</w:t>
      </w:r>
    </w:p>
    <w:p w14:paraId="1BF9BF1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 xml:space="preserve">C  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与客户要求有关的产品的改进方面的决定和措施。</w:t>
      </w:r>
    </w:p>
    <w:p w14:paraId="6B456E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 xml:space="preserve">D  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与有关资源需求的改进方面的决定和措施。</w:t>
      </w:r>
    </w:p>
    <w:p w14:paraId="360B0DC0">
      <w:pPr>
        <w:pStyle w:val="22"/>
        <w:bidi w:val="0"/>
      </w:pPr>
      <w:bookmarkStart w:id="15" w:name="bookmark12"/>
      <w:bookmarkEnd w:id="15"/>
      <w:r>
        <w:t>改进措施的实施</w:t>
      </w:r>
    </w:p>
    <w:p w14:paraId="5EFDBB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各部门根据管理评审报告中提出的改进决定和措施，由相关部门制定改进措施并列入下一工作周期的改进计划。</w:t>
      </w:r>
    </w:p>
    <w:p w14:paraId="51A76564">
      <w:pPr>
        <w:pStyle w:val="22"/>
        <w:bidi w:val="0"/>
      </w:pPr>
      <w:bookmarkStart w:id="16" w:name="bookmark18"/>
      <w:bookmarkEnd w:id="16"/>
      <w:r>
        <w:t>改进措施的跟踪验证</w:t>
      </w:r>
    </w:p>
    <w:p w14:paraId="03F645E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质量中心跟踪验证改进部门的实施效果，验证不合格的需重新制定纠正措施并实施，继续跟踪验证直至合格，并报告给管理者代表。</w:t>
      </w:r>
    </w:p>
    <w:p w14:paraId="27ACBB83">
      <w:pPr>
        <w:pStyle w:val="20"/>
        <w:bidi w:val="0"/>
      </w:pPr>
      <w:bookmarkStart w:id="17" w:name="bookmark13"/>
      <w:bookmarkEnd w:id="17"/>
      <w:bookmarkStart w:id="18" w:name="bookmark14"/>
      <w:bookmarkEnd w:id="18"/>
      <w:r>
        <w:t>流程衡量指标</w:t>
      </w:r>
    </w:p>
    <w:tbl>
      <w:tblPr>
        <w:tblStyle w:val="18"/>
        <w:tblW w:w="8404" w:type="dxa"/>
        <w:tblInd w:w="1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2379"/>
        <w:gridCol w:w="5158"/>
      </w:tblGrid>
      <w:tr w14:paraId="336335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60B819D5">
            <w:pPr>
              <w:spacing w:before="205" w:line="221" w:lineRule="auto"/>
              <w:ind w:left="19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237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3DD17CDB">
            <w:pPr>
              <w:spacing w:before="203" w:line="220" w:lineRule="auto"/>
              <w:ind w:left="7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51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70FB3119">
            <w:pPr>
              <w:spacing w:before="204" w:line="219" w:lineRule="auto"/>
              <w:ind w:left="1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指标计算说明</w:t>
            </w:r>
          </w:p>
        </w:tc>
      </w:tr>
      <w:tr w14:paraId="4D9306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6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45CF9ED8">
            <w:pPr>
              <w:spacing w:before="244" w:line="180" w:lineRule="auto"/>
              <w:ind w:left="39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79" w:type="dxa"/>
            <w:tcBorders>
              <w:top w:val="single" w:color="000000" w:sz="6" w:space="0"/>
            </w:tcBorders>
            <w:vAlign w:val="top"/>
          </w:tcPr>
          <w:p w14:paraId="3C884906">
            <w:pPr>
              <w:spacing w:before="194" w:line="219" w:lineRule="auto"/>
              <w:ind w:left="7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不符合项</w:t>
            </w:r>
          </w:p>
        </w:tc>
        <w:tc>
          <w:tcPr>
            <w:tcW w:w="5158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C243874">
            <w:pPr>
              <w:spacing w:before="194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数量：在审核中发现的不符合项数量及分类</w:t>
            </w:r>
          </w:p>
        </w:tc>
      </w:tr>
      <w:tr w14:paraId="302851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867" w:type="dxa"/>
            <w:tcBorders>
              <w:left w:val="single" w:color="000000" w:sz="6" w:space="0"/>
            </w:tcBorders>
            <w:vAlign w:val="top"/>
          </w:tcPr>
          <w:p w14:paraId="7E138B69">
            <w:pPr>
              <w:spacing w:before="260" w:line="181" w:lineRule="auto"/>
              <w:ind w:left="37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79" w:type="dxa"/>
            <w:vAlign w:val="top"/>
          </w:tcPr>
          <w:p w14:paraId="288FB1C4">
            <w:pPr>
              <w:spacing w:before="211" w:line="219" w:lineRule="auto"/>
              <w:ind w:left="3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不符合项占有率</w:t>
            </w:r>
          </w:p>
        </w:tc>
        <w:tc>
          <w:tcPr>
            <w:tcW w:w="5158" w:type="dxa"/>
            <w:tcBorders>
              <w:right w:val="single" w:color="000000" w:sz="6" w:space="0"/>
            </w:tcBorders>
            <w:vAlign w:val="top"/>
          </w:tcPr>
          <w:p w14:paraId="10A90F7B">
            <w:pPr>
              <w:spacing w:before="156" w:line="321" w:lineRule="exact"/>
              <w:ind w:left="12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4"/>
                <w:szCs w:val="24"/>
              </w:rPr>
              <w:t>算法：不符合项数量</w:t>
            </w:r>
            <w:r>
              <w:rPr>
                <w:rFonts w:ascii="Calibri" w:hAnsi="Calibri" w:eastAsia="Calibri" w:cs="Calibri"/>
                <w:spacing w:val="-2"/>
                <w:position w:val="1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2"/>
                <w:position w:val="1"/>
                <w:sz w:val="24"/>
                <w:szCs w:val="24"/>
              </w:rPr>
              <w:t>审核项总数量</w:t>
            </w:r>
            <w:r>
              <w:rPr>
                <w:rFonts w:ascii="Calibri" w:hAnsi="Calibri" w:eastAsia="Calibri" w:cs="Calibri"/>
                <w:spacing w:val="-2"/>
                <w:position w:val="1"/>
                <w:sz w:val="24"/>
                <w:szCs w:val="24"/>
              </w:rPr>
              <w:t>*100%</w:t>
            </w:r>
          </w:p>
        </w:tc>
      </w:tr>
      <w:tr w14:paraId="445048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86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 w14:paraId="32C88A57">
            <w:pPr>
              <w:pStyle w:val="19"/>
              <w:spacing w:line="269" w:lineRule="auto"/>
            </w:pPr>
          </w:p>
          <w:p w14:paraId="317992B3">
            <w:pPr>
              <w:spacing w:before="73" w:line="181" w:lineRule="auto"/>
              <w:ind w:left="37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79" w:type="dxa"/>
            <w:tcBorders>
              <w:bottom w:val="single" w:color="000000" w:sz="6" w:space="0"/>
            </w:tcBorders>
            <w:vAlign w:val="top"/>
          </w:tcPr>
          <w:p w14:paraId="03428A07">
            <w:pPr>
              <w:spacing w:before="295" w:line="219" w:lineRule="auto"/>
              <w:ind w:left="8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观察项</w:t>
            </w:r>
            <w:bookmarkStart w:id="20" w:name="_GoBack"/>
            <w:bookmarkEnd w:id="20"/>
          </w:p>
        </w:tc>
        <w:tc>
          <w:tcPr>
            <w:tcW w:w="5158" w:type="dxa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 w14:paraId="0CB773AB">
            <w:pPr>
              <w:spacing w:before="133" w:line="231" w:lineRule="auto"/>
              <w:ind w:left="118" w:right="2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某些方面不够完善，有待继续改进。但又不严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重影响体系健康运行</w:t>
            </w:r>
          </w:p>
        </w:tc>
      </w:tr>
    </w:tbl>
    <w:p w14:paraId="66BF8B8F">
      <w:pPr>
        <w:pStyle w:val="11"/>
        <w:spacing w:line="292" w:lineRule="auto"/>
      </w:pPr>
    </w:p>
    <w:p w14:paraId="524ACEC7">
      <w:pPr>
        <w:pStyle w:val="20"/>
        <w:bidi w:val="0"/>
      </w:pPr>
      <w:bookmarkStart w:id="19" w:name="bookmark15"/>
      <w:bookmarkEnd w:id="19"/>
      <w:r>
        <w:t>相关文件及模板</w:t>
      </w:r>
    </w:p>
    <w:p w14:paraId="4C7B3F27">
      <w:pPr>
        <w:spacing w:before="270" w:line="219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《管理评审计划》</w:t>
      </w:r>
    </w:p>
    <w:p w14:paraId="10F07DE6">
      <w:pPr>
        <w:pStyle w:val="11"/>
        <w:spacing w:line="256" w:lineRule="auto"/>
      </w:pPr>
    </w:p>
    <w:p w14:paraId="1D80DDB5">
      <w:pPr>
        <w:spacing w:before="79" w:line="218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《管理评审报告》</w:t>
      </w:r>
    </w:p>
    <w:p w14:paraId="47A9ED6E">
      <w:pPr>
        <w:pStyle w:val="11"/>
        <w:spacing w:line="260" w:lineRule="auto"/>
      </w:pPr>
    </w:p>
    <w:p w14:paraId="19D9A9DC">
      <w:pPr>
        <w:spacing w:before="79" w:line="218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《不符合项报告》</w:t>
      </w:r>
    </w:p>
    <w:sectPr>
      <w:footerReference r:id="rId5" w:type="default"/>
      <w:pgSz w:w="11906" w:h="16840"/>
      <w:pgMar w:top="1431" w:right="1579" w:bottom="1361" w:left="1785" w:header="0" w:footer="119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53E3BC">
    <w:pPr>
      <w:spacing w:line="168" w:lineRule="auto"/>
      <w:ind w:left="41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1B280B"/>
    <w:rsid w:val="09E87633"/>
    <w:rsid w:val="0C450D6C"/>
    <w:rsid w:val="16855FCC"/>
    <w:rsid w:val="23CE0398"/>
    <w:rsid w:val="2EAF2975"/>
    <w:rsid w:val="358F0069"/>
    <w:rsid w:val="36E7464B"/>
    <w:rsid w:val="429914FA"/>
    <w:rsid w:val="493A4AAE"/>
    <w:rsid w:val="589E6E07"/>
    <w:rsid w:val="597D28C9"/>
    <w:rsid w:val="5AA93FD1"/>
    <w:rsid w:val="5BA109BC"/>
    <w:rsid w:val="7CCD11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1780</Words>
  <Characters>1886</Characters>
  <TotalTime>6</TotalTime>
  <ScaleCrop>false</ScaleCrop>
  <LinksUpToDate>false</LinksUpToDate>
  <CharactersWithSpaces>2075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2025-08-18T17:53:00Z</dcterms:created>
  <dc:creator>谢永刚</dc:creator>
  <cp:lastModifiedBy>郝宇</cp:lastModifiedBy>
  <dcterms:modified xsi:type="dcterms:W3CDTF">2025-08-24T06:14:03Z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2025-08-20T23:38:59Z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3F0C7784048F47009E75188F61B4F63E_12</vt:lpwstr>
  </property>
</Properties>
</file>