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15659">
      <w:pPr>
        <w:pStyle w:val="11"/>
        <w:spacing w:line="270" w:lineRule="auto"/>
      </w:pPr>
    </w:p>
    <w:p w14:paraId="6521FAD8">
      <w:pPr>
        <w:pStyle w:val="11"/>
        <w:spacing w:line="271" w:lineRule="auto"/>
      </w:pPr>
    </w:p>
    <w:p w14:paraId="2F27C367">
      <w:pPr>
        <w:pStyle w:val="11"/>
        <w:spacing w:line="271" w:lineRule="auto"/>
      </w:pPr>
    </w:p>
    <w:p w14:paraId="5E0900CC">
      <w:pPr>
        <w:pStyle w:val="11"/>
        <w:spacing w:line="271" w:lineRule="auto"/>
      </w:pPr>
    </w:p>
    <w:p w14:paraId="2E395150">
      <w:pPr>
        <w:pStyle w:val="11"/>
        <w:spacing w:line="271" w:lineRule="auto"/>
      </w:pPr>
    </w:p>
    <w:p w14:paraId="05D05597">
      <w:pPr>
        <w:pStyle w:val="11"/>
        <w:spacing w:line="271" w:lineRule="auto"/>
      </w:pPr>
    </w:p>
    <w:p w14:paraId="09348540">
      <w:pPr>
        <w:pStyle w:val="11"/>
        <w:spacing w:line="271" w:lineRule="auto"/>
      </w:pPr>
    </w:p>
    <w:p w14:paraId="4ACA7A37">
      <w:pPr>
        <w:spacing w:before="156" w:line="220" w:lineRule="auto"/>
        <w:ind w:left="1785"/>
        <w:outlineLvl w:val="0"/>
        <w:rPr>
          <w:rFonts w:ascii="宋体" w:hAnsi="宋体" w:eastAsia="宋体" w:cs="宋体"/>
          <w:sz w:val="48"/>
          <w:szCs w:val="48"/>
        </w:rPr>
      </w:pPr>
      <w:bookmarkStart w:id="0" w:name="_Toc7575"/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运维服务质量管理制度</w:t>
      </w:r>
      <w:bookmarkEnd w:id="0"/>
    </w:p>
    <w:p w14:paraId="19A74A73">
      <w:pPr>
        <w:pStyle w:val="11"/>
        <w:spacing w:line="252" w:lineRule="auto"/>
      </w:pPr>
    </w:p>
    <w:p w14:paraId="295056FD">
      <w:pPr>
        <w:pStyle w:val="11"/>
        <w:spacing w:line="253" w:lineRule="auto"/>
      </w:pPr>
    </w:p>
    <w:p w14:paraId="1A390686">
      <w:pPr>
        <w:pStyle w:val="11"/>
        <w:spacing w:line="253" w:lineRule="auto"/>
      </w:pPr>
    </w:p>
    <w:p w14:paraId="4D7B64A2">
      <w:pPr>
        <w:pStyle w:val="11"/>
        <w:spacing w:line="253" w:lineRule="auto"/>
      </w:pPr>
    </w:p>
    <w:p w14:paraId="5D20F320">
      <w:pPr>
        <w:pStyle w:val="11"/>
        <w:spacing w:line="253" w:lineRule="auto"/>
      </w:pPr>
    </w:p>
    <w:p w14:paraId="44E0C820">
      <w:pPr>
        <w:pStyle w:val="11"/>
        <w:spacing w:line="253" w:lineRule="auto"/>
      </w:pPr>
    </w:p>
    <w:p w14:paraId="15D499AE">
      <w:pPr>
        <w:pStyle w:val="11"/>
        <w:spacing w:line="253" w:lineRule="auto"/>
      </w:pPr>
    </w:p>
    <w:p w14:paraId="52370A89">
      <w:pPr>
        <w:pStyle w:val="11"/>
        <w:spacing w:line="253" w:lineRule="auto"/>
      </w:pPr>
    </w:p>
    <w:p w14:paraId="5E0D90EF">
      <w:pPr>
        <w:pStyle w:val="11"/>
        <w:spacing w:line="253" w:lineRule="auto"/>
      </w:pPr>
    </w:p>
    <w:p w14:paraId="229A9D55">
      <w:pPr>
        <w:pStyle w:val="11"/>
        <w:spacing w:line="253" w:lineRule="auto"/>
      </w:pPr>
    </w:p>
    <w:p w14:paraId="0D193FBF">
      <w:pPr>
        <w:pStyle w:val="11"/>
        <w:spacing w:line="253" w:lineRule="auto"/>
      </w:pPr>
    </w:p>
    <w:p w14:paraId="58982952">
      <w:pPr>
        <w:pStyle w:val="11"/>
        <w:spacing w:line="253" w:lineRule="auto"/>
      </w:pPr>
    </w:p>
    <w:p w14:paraId="7E5CC978">
      <w:pPr>
        <w:spacing w:line="1292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EDB">
      <w:pPr>
        <w:pStyle w:val="11"/>
        <w:spacing w:line="245" w:lineRule="auto"/>
      </w:pPr>
    </w:p>
    <w:p w14:paraId="718B3987">
      <w:pPr>
        <w:pStyle w:val="11"/>
        <w:spacing w:line="245" w:lineRule="auto"/>
      </w:pPr>
    </w:p>
    <w:p w14:paraId="2632A739">
      <w:pPr>
        <w:pStyle w:val="11"/>
        <w:spacing w:line="245" w:lineRule="auto"/>
      </w:pPr>
    </w:p>
    <w:p w14:paraId="10C4FDBE">
      <w:pPr>
        <w:pStyle w:val="11"/>
        <w:spacing w:line="245" w:lineRule="auto"/>
      </w:pPr>
    </w:p>
    <w:p w14:paraId="011B4521">
      <w:pPr>
        <w:pStyle w:val="11"/>
        <w:spacing w:line="245" w:lineRule="auto"/>
      </w:pPr>
    </w:p>
    <w:p w14:paraId="6C55447D">
      <w:pPr>
        <w:pStyle w:val="11"/>
        <w:spacing w:line="245" w:lineRule="auto"/>
      </w:pPr>
    </w:p>
    <w:p w14:paraId="69D8434C">
      <w:pPr>
        <w:pStyle w:val="11"/>
        <w:spacing w:line="245" w:lineRule="auto"/>
      </w:pPr>
    </w:p>
    <w:p w14:paraId="0E7A3778">
      <w:pPr>
        <w:pStyle w:val="11"/>
        <w:spacing w:line="245" w:lineRule="auto"/>
      </w:pPr>
    </w:p>
    <w:p w14:paraId="5746F355">
      <w:pPr>
        <w:pStyle w:val="11"/>
        <w:spacing w:line="245" w:lineRule="auto"/>
      </w:pPr>
    </w:p>
    <w:p w14:paraId="2523B3B9">
      <w:pPr>
        <w:pStyle w:val="11"/>
        <w:spacing w:line="245" w:lineRule="auto"/>
      </w:pPr>
    </w:p>
    <w:p w14:paraId="27D0DB10">
      <w:pPr>
        <w:pStyle w:val="11"/>
        <w:spacing w:line="245" w:lineRule="auto"/>
      </w:pPr>
    </w:p>
    <w:p w14:paraId="5FC9FCB8">
      <w:pPr>
        <w:pStyle w:val="11"/>
        <w:spacing w:line="245" w:lineRule="auto"/>
      </w:pPr>
    </w:p>
    <w:p w14:paraId="5D126856">
      <w:pPr>
        <w:pStyle w:val="11"/>
        <w:spacing w:line="246" w:lineRule="auto"/>
      </w:pPr>
    </w:p>
    <w:p w14:paraId="323979F9">
      <w:pPr>
        <w:pStyle w:val="11"/>
        <w:spacing w:line="246" w:lineRule="auto"/>
      </w:pPr>
    </w:p>
    <w:p w14:paraId="3C53193F">
      <w:pPr>
        <w:pStyle w:val="11"/>
        <w:spacing w:line="246" w:lineRule="auto"/>
      </w:pPr>
    </w:p>
    <w:p w14:paraId="39192EEF">
      <w:pPr>
        <w:pStyle w:val="11"/>
        <w:spacing w:line="246" w:lineRule="auto"/>
      </w:pPr>
    </w:p>
    <w:p w14:paraId="43A2688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07E34D4E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4F328CB5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112B119">
      <w:pPr>
        <w:pStyle w:val="11"/>
        <w:spacing w:line="363" w:lineRule="auto"/>
      </w:pPr>
    </w:p>
    <w:p w14:paraId="29B12AFB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5280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643E9">
      <w:pPr>
        <w:spacing w:line="131" w:lineRule="exact"/>
      </w:pPr>
    </w:p>
    <w:tbl>
      <w:tblPr>
        <w:tblStyle w:val="18"/>
        <w:tblW w:w="8646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9F5E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52517E98">
            <w:pPr>
              <w:spacing w:before="125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490EA62C">
            <w:pPr>
              <w:spacing w:before="12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运维服务质量管理制度（FWFWZLGL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-ITSS-ZJBG）</w:t>
            </w:r>
          </w:p>
        </w:tc>
      </w:tr>
      <w:tr w14:paraId="245E0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34A7D016">
            <w:pPr>
              <w:spacing w:before="122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6E9048F">
            <w:pPr>
              <w:spacing w:before="12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6E967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49EE887">
            <w:pPr>
              <w:spacing w:before="124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15DF8C81">
            <w:pPr>
              <w:spacing w:before="124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秘密</w:t>
            </w:r>
          </w:p>
        </w:tc>
      </w:tr>
      <w:tr w14:paraId="46A70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5C313991">
            <w:pPr>
              <w:spacing w:before="125" w:line="219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D754323">
            <w:pPr>
              <w:spacing w:before="125" w:line="219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0A63F68">
            <w:pPr>
              <w:spacing w:before="125" w:line="219" w:lineRule="auto"/>
              <w:ind w:left="5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699" w:type="dxa"/>
            <w:vAlign w:val="top"/>
          </w:tcPr>
          <w:p w14:paraId="6DB4415A">
            <w:pPr>
              <w:spacing w:before="126" w:line="220" w:lineRule="auto"/>
              <w:ind w:left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者</w:t>
            </w:r>
          </w:p>
        </w:tc>
        <w:tc>
          <w:tcPr>
            <w:tcW w:w="1562" w:type="dxa"/>
            <w:vAlign w:val="top"/>
          </w:tcPr>
          <w:p w14:paraId="314662E0">
            <w:pPr>
              <w:spacing w:before="126" w:line="220" w:lineRule="auto"/>
              <w:ind w:left="5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64F91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0F49935">
            <w:pPr>
              <w:spacing w:before="104" w:line="239" w:lineRule="auto"/>
              <w:ind w:left="6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8" w:type="dxa"/>
            <w:vAlign w:val="top"/>
          </w:tcPr>
          <w:p w14:paraId="57EE3584">
            <w:pPr>
              <w:spacing w:before="10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23" w:type="dxa"/>
            <w:vAlign w:val="top"/>
          </w:tcPr>
          <w:p w14:paraId="180FE953">
            <w:pPr>
              <w:spacing w:before="74" w:line="219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3108402">
            <w:pPr>
              <w:spacing w:before="74" w:line="220" w:lineRule="auto"/>
              <w:ind w:left="54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2" w:type="dxa"/>
            <w:vAlign w:val="top"/>
          </w:tcPr>
          <w:p w14:paraId="541B2E96">
            <w:pPr>
              <w:spacing w:before="75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FDC0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9D9C493">
            <w:pPr>
              <w:pStyle w:val="19"/>
            </w:pPr>
          </w:p>
        </w:tc>
        <w:tc>
          <w:tcPr>
            <w:tcW w:w="1558" w:type="dxa"/>
            <w:vAlign w:val="top"/>
          </w:tcPr>
          <w:p w14:paraId="6A5BE60E">
            <w:pPr>
              <w:pStyle w:val="19"/>
            </w:pPr>
          </w:p>
        </w:tc>
        <w:tc>
          <w:tcPr>
            <w:tcW w:w="2123" w:type="dxa"/>
            <w:vAlign w:val="top"/>
          </w:tcPr>
          <w:p w14:paraId="38EBFBF1">
            <w:pPr>
              <w:pStyle w:val="19"/>
            </w:pPr>
          </w:p>
        </w:tc>
        <w:tc>
          <w:tcPr>
            <w:tcW w:w="1699" w:type="dxa"/>
            <w:vAlign w:val="top"/>
          </w:tcPr>
          <w:p w14:paraId="5701B5EE">
            <w:pPr>
              <w:pStyle w:val="19"/>
            </w:pPr>
          </w:p>
        </w:tc>
        <w:tc>
          <w:tcPr>
            <w:tcW w:w="1562" w:type="dxa"/>
            <w:vAlign w:val="top"/>
          </w:tcPr>
          <w:p w14:paraId="38C38550">
            <w:pPr>
              <w:pStyle w:val="19"/>
            </w:pPr>
          </w:p>
        </w:tc>
      </w:tr>
      <w:tr w14:paraId="4285C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59EA520">
            <w:pPr>
              <w:pStyle w:val="19"/>
            </w:pPr>
          </w:p>
        </w:tc>
        <w:tc>
          <w:tcPr>
            <w:tcW w:w="1558" w:type="dxa"/>
            <w:vAlign w:val="top"/>
          </w:tcPr>
          <w:p w14:paraId="34DDBDAC">
            <w:pPr>
              <w:pStyle w:val="19"/>
            </w:pPr>
          </w:p>
        </w:tc>
        <w:tc>
          <w:tcPr>
            <w:tcW w:w="2123" w:type="dxa"/>
            <w:vAlign w:val="top"/>
          </w:tcPr>
          <w:p w14:paraId="7DFF8DA3">
            <w:pPr>
              <w:pStyle w:val="19"/>
            </w:pPr>
          </w:p>
        </w:tc>
        <w:tc>
          <w:tcPr>
            <w:tcW w:w="1699" w:type="dxa"/>
            <w:vAlign w:val="top"/>
          </w:tcPr>
          <w:p w14:paraId="02C4FB9C">
            <w:pPr>
              <w:pStyle w:val="19"/>
            </w:pPr>
          </w:p>
        </w:tc>
        <w:tc>
          <w:tcPr>
            <w:tcW w:w="1562" w:type="dxa"/>
            <w:vAlign w:val="top"/>
          </w:tcPr>
          <w:p w14:paraId="1BC35A46">
            <w:pPr>
              <w:pStyle w:val="19"/>
            </w:pPr>
          </w:p>
        </w:tc>
      </w:tr>
      <w:tr w14:paraId="3E7CA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60A322C">
            <w:pPr>
              <w:pStyle w:val="19"/>
            </w:pPr>
          </w:p>
        </w:tc>
        <w:tc>
          <w:tcPr>
            <w:tcW w:w="1558" w:type="dxa"/>
            <w:vAlign w:val="top"/>
          </w:tcPr>
          <w:p w14:paraId="1E8B4F05">
            <w:pPr>
              <w:pStyle w:val="19"/>
            </w:pPr>
          </w:p>
        </w:tc>
        <w:tc>
          <w:tcPr>
            <w:tcW w:w="2123" w:type="dxa"/>
            <w:vAlign w:val="top"/>
          </w:tcPr>
          <w:p w14:paraId="6E359BD7">
            <w:pPr>
              <w:pStyle w:val="19"/>
            </w:pPr>
          </w:p>
        </w:tc>
        <w:tc>
          <w:tcPr>
            <w:tcW w:w="1699" w:type="dxa"/>
            <w:vAlign w:val="top"/>
          </w:tcPr>
          <w:p w14:paraId="25365A13">
            <w:pPr>
              <w:pStyle w:val="19"/>
            </w:pPr>
          </w:p>
        </w:tc>
        <w:tc>
          <w:tcPr>
            <w:tcW w:w="1562" w:type="dxa"/>
            <w:vAlign w:val="top"/>
          </w:tcPr>
          <w:p w14:paraId="7797CBC8">
            <w:pPr>
              <w:pStyle w:val="19"/>
            </w:pPr>
          </w:p>
        </w:tc>
      </w:tr>
      <w:tr w14:paraId="142F4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526C0D28">
            <w:pPr>
              <w:pStyle w:val="19"/>
            </w:pPr>
          </w:p>
        </w:tc>
        <w:tc>
          <w:tcPr>
            <w:tcW w:w="1558" w:type="dxa"/>
            <w:vAlign w:val="top"/>
          </w:tcPr>
          <w:p w14:paraId="172E177F">
            <w:pPr>
              <w:pStyle w:val="19"/>
            </w:pPr>
          </w:p>
        </w:tc>
        <w:tc>
          <w:tcPr>
            <w:tcW w:w="2123" w:type="dxa"/>
            <w:vAlign w:val="top"/>
          </w:tcPr>
          <w:p w14:paraId="47E41C4B">
            <w:pPr>
              <w:pStyle w:val="19"/>
            </w:pPr>
          </w:p>
        </w:tc>
        <w:tc>
          <w:tcPr>
            <w:tcW w:w="1699" w:type="dxa"/>
            <w:vAlign w:val="top"/>
          </w:tcPr>
          <w:p w14:paraId="1A2CA6E8">
            <w:pPr>
              <w:pStyle w:val="19"/>
            </w:pPr>
          </w:p>
        </w:tc>
        <w:tc>
          <w:tcPr>
            <w:tcW w:w="1562" w:type="dxa"/>
            <w:vAlign w:val="top"/>
          </w:tcPr>
          <w:p w14:paraId="74F70424">
            <w:pPr>
              <w:pStyle w:val="19"/>
            </w:pPr>
          </w:p>
        </w:tc>
      </w:tr>
    </w:tbl>
    <w:p w14:paraId="5605C5DE">
      <w:pPr>
        <w:pStyle w:val="11"/>
      </w:pPr>
    </w:p>
    <w:p w14:paraId="5205734A">
      <w:pPr>
        <w:sectPr>
          <w:pgSz w:w="11906" w:h="16839"/>
          <w:pgMar w:top="1431" w:right="1440" w:bottom="0" w:left="1785" w:header="0" w:footer="0" w:gutter="0"/>
          <w:cols w:space="720" w:num="1"/>
        </w:sectPr>
      </w:pPr>
    </w:p>
    <w:p w14:paraId="4A8318E7">
      <w:pPr>
        <w:pStyle w:val="11"/>
        <w:spacing w:line="36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726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04F323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22EEAC4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_Toc7575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运维服务质量管理制度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_Toc7575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890BD4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_Toc25280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_Toc25280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82AA6C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_Toc17465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_Toc17465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FE620F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_Toc30496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_Toc30496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01ACC6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_Toc23015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_Toc23015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C0FBB4A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_Toc31438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_Toc31438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59AE6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_Toc18766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_Toc18766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781619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7A1536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_Toc30948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部门岗位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_Toc30948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C13A321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_Toc28639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公司高层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_Toc28639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63058C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_Toc31821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_Toc31821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B58E53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_Toc31506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_Toc31506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D69E95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服务台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943A01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_Toc5393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运维服务人员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_Toc5393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E24ED2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质量管理内容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79C109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_Toc18023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7.1. 高层的质量管理活动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_Toc18023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89DAAA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_Toc19078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7.2. 质量中心的质量管理活动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_Toc19078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659E74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_Toc12625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7.3. 运维服务部的质量管理活动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_Toc12625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B03237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_Toc8557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运维服务质量管理要求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_Toc8557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9F342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_Toc10708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客户满意度调查要求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_Toc10708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A7A63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_Toc29657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项目的质量管理要求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D871F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_Toc25549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体系的质量管理要求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_Toc25549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B98ECB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8.3.1. 内审要求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9D55AC">
          <w:pPr>
            <w:pStyle w:val="12"/>
            <w:tabs>
              <w:tab w:val="right" w:leader="dot" w:pos="849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_Toc3616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8.3.2. 管理评审要求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_Toc3616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B724B8">
          <w:pPr>
            <w:spacing w:line="327" w:lineRule="exact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0EA4A27B">
      <w:pPr>
        <w:spacing w:line="327" w:lineRule="exact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AA27157">
      <w:pPr>
        <w:pStyle w:val="20"/>
        <w:bidi w:val="0"/>
      </w:pPr>
      <w:bookmarkStart w:id="2" w:name="_Toc17465"/>
      <w:r>
        <w:t>目的</w:t>
      </w:r>
      <w:bookmarkEnd w:id="2"/>
    </w:p>
    <w:p w14:paraId="5F8EB8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为确保公司提供的运维服务满足客户所需的服务质量，寻找公司服务实施</w:t>
      </w:r>
      <w:r>
        <w:rPr>
          <w:rFonts w:ascii="宋体" w:hAnsi="宋体" w:eastAsia="宋体" w:cs="宋体"/>
          <w:sz w:val="24"/>
          <w:szCs w:val="24"/>
        </w:rPr>
        <w:t>过程中存在的问题和缺陷，为服务改进活动的有效</w:t>
      </w:r>
      <w:r>
        <w:rPr>
          <w:rFonts w:ascii="宋体" w:hAnsi="宋体" w:eastAsia="宋体" w:cs="宋体"/>
          <w:spacing w:val="-1"/>
          <w:sz w:val="24"/>
          <w:szCs w:val="24"/>
        </w:rPr>
        <w:t>实施提供目标和方向，保证</w:t>
      </w:r>
      <w:r>
        <w:rPr>
          <w:rFonts w:ascii="宋体" w:hAnsi="宋体" w:eastAsia="宋体" w:cs="宋体"/>
          <w:spacing w:val="-2"/>
          <w:sz w:val="24"/>
          <w:szCs w:val="24"/>
        </w:rPr>
        <w:t>组织的服务质量稳定可控并持续提升，特制订本制度。</w:t>
      </w:r>
    </w:p>
    <w:p w14:paraId="0343C9F5">
      <w:pPr>
        <w:pStyle w:val="20"/>
        <w:bidi w:val="0"/>
      </w:pPr>
      <w:bookmarkStart w:id="3" w:name="_Toc30496"/>
      <w:r>
        <w:t>适用范围</w:t>
      </w:r>
      <w:bookmarkEnd w:id="3"/>
    </w:p>
    <w:p w14:paraId="2AA9A3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本程序适用于青岛慧海联创信息技术有限公司运维服务业务，用于服务实施全过程的检查与审计。</w:t>
      </w:r>
    </w:p>
    <w:p w14:paraId="63198E62">
      <w:pPr>
        <w:pStyle w:val="20"/>
        <w:bidi w:val="0"/>
      </w:pPr>
      <w:bookmarkStart w:id="4" w:name="_Toc23015"/>
      <w:r>
        <w:t>引用文件</w:t>
      </w:r>
      <w:bookmarkEnd w:id="4"/>
    </w:p>
    <w:p w14:paraId="4445DEC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1.</w:t>
      </w:r>
      <w:r>
        <w:rPr>
          <w:spacing w:val="24"/>
          <w:position w:val="1"/>
          <w:sz w:val="24"/>
          <w:szCs w:val="24"/>
        </w:rPr>
        <w:t xml:space="preserve">  </w:t>
      </w:r>
      <w:r>
        <w:rPr>
          <w:rFonts w:hint="eastAsia"/>
          <w:spacing w:val="-1"/>
          <w:position w:val="1"/>
          <w:sz w:val="24"/>
          <w:szCs w:val="24"/>
        </w:rPr>
        <w:t>T/CESA 1299—2023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 xml:space="preserve">《信息技术服务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运行维护服务能力成熟度模型》</w:t>
      </w:r>
    </w:p>
    <w:p w14:paraId="567C7C4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2.</w:t>
      </w:r>
      <w:r>
        <w:rPr>
          <w:spacing w:val="20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 xml:space="preserve">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2"/>
          <w:position w:val="1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部分：通用要求》</w:t>
      </w:r>
    </w:p>
    <w:p w14:paraId="38A1F57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3.</w:t>
      </w:r>
      <w:r>
        <w:rPr>
          <w:spacing w:val="23"/>
          <w:w w:val="101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分类与代码》</w:t>
      </w:r>
    </w:p>
    <w:p w14:paraId="1859294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4.</w:t>
      </w:r>
      <w:r>
        <w:rPr>
          <w:spacing w:val="22"/>
          <w:position w:val="1"/>
          <w:sz w:val="24"/>
          <w:szCs w:val="24"/>
        </w:rPr>
        <w:t xml:space="preserve">  </w:t>
      </w:r>
      <w:r>
        <w:rPr>
          <w:spacing w:val="-1"/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</w:t>
      </w:r>
      <w:r>
        <w:rPr>
          <w:spacing w:val="-1"/>
          <w:position w:val="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交付规范》</w:t>
      </w:r>
    </w:p>
    <w:p w14:paraId="0775B41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5.</w:t>
      </w:r>
      <w:r>
        <w:rPr>
          <w:spacing w:val="20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GB/T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28827.3-2012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6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2"/>
          <w:sz w:val="24"/>
          <w:szCs w:val="24"/>
        </w:rPr>
        <w:t>部分</w:t>
      </w:r>
      <w:r>
        <w:rPr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28A8379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5"/>
          <w:position w:val="1"/>
          <w:sz w:val="24"/>
          <w:szCs w:val="24"/>
        </w:rPr>
        <w:t>6</w:t>
      </w:r>
      <w:r>
        <w:rPr>
          <w:spacing w:val="31"/>
          <w:w w:val="101"/>
          <w:position w:val="1"/>
          <w:sz w:val="24"/>
          <w:szCs w:val="24"/>
        </w:rPr>
        <w:t xml:space="preserve">  </w:t>
      </w:r>
      <w:r>
        <w:rPr>
          <w:spacing w:val="-5"/>
          <w:position w:val="1"/>
          <w:sz w:val="24"/>
          <w:szCs w:val="24"/>
        </w:rPr>
        <w:t>.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国家有关法律、法规及行业标准</w:t>
      </w:r>
    </w:p>
    <w:p w14:paraId="3E51371C">
      <w:pPr>
        <w:pStyle w:val="20"/>
        <w:bidi w:val="0"/>
      </w:pPr>
      <w:bookmarkStart w:id="5" w:name="_Toc31438"/>
      <w:r>
        <w:t>术语与定义</w:t>
      </w:r>
      <w:bookmarkEnd w:id="5"/>
    </w:p>
    <w:p w14:paraId="0D1DFBD7">
      <w:pPr>
        <w:spacing w:before="172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FBE2CD3">
      <w:pPr>
        <w:pStyle w:val="20"/>
        <w:bidi w:val="0"/>
      </w:pPr>
      <w:bookmarkStart w:id="6" w:name="_Toc18766"/>
      <w:r>
        <w:t>角色与职责</w:t>
      </w:r>
      <w:bookmarkEnd w:id="6"/>
    </w:p>
    <w:p w14:paraId="19689A10">
      <w:pPr>
        <w:spacing w:before="128"/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10A82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354" w:type="dxa"/>
            <w:shd w:val="clear" w:color="auto" w:fill="F2F2F2"/>
            <w:vAlign w:val="top"/>
          </w:tcPr>
          <w:p w14:paraId="18F97267">
            <w:pPr>
              <w:spacing w:before="60" w:line="219" w:lineRule="auto"/>
              <w:ind w:left="4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角色</w:t>
            </w:r>
          </w:p>
        </w:tc>
        <w:tc>
          <w:tcPr>
            <w:tcW w:w="6301" w:type="dxa"/>
            <w:shd w:val="clear" w:color="auto" w:fill="F2F2F2"/>
            <w:vAlign w:val="top"/>
          </w:tcPr>
          <w:p w14:paraId="2823C6BD">
            <w:pPr>
              <w:spacing w:before="61" w:line="221" w:lineRule="auto"/>
              <w:ind w:left="29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职责</w:t>
            </w:r>
          </w:p>
        </w:tc>
      </w:tr>
      <w:tr w14:paraId="0DF30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vAlign w:val="top"/>
          </w:tcPr>
          <w:p w14:paraId="77751F50">
            <w:pPr>
              <w:pStyle w:val="19"/>
              <w:spacing w:line="257" w:lineRule="auto"/>
            </w:pPr>
          </w:p>
          <w:p w14:paraId="707E350E">
            <w:pPr>
              <w:pStyle w:val="19"/>
              <w:spacing w:line="257" w:lineRule="auto"/>
            </w:pPr>
          </w:p>
          <w:p w14:paraId="3F0DE6E6">
            <w:pPr>
              <w:spacing w:before="78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管理层</w:t>
            </w:r>
          </w:p>
        </w:tc>
        <w:tc>
          <w:tcPr>
            <w:tcW w:w="6301" w:type="dxa"/>
            <w:vAlign w:val="top"/>
          </w:tcPr>
          <w:p w14:paraId="7FB9EB98">
            <w:pPr>
              <w:spacing w:before="64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2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负责审批年度服务能力管理计划。</w:t>
            </w:r>
          </w:p>
          <w:p w14:paraId="4ED6870F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定期对服务实施过程和服务实施过程的改进进行监控管理。</w:t>
            </w:r>
          </w:p>
          <w:p w14:paraId="3D515499">
            <w:pPr>
              <w:spacing w:before="105" w:line="271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负责公司运维服务体系的管理评审，以确保运维服务能力的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适应性和有效性。</w:t>
            </w:r>
          </w:p>
        </w:tc>
      </w:tr>
      <w:tr w14:paraId="68935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shd w:val="clear"/>
            <w:vAlign w:val="top"/>
          </w:tcPr>
          <w:p w14:paraId="28D7C0D9">
            <w:pPr>
              <w:pStyle w:val="19"/>
              <w:spacing w:line="252" w:lineRule="auto"/>
            </w:pPr>
          </w:p>
          <w:p w14:paraId="01898EFE">
            <w:pPr>
              <w:pStyle w:val="19"/>
              <w:spacing w:line="252" w:lineRule="auto"/>
            </w:pPr>
          </w:p>
          <w:p w14:paraId="389B7A0B">
            <w:pPr>
              <w:pStyle w:val="19"/>
              <w:spacing w:line="252" w:lineRule="auto"/>
            </w:pPr>
          </w:p>
          <w:p w14:paraId="515A7886">
            <w:pPr>
              <w:pStyle w:val="19"/>
              <w:spacing w:line="252" w:lineRule="auto"/>
            </w:pPr>
          </w:p>
          <w:p w14:paraId="54B03149">
            <w:pPr>
              <w:pStyle w:val="19"/>
              <w:spacing w:line="252" w:lineRule="auto"/>
            </w:pPr>
          </w:p>
          <w:p w14:paraId="706A682B">
            <w:pPr>
              <w:pStyle w:val="19"/>
              <w:spacing w:line="253" w:lineRule="auto"/>
            </w:pPr>
          </w:p>
          <w:p w14:paraId="6F69F51C">
            <w:pPr>
              <w:pStyle w:val="19"/>
              <w:spacing w:line="253" w:lineRule="auto"/>
            </w:pPr>
          </w:p>
          <w:p w14:paraId="0F6A8038">
            <w:pPr>
              <w:spacing w:before="78" w:line="220" w:lineRule="auto"/>
              <w:ind w:left="113" w:leftChars="0"/>
              <w:outlineLvl w:val="1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质量中心</w:t>
            </w:r>
          </w:p>
        </w:tc>
        <w:tc>
          <w:tcPr>
            <w:tcW w:w="6301" w:type="dxa"/>
            <w:shd w:val="clear"/>
            <w:vAlign w:val="top"/>
          </w:tcPr>
          <w:p w14:paraId="7C9FA70C">
            <w:pPr>
              <w:spacing w:before="67" w:line="272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负责运维服务的公司级质量保证，制定总体的服务质量管理</w:t>
            </w: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计划。</w:t>
            </w:r>
          </w:p>
          <w:p w14:paraId="4D5CDC25">
            <w:pPr>
              <w:spacing w:before="100" w:line="270" w:lineRule="auto"/>
              <w:ind w:left="569" w:right="101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监控运维服务质量,</w:t>
            </w:r>
            <w:r>
              <w:rPr>
                <w:rFonts w:ascii="宋体" w:hAnsi="宋体" w:eastAsia="宋体" w:cs="宋体"/>
                <w:spacing w:val="3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定期组织质量分析会议，对运维业务开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展情况进行评估。</w:t>
            </w:r>
          </w:p>
          <w:p w14:paraId="71D1C0CA">
            <w:pPr>
              <w:spacing w:before="102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对公司运维服务业务的质量进行监控。</w:t>
            </w:r>
          </w:p>
          <w:p w14:paraId="5AB3A8D5">
            <w:pPr>
              <w:spacing w:before="105" w:line="271" w:lineRule="auto"/>
              <w:ind w:left="584" w:right="270" w:hanging="4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负责公司运维服务体系的定期内部评审，对内审中不符合项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的处理进行跟踪记录。</w:t>
            </w:r>
          </w:p>
          <w:p w14:paraId="5DFDC554">
            <w:pPr>
              <w:spacing w:before="100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负责改进措施的监督及检查。</w:t>
            </w:r>
          </w:p>
          <w:p w14:paraId="2B7632CE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对重大投诉进行原因分析、处理和回访。</w:t>
            </w:r>
          </w:p>
          <w:p w14:paraId="5B96F7C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对每年运维服务报告进行审查。</w:t>
            </w:r>
          </w:p>
          <w:p w14:paraId="41D50EBF">
            <w:pPr>
              <w:spacing w:before="105" w:line="223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负责客户满意度调查。</w:t>
            </w:r>
          </w:p>
        </w:tc>
      </w:tr>
      <w:tr w14:paraId="32937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0" w:type="auto"/>
            <w:shd w:val="clear"/>
            <w:vAlign w:val="top"/>
          </w:tcPr>
          <w:p w14:paraId="4016E44C">
            <w:pPr>
              <w:pStyle w:val="19"/>
              <w:spacing w:line="252" w:lineRule="auto"/>
            </w:pPr>
          </w:p>
          <w:p w14:paraId="5E0F18E5">
            <w:pPr>
              <w:pStyle w:val="19"/>
              <w:spacing w:line="252" w:lineRule="auto"/>
            </w:pPr>
          </w:p>
          <w:p w14:paraId="6EBF5223">
            <w:pPr>
              <w:pStyle w:val="19"/>
              <w:spacing w:line="252" w:lineRule="auto"/>
            </w:pPr>
          </w:p>
          <w:p w14:paraId="615FF0B5">
            <w:pPr>
              <w:pStyle w:val="19"/>
              <w:spacing w:line="252" w:lineRule="auto"/>
            </w:pPr>
          </w:p>
          <w:p w14:paraId="251E1075">
            <w:pPr>
              <w:pStyle w:val="19"/>
              <w:spacing w:line="252" w:lineRule="auto"/>
            </w:pPr>
          </w:p>
          <w:p w14:paraId="679CD20D">
            <w:pPr>
              <w:pStyle w:val="19"/>
              <w:spacing w:line="252" w:lineRule="auto"/>
            </w:pPr>
          </w:p>
          <w:p w14:paraId="4DA35FC8">
            <w:pPr>
              <w:pStyle w:val="19"/>
              <w:spacing w:line="253" w:lineRule="auto"/>
            </w:pPr>
          </w:p>
          <w:p w14:paraId="72DA075B">
            <w:pPr>
              <w:spacing w:before="78" w:line="278" w:lineRule="auto"/>
              <w:ind w:left="114" w:leftChars="0" w:right="280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sz w:val="24"/>
                <w:szCs w:val="24"/>
              </w:rPr>
              <w:t>部</w:t>
            </w:r>
          </w:p>
        </w:tc>
        <w:tc>
          <w:tcPr>
            <w:tcW w:w="0" w:type="auto"/>
            <w:shd w:val="clear"/>
            <w:vAlign w:val="top"/>
          </w:tcPr>
          <w:p w14:paraId="7195172E">
            <w:pPr>
              <w:spacing w:before="66" w:line="271" w:lineRule="auto"/>
              <w:ind w:left="569" w:right="165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负责对所运维业务进行质量控制,对质量中心和服务台提供的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客户服务质量调查结果进行分析和处理。</w:t>
            </w:r>
          </w:p>
          <w:p w14:paraId="260DC2CC">
            <w:pPr>
              <w:spacing w:before="10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定期组织召开质量分析会。</w:t>
            </w:r>
          </w:p>
          <w:p w14:paraId="1B4D6CA8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跟踪客户投诉的处理过程。</w:t>
            </w:r>
          </w:p>
          <w:p w14:paraId="78CE1FE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定期编写总结报告，持续改进完善维护服务能力和质量。</w:t>
            </w:r>
          </w:p>
          <w:p w14:paraId="32B02183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负责监控服务的处理过程。</w:t>
            </w:r>
          </w:p>
          <w:p w14:paraId="7F0172EC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对每个处理事件进行客户回访。</w:t>
            </w:r>
          </w:p>
          <w:p w14:paraId="6E320916">
            <w:pPr>
              <w:spacing w:before="105" w:line="271" w:lineRule="auto"/>
              <w:ind w:left="570" w:right="270" w:hanging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接收和处理客户投诉，重要的客户投诉信息及时反馈给相关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部门处理。</w:t>
            </w:r>
          </w:p>
          <w:p w14:paraId="69E46ECB">
            <w:pPr>
              <w:spacing w:before="100" w:line="286" w:lineRule="auto"/>
              <w:ind w:left="571" w:leftChars="0" w:right="270" w:rightChars="0" w:hanging="41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包括运维项目经理、技术支持工程师、网络工程师等相关人员，按照运维岗位职责的要求、工作流程及质量要求，实施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具体运维服务任务，并将过程形成记录。</w:t>
            </w:r>
          </w:p>
        </w:tc>
      </w:tr>
      <w:tr w14:paraId="61C30D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0" w:type="auto"/>
            <w:shd w:val="clear"/>
            <w:vAlign w:val="top"/>
          </w:tcPr>
          <w:p w14:paraId="0F465A09">
            <w:pPr>
              <w:pStyle w:val="19"/>
              <w:spacing w:line="260" w:lineRule="auto"/>
            </w:pPr>
          </w:p>
          <w:p w14:paraId="16750168">
            <w:pPr>
              <w:pStyle w:val="19"/>
              <w:spacing w:line="260" w:lineRule="auto"/>
            </w:pPr>
          </w:p>
          <w:p w14:paraId="7110B4CD">
            <w:pPr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其他部门</w:t>
            </w:r>
          </w:p>
        </w:tc>
        <w:tc>
          <w:tcPr>
            <w:tcW w:w="0" w:type="auto"/>
            <w:shd w:val="clear"/>
            <w:vAlign w:val="top"/>
          </w:tcPr>
          <w:p w14:paraId="0FD8ADAD">
            <w:pPr>
              <w:spacing w:before="7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参与能力管理计划的制定；</w:t>
            </w:r>
          </w:p>
          <w:p w14:paraId="3B1870D6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9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按照能力管理计划实施；</w:t>
            </w:r>
          </w:p>
          <w:p w14:paraId="5243197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接受质量中心的监督和检查，并定期汇报计划的实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施情况；</w:t>
            </w:r>
          </w:p>
          <w:p w14:paraId="32137EB9">
            <w:pPr>
              <w:spacing w:before="105" w:line="223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针对实施过程中发现的问题采取有效的改进措施。</w:t>
            </w:r>
          </w:p>
        </w:tc>
      </w:tr>
    </w:tbl>
    <w:p w14:paraId="134F8AF7">
      <w:pPr>
        <w:spacing w:line="91" w:lineRule="auto"/>
        <w:rPr>
          <w:rFonts w:ascii="Arial"/>
          <w:sz w:val="2"/>
        </w:rPr>
      </w:pPr>
    </w:p>
    <w:p w14:paraId="27CD270F">
      <w:pPr>
        <w:pStyle w:val="11"/>
        <w:spacing w:line="328" w:lineRule="auto"/>
      </w:pPr>
    </w:p>
    <w:p w14:paraId="09DB22EF">
      <w:pPr>
        <w:pStyle w:val="20"/>
        <w:bidi w:val="0"/>
      </w:pPr>
      <w:bookmarkStart w:id="7" w:name="_Toc30948"/>
      <w:r>
        <w:t>部门岗位</w:t>
      </w:r>
      <w:bookmarkEnd w:id="7"/>
    </w:p>
    <w:p w14:paraId="36565400">
      <w:pPr>
        <w:pStyle w:val="21"/>
        <w:bidi w:val="0"/>
      </w:pPr>
      <w:bookmarkStart w:id="8" w:name="bookmark23"/>
      <w:bookmarkEnd w:id="8"/>
      <w:bookmarkStart w:id="9" w:name="_Toc28639"/>
      <w:r>
        <w:t>公司高层</w:t>
      </w:r>
      <w:bookmarkEnd w:id="9"/>
    </w:p>
    <w:p w14:paraId="4C69554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负责审批年度服务管理计划。</w:t>
      </w:r>
    </w:p>
    <w:p w14:paraId="2828B92B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定期对服务实施过程进行监控和管理，对服务实施过程的改进进行审批。</w:t>
      </w:r>
    </w:p>
    <w:p w14:paraId="599B443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Style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负责公司运维服务体系的管理评审，以确保运维服务能力的适应性和有效性</w:t>
      </w:r>
      <w:bookmarkStart w:id="10" w:name="_Toc31821"/>
    </w:p>
    <w:p w14:paraId="7E876216">
      <w:pPr>
        <w:pStyle w:val="21"/>
        <w:bidi w:val="0"/>
      </w:pPr>
      <w:r>
        <w:t>质量中心</w:t>
      </w:r>
      <w:bookmarkEnd w:id="10"/>
    </w:p>
    <w:p w14:paraId="10AD16C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负责公司运维服务体系的定期内部评审，对内审中不达标项的处理进行跟踪记录。</w:t>
      </w:r>
    </w:p>
    <w:p w14:paraId="786DA02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负责运维服务的组织级质量保证。</w:t>
      </w:r>
    </w:p>
    <w:p w14:paraId="7430332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对公司运维服务业务的质量进行监控。</w:t>
      </w:r>
    </w:p>
    <w:p w14:paraId="51610EDC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负责组织级客户满意度的调查。</w:t>
      </w:r>
    </w:p>
    <w:p w14:paraId="759F60E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5.  负责改进措施的监督及检查。</w:t>
      </w:r>
    </w:p>
    <w:p w14:paraId="2B6B33BA">
      <w:pPr>
        <w:pStyle w:val="21"/>
        <w:bidi w:val="0"/>
      </w:pPr>
      <w:bookmarkStart w:id="11" w:name="_Toc31506"/>
      <w:r>
        <w:t>运维服务部</w:t>
      </w:r>
      <w:bookmarkEnd w:id="11"/>
    </w:p>
    <w:p w14:paraId="0B8AEF1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负责对所管辖的业务质量计划的制定。</w:t>
      </w:r>
    </w:p>
    <w:p w14:paraId="6777D10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负责对所管辖的业务进行质量控制,对质量中心和服务台提供的客户服务质量调查结果进行分析和处理。</w:t>
      </w:r>
    </w:p>
    <w:p w14:paraId="386F2A33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定期组织召开质量分析会。</w:t>
      </w:r>
    </w:p>
    <w:p w14:paraId="1CAE937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跟踪客户投诉的处理过程。</w:t>
      </w:r>
    </w:p>
    <w:p w14:paraId="15E375B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5.  定期编写总结报告，持续改进完善维护服务能力和质量。</w:t>
      </w:r>
    </w:p>
    <w:p w14:paraId="0DF594AF">
      <w:pPr>
        <w:pStyle w:val="21"/>
        <w:bidi w:val="0"/>
      </w:pPr>
      <w:bookmarkStart w:id="12" w:name="_Toc27142"/>
      <w:r>
        <w:t>服务台</w:t>
      </w:r>
      <w:bookmarkEnd w:id="12"/>
    </w:p>
    <w:p w14:paraId="2F48922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负责监控服务的处理过程。</w:t>
      </w:r>
    </w:p>
    <w:p w14:paraId="112B394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接收和处理客户投诉，重要的客户投诉信息及时反馈给相关部门处理。</w:t>
      </w:r>
    </w:p>
    <w:p w14:paraId="02F2DEE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负责服务数据的统计，并报送给相关部门。</w:t>
      </w:r>
    </w:p>
    <w:p w14:paraId="5D28E25E">
      <w:pPr>
        <w:pStyle w:val="21"/>
        <w:bidi w:val="0"/>
      </w:pPr>
      <w:bookmarkStart w:id="13" w:name="_Toc5393"/>
      <w:r>
        <w:t>运维服务人员</w:t>
      </w:r>
      <w:bookmarkEnd w:id="13"/>
    </w:p>
    <w:p w14:paraId="03500A2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包括技术支持工程师、网络工程师等相关人员，按照运维岗位职责的要求、工作流程及质量要求，实施具体运维服务任务，并将过程形成记录。</w:t>
      </w:r>
    </w:p>
    <w:p w14:paraId="65B8651A">
      <w:pPr>
        <w:pStyle w:val="20"/>
        <w:bidi w:val="0"/>
      </w:pPr>
      <w:bookmarkStart w:id="14" w:name="_Toc16169"/>
      <w:r>
        <w:t>质量管理内容</w:t>
      </w:r>
      <w:bookmarkEnd w:id="14"/>
    </w:p>
    <w:p w14:paraId="55846393">
      <w:pPr>
        <w:pStyle w:val="21"/>
        <w:bidi w:val="0"/>
      </w:pPr>
      <w:bookmarkStart w:id="15" w:name="bookmark24"/>
      <w:bookmarkEnd w:id="15"/>
      <w:bookmarkStart w:id="16" w:name="_Toc18023"/>
      <w:r>
        <w:t>高层的质量管理活动</w:t>
      </w:r>
      <w:bookmarkEnd w:id="16"/>
    </w:p>
    <w:p w14:paraId="51BD918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制定管控指标:根据市场情况、技术发展和公司自身变化，制定并周期性的评审公司运维业务的方针策略和目标，评审服务目录、管控目标，评审组织结构和管理制度</w:t>
      </w:r>
    </w:p>
    <w:p w14:paraId="56F1558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管理评审:管理评审的目的是通过对公司服务体系运行的适宜性、充分性和有效性进行评价，确定公司服务体系的改进方向。</w:t>
      </w:r>
    </w:p>
    <w:p w14:paraId="4C781DC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服务改进规划：根据市场情况、技术发展和公司自身变化，周期性的评审服务工作中存在的问题，并评估批准整改措施；评审现有流程执行的差距和改进措施，更好地适应服务需求；通过服务改进管理，提高运维服务工作的适应性和管理水平。</w:t>
      </w:r>
    </w:p>
    <w:p w14:paraId="5132A5FE">
      <w:pPr>
        <w:pStyle w:val="21"/>
        <w:bidi w:val="0"/>
      </w:pPr>
      <w:bookmarkStart w:id="17" w:name="_Toc19078"/>
      <w:r>
        <w:t>质量中心的质量管理活动</w:t>
      </w:r>
      <w:bookmarkEnd w:id="17"/>
    </w:p>
    <w:p w14:paraId="612E86D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组织级质量月报：通过定期或事件触发地收集组织内所有服务项目的质量情况，进行汇总分析形成质量月报，并送达到组织内所有相关人员（包括高层管理人员）。</w:t>
      </w:r>
    </w:p>
    <w:p w14:paraId="3C08266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服务质量管控指标的分析：通过阶段性（月度、季度）的服务工作总结，对公司服务业务发展过程的问题和偏差做出有效评估，提出改进措施和建议。</w:t>
      </w:r>
    </w:p>
    <w:p w14:paraId="1AEED7A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内审和管理评审：公司质量中心负责组织每年一次的内审和每年一次的管理评审，来评价公司的运维服务能力的适应性和有效性。</w:t>
      </w:r>
    </w:p>
    <w:p w14:paraId="4607D5F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客户满意度调查：公司质量中心负责每年一次对客户进行满意度调查，并对调查结果进行分析和总结，对相关的调查结果进行分析，及时反馈给相关部门和责任人，对重大质量问题进行跟踪和督促。</w:t>
      </w:r>
    </w:p>
    <w:p w14:paraId="2084B6C8">
      <w:pPr>
        <w:pStyle w:val="21"/>
        <w:bidi w:val="0"/>
      </w:pPr>
      <w:bookmarkStart w:id="18" w:name="_Toc12625"/>
      <w:r>
        <w:t>运维服务部的质量管理活动</w:t>
      </w:r>
      <w:bookmarkEnd w:id="18"/>
    </w:p>
    <w:p w14:paraId="194B048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签订服务协议：运维服务部门经理协助销售部门与客户签订服务级别协议 SLA（或包 SLA 服务合同）。</w:t>
      </w:r>
    </w:p>
    <w:p w14:paraId="0A8EA80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质量计划：运维服务部门经理或项目经理制定服务项目的质量保证计划，以确保服务目标的实现，服务风险的降低。</w:t>
      </w:r>
    </w:p>
    <w:p w14:paraId="787A62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服务执行：从项目开始实施至结束，项目经理监督、控制服务过程中的每一个环节，包括事件、配置、变更、发布、信息安全、容量、过程框架、可用性、业务连续性，按合同要求形成服务报告，在报告中详细列明 SLA 达成情况。服务台管理员及时回访客户，调查服务满意度。</w:t>
      </w:r>
    </w:p>
    <w:p w14:paraId="18A4A61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质量分析：运维服务部门经理对本部门的各项目质量进行管理，包括数据统计、分析、预警、跟踪。检查各项运维服务指标达成情况，并与 SLA 的要求进行对比，对未达标项提出改进措施，形成项目质量分析报告。</w:t>
      </w:r>
    </w:p>
    <w:p w14:paraId="67CB8DE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5.  质量改进：由质量中心经理组织相关人员，通过阶段性（月度、季度）</w:t>
      </w:r>
      <w:r>
        <w:rPr>
          <w:rFonts w:ascii="宋体" w:hAnsi="宋体" w:eastAsia="宋体" w:cs="宋体"/>
          <w:spacing w:val="-2"/>
          <w:sz w:val="24"/>
          <w:szCs w:val="24"/>
        </w:rPr>
        <w:t>的运维服务工作总结，对公司服务业务发展过</w:t>
      </w:r>
      <w:r>
        <w:rPr>
          <w:rFonts w:ascii="宋体" w:hAnsi="宋体" w:eastAsia="宋体" w:cs="宋体"/>
          <w:spacing w:val="-3"/>
          <w:sz w:val="24"/>
          <w:szCs w:val="24"/>
        </w:rPr>
        <w:t>程的问题和偏差做出有效评估，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并进行调整和优化，及时了解客户的需求，并根据客户的意见或建议进行改进，保证年度运维服务目标的实现。</w:t>
      </w:r>
    </w:p>
    <w:p w14:paraId="65E2EEBE">
      <w:pPr>
        <w:pStyle w:val="20"/>
        <w:bidi w:val="0"/>
      </w:pPr>
      <w:bookmarkStart w:id="19" w:name="_Toc8557"/>
      <w:r>
        <w:t>运维服务质量管理要求</w:t>
      </w:r>
      <w:bookmarkEnd w:id="19"/>
    </w:p>
    <w:p w14:paraId="3F777A98">
      <w:pPr>
        <w:pStyle w:val="21"/>
        <w:bidi w:val="0"/>
      </w:pPr>
      <w:bookmarkStart w:id="20" w:name="bookmark25"/>
      <w:bookmarkEnd w:id="20"/>
      <w:bookmarkStart w:id="21" w:name="_Toc10708"/>
      <w:r>
        <w:t>客户满意度调查要求</w:t>
      </w:r>
      <w:bookmarkEnd w:id="21"/>
    </w:p>
    <w:p w14:paraId="52E0D08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客户满意度调查工作由公司质量中心负责，服务台配合完成，分为事件回访和公司级客户满意度调查。</w:t>
      </w:r>
    </w:p>
    <w:p w14:paraId="31D9013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事件回访是对已解决的事件在解决后的 24 小时内进行一次电话回访，了解客户对处理结果的满意度。</w:t>
      </w:r>
    </w:p>
    <w:p w14:paraId="24E7F0F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公司级客户满意度调查应每年最少进行一次，采用问卷填写，客户满意度调查内容应注意调查样本的比例及覆盖范围，以降低抽样的风险。</w:t>
      </w:r>
    </w:p>
    <w:p w14:paraId="333821B4">
      <w:pPr>
        <w:pStyle w:val="21"/>
        <w:bidi w:val="0"/>
      </w:pPr>
      <w:bookmarkStart w:id="22" w:name="_Toc29657"/>
      <w:r>
        <w:t>项目的质量管理要求</w:t>
      </w:r>
      <w:bookmarkEnd w:id="22"/>
    </w:p>
    <w:p w14:paraId="1A27E03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</w:t>
      </w:r>
      <w:bookmarkStart w:id="27" w:name="_GoBack"/>
      <w:bookmarkEnd w:id="27"/>
      <w:r>
        <w:rPr>
          <w:rFonts w:ascii="宋体" w:hAnsi="宋体" w:eastAsia="宋体" w:cs="宋体"/>
          <w:spacing w:val="-5"/>
          <w:position w:val="1"/>
          <w:sz w:val="24"/>
          <w:szCs w:val="24"/>
        </w:rPr>
        <w:t xml:space="preserve">  项目经理必须严格按照 SLA（或服务合同）的要求，为客户提供运维服务。同时及时监控服务过程，以确保达到 SLA 的要求。并定期向客户和部门经理提交服务报告。</w:t>
      </w:r>
    </w:p>
    <w:p w14:paraId="47EC28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服务台管理人员及时对已完成的项目进行客户回访，以获取客户的满意度评价。</w:t>
      </w:r>
    </w:p>
    <w:p w14:paraId="203B80B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服务台管理人员根据 SLA（或服务合同）制定指标体系，按月进行指标统计，形成质量报告，报送给相关部门及项目经理。</w:t>
      </w:r>
    </w:p>
    <w:p w14:paraId="7162567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运维部门经理每季度须召开一次质量分析会，回顾和总结月度质量计划完成情况，提出下阶段的改进措施，并对相关人员进行指标考</w:t>
      </w:r>
      <w:r>
        <w:rPr>
          <w:rFonts w:ascii="宋体" w:hAnsi="宋体" w:eastAsia="宋体" w:cs="宋体"/>
          <w:spacing w:val="-2"/>
          <w:sz w:val="24"/>
          <w:szCs w:val="24"/>
        </w:rPr>
        <w:t>核。</w:t>
      </w:r>
    </w:p>
    <w:p w14:paraId="2E56CDB5">
      <w:pPr>
        <w:pStyle w:val="21"/>
        <w:bidi w:val="0"/>
      </w:pPr>
      <w:bookmarkStart w:id="23" w:name="_Toc25549"/>
      <w:r>
        <w:t>体系的质量管理要求</w:t>
      </w:r>
      <w:bookmarkEnd w:id="23"/>
    </w:p>
    <w:p w14:paraId="7CA91440">
      <w:pPr>
        <w:pStyle w:val="22"/>
        <w:bidi w:val="0"/>
      </w:pPr>
      <w:bookmarkStart w:id="24" w:name="bookmark26"/>
      <w:bookmarkEnd w:id="24"/>
      <w:bookmarkStart w:id="25" w:name="_Toc730"/>
      <w:r>
        <w:t>内审要求</w:t>
      </w:r>
      <w:bookmarkEnd w:id="25"/>
    </w:p>
    <w:p w14:paraId="6A08479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 内审要求每年度执行一次，可根据公司实际情况策划审核频次。由质量中心来负责组织内审计划、实施和报告，但必须得到质量中心经理的批准。</w:t>
      </w:r>
    </w:p>
    <w:p w14:paraId="5E6503C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内审的范围是运维服务涉及的所有部门，包括运维服务的主要实施部门和支持部门。内审要对 GB/T 28827.1-2022 《信息技术服务 运行维护 第 1 部分：通用要求》、GB/T 28827.2-2012 《信息技术服务 运行维护 第 2 部分:交付规范》、GB/T 28827.3-2012 《信息技术服务 运行维护 第 3 部分:应急响应规范》中人员、资源、技术、过程、交付、应急响应都进行审核。</w:t>
      </w:r>
    </w:p>
    <w:p w14:paraId="4729090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内审需要制订内审计划、检查表，内审员在审核过程中要详细记录审核内容；审核完成后需要对不合格项进行整改；编写内审报告。</w:t>
      </w:r>
    </w:p>
    <w:p w14:paraId="339833AB">
      <w:pPr>
        <w:pStyle w:val="22"/>
        <w:bidi w:val="0"/>
      </w:pPr>
      <w:bookmarkStart w:id="26" w:name="_Toc3616"/>
      <w:r>
        <w:t>管理评审要求</w:t>
      </w:r>
      <w:bookmarkEnd w:id="26"/>
    </w:p>
    <w:p w14:paraId="1B58475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1.  管理评审要求每年必须执行一次，由管理者代表组织实施。</w:t>
      </w:r>
    </w:p>
    <w:p w14:paraId="07D07BB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2.  管理评审的参加人员要包括：公司领导、管理者代表、运维服务部负责人、质量中心负责人、综合管理部负责人、研发中心负责人等。</w:t>
      </w:r>
    </w:p>
    <w:p w14:paraId="13F362F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3.  管理评审的主要内容为：年度能力管理计划的实施情况汇报、各项KPI的完成情况、客户满意度调查汇报、各运维服务部门的工作汇报、运维服务管理体系内审报告、客户投诉报告、持续改进情况等。</w:t>
      </w:r>
    </w:p>
    <w:p w14:paraId="53EE875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60" w:hangingChars="200"/>
        <w:textAlignment w:val="baseline"/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4.  注：管理评审需要先制定管理评审计划，收集相关材料，根据管理评审结果制定管理评审报告，如果在管理评审上发现问题，需要对问题进行跟踪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eastAsia="zh-CN"/>
        </w:rPr>
        <w:t>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C095F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C73530"/>
    <w:rsid w:val="04333FF8"/>
    <w:rsid w:val="0E9E29B6"/>
    <w:rsid w:val="0FE73EE9"/>
    <w:rsid w:val="12B04A66"/>
    <w:rsid w:val="138A3509"/>
    <w:rsid w:val="1E7352C5"/>
    <w:rsid w:val="1E7A2AF8"/>
    <w:rsid w:val="1FB738D7"/>
    <w:rsid w:val="22F92EA7"/>
    <w:rsid w:val="2BDA2E28"/>
    <w:rsid w:val="2BEA0B91"/>
    <w:rsid w:val="2D981815"/>
    <w:rsid w:val="32CB171C"/>
    <w:rsid w:val="33F46A50"/>
    <w:rsid w:val="38451629"/>
    <w:rsid w:val="39691347"/>
    <w:rsid w:val="3B974891"/>
    <w:rsid w:val="3C30439E"/>
    <w:rsid w:val="3C722C08"/>
    <w:rsid w:val="422B7AE1"/>
    <w:rsid w:val="4248180C"/>
    <w:rsid w:val="44486FFC"/>
    <w:rsid w:val="46274A64"/>
    <w:rsid w:val="48861F15"/>
    <w:rsid w:val="50CF01D2"/>
    <w:rsid w:val="50EC07C1"/>
    <w:rsid w:val="5201260D"/>
    <w:rsid w:val="539F20DD"/>
    <w:rsid w:val="545729B8"/>
    <w:rsid w:val="574472CC"/>
    <w:rsid w:val="58150155"/>
    <w:rsid w:val="592B7F6F"/>
    <w:rsid w:val="5BC81804"/>
    <w:rsid w:val="5C875E04"/>
    <w:rsid w:val="5D2F624B"/>
    <w:rsid w:val="5E5B12F6"/>
    <w:rsid w:val="5EAE58CA"/>
    <w:rsid w:val="60854409"/>
    <w:rsid w:val="66157FDD"/>
    <w:rsid w:val="683055A2"/>
    <w:rsid w:val="70180DF5"/>
    <w:rsid w:val="70FE79A8"/>
    <w:rsid w:val="72501BF8"/>
    <w:rsid w:val="72F1592E"/>
    <w:rsid w:val="79336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3493</Words>
  <Characters>3747</Characters>
  <TotalTime>3</TotalTime>
  <ScaleCrop>false</ScaleCrop>
  <LinksUpToDate>false</LinksUpToDate>
  <CharactersWithSpaces>4055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2025-08-18T17:56:00Z</dcterms:created>
  <dc:creator>谢永刚</dc:creator>
  <cp:lastModifiedBy>郝宇</cp:lastModifiedBy>
  <dcterms:modified xsi:type="dcterms:W3CDTF">2025-08-26T08:11:23Z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2025-08-20T23:54:01Z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F06448E82D154202B687D38C6E206337_12</vt:lpwstr>
  </property>
</Properties>
</file>