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E70D2">
      <w:pPr>
        <w:pStyle w:val="11"/>
        <w:spacing w:line="241" w:lineRule="auto"/>
      </w:pPr>
    </w:p>
    <w:p w14:paraId="5839D48F">
      <w:pPr>
        <w:pStyle w:val="11"/>
        <w:spacing w:line="242" w:lineRule="auto"/>
      </w:pPr>
    </w:p>
    <w:p w14:paraId="2062F07A">
      <w:pPr>
        <w:pStyle w:val="11"/>
        <w:spacing w:line="242" w:lineRule="auto"/>
      </w:pPr>
    </w:p>
    <w:p w14:paraId="2C65FF9C">
      <w:pPr>
        <w:pStyle w:val="11"/>
        <w:spacing w:line="242" w:lineRule="auto"/>
      </w:pPr>
    </w:p>
    <w:p w14:paraId="54A3E719">
      <w:pPr>
        <w:pStyle w:val="11"/>
        <w:spacing w:line="242" w:lineRule="auto"/>
      </w:pPr>
    </w:p>
    <w:p w14:paraId="3E3F5DF2">
      <w:pPr>
        <w:pStyle w:val="11"/>
        <w:spacing w:line="242" w:lineRule="auto"/>
      </w:pPr>
    </w:p>
    <w:p w14:paraId="4318895D">
      <w:pPr>
        <w:pStyle w:val="11"/>
        <w:spacing w:line="242" w:lineRule="auto"/>
      </w:pPr>
    </w:p>
    <w:p w14:paraId="3A407139">
      <w:pPr>
        <w:pStyle w:val="11"/>
        <w:spacing w:line="242" w:lineRule="auto"/>
      </w:pPr>
    </w:p>
    <w:p w14:paraId="18F8791D">
      <w:pPr>
        <w:pStyle w:val="11"/>
        <w:spacing w:line="242" w:lineRule="auto"/>
      </w:pPr>
    </w:p>
    <w:p w14:paraId="1974C4D6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bookmarkStart w:id="0" w:name="_Toc6586"/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沟通管理制度</w:t>
      </w:r>
      <w:bookmarkEnd w:id="0"/>
    </w:p>
    <w:p w14:paraId="73ADBE31">
      <w:pPr>
        <w:pStyle w:val="11"/>
        <w:spacing w:line="246" w:lineRule="auto"/>
      </w:pPr>
    </w:p>
    <w:p w14:paraId="11B62238">
      <w:pPr>
        <w:pStyle w:val="11"/>
        <w:spacing w:line="246" w:lineRule="auto"/>
      </w:pPr>
    </w:p>
    <w:p w14:paraId="162B0504">
      <w:pPr>
        <w:pStyle w:val="11"/>
        <w:spacing w:line="246" w:lineRule="auto"/>
      </w:pPr>
    </w:p>
    <w:p w14:paraId="29BC7171">
      <w:pPr>
        <w:pStyle w:val="11"/>
        <w:spacing w:line="246" w:lineRule="auto"/>
      </w:pPr>
    </w:p>
    <w:p w14:paraId="56D4399D">
      <w:pPr>
        <w:pStyle w:val="11"/>
        <w:spacing w:line="246" w:lineRule="auto"/>
      </w:pPr>
    </w:p>
    <w:p w14:paraId="683E4F4D">
      <w:pPr>
        <w:pStyle w:val="11"/>
        <w:spacing w:line="246" w:lineRule="auto"/>
      </w:pPr>
    </w:p>
    <w:p w14:paraId="3505BD6D">
      <w:pPr>
        <w:pStyle w:val="11"/>
        <w:spacing w:line="246" w:lineRule="auto"/>
      </w:pPr>
    </w:p>
    <w:p w14:paraId="02D6BA16">
      <w:pPr>
        <w:pStyle w:val="11"/>
        <w:spacing w:line="247" w:lineRule="auto"/>
      </w:pPr>
    </w:p>
    <w:p w14:paraId="3F61C186">
      <w:pPr>
        <w:spacing w:line="1292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A417">
      <w:pPr>
        <w:pStyle w:val="11"/>
        <w:spacing w:line="245" w:lineRule="auto"/>
      </w:pPr>
    </w:p>
    <w:p w14:paraId="418D7122">
      <w:pPr>
        <w:pStyle w:val="11"/>
        <w:spacing w:line="245" w:lineRule="auto"/>
      </w:pPr>
    </w:p>
    <w:p w14:paraId="4BE971BA">
      <w:pPr>
        <w:pStyle w:val="11"/>
        <w:spacing w:line="245" w:lineRule="auto"/>
      </w:pPr>
    </w:p>
    <w:p w14:paraId="04387814">
      <w:pPr>
        <w:pStyle w:val="11"/>
        <w:spacing w:line="245" w:lineRule="auto"/>
      </w:pPr>
    </w:p>
    <w:p w14:paraId="3590F0AF">
      <w:pPr>
        <w:pStyle w:val="11"/>
        <w:spacing w:line="245" w:lineRule="auto"/>
      </w:pPr>
    </w:p>
    <w:p w14:paraId="2626A9FD">
      <w:pPr>
        <w:pStyle w:val="11"/>
        <w:spacing w:line="245" w:lineRule="auto"/>
      </w:pPr>
    </w:p>
    <w:p w14:paraId="2990DC57">
      <w:pPr>
        <w:pStyle w:val="11"/>
        <w:spacing w:line="245" w:lineRule="auto"/>
      </w:pPr>
    </w:p>
    <w:p w14:paraId="58A76C24">
      <w:pPr>
        <w:pStyle w:val="11"/>
        <w:spacing w:line="245" w:lineRule="auto"/>
      </w:pPr>
    </w:p>
    <w:p w14:paraId="0670DB49">
      <w:pPr>
        <w:pStyle w:val="11"/>
        <w:spacing w:line="245" w:lineRule="auto"/>
      </w:pPr>
    </w:p>
    <w:p w14:paraId="3F19EE9E">
      <w:pPr>
        <w:pStyle w:val="11"/>
        <w:spacing w:line="245" w:lineRule="auto"/>
      </w:pPr>
    </w:p>
    <w:p w14:paraId="697E2E6D">
      <w:pPr>
        <w:pStyle w:val="11"/>
        <w:spacing w:line="245" w:lineRule="auto"/>
      </w:pPr>
    </w:p>
    <w:p w14:paraId="14931B2B">
      <w:pPr>
        <w:pStyle w:val="11"/>
        <w:spacing w:line="245" w:lineRule="auto"/>
      </w:pPr>
    </w:p>
    <w:p w14:paraId="2F2F4547">
      <w:pPr>
        <w:pStyle w:val="11"/>
        <w:spacing w:line="246" w:lineRule="auto"/>
      </w:pPr>
    </w:p>
    <w:p w14:paraId="787D09BF">
      <w:pPr>
        <w:pStyle w:val="11"/>
        <w:spacing w:line="246" w:lineRule="auto"/>
      </w:pPr>
    </w:p>
    <w:p w14:paraId="0BD9AF66">
      <w:pPr>
        <w:pStyle w:val="11"/>
        <w:spacing w:line="246" w:lineRule="auto"/>
      </w:pPr>
    </w:p>
    <w:p w14:paraId="41A96F20">
      <w:pPr>
        <w:pStyle w:val="11"/>
        <w:spacing w:line="246" w:lineRule="auto"/>
      </w:pPr>
    </w:p>
    <w:p w14:paraId="3F74EDA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A59276A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88352B3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D90FCD6">
      <w:pPr>
        <w:pStyle w:val="11"/>
        <w:spacing w:line="252" w:lineRule="auto"/>
      </w:pPr>
    </w:p>
    <w:p w14:paraId="51AB0BAA">
      <w:pPr>
        <w:pStyle w:val="11"/>
        <w:spacing w:line="253" w:lineRule="auto"/>
      </w:pPr>
    </w:p>
    <w:p w14:paraId="3A157720">
      <w:pPr>
        <w:pStyle w:val="11"/>
        <w:spacing w:line="253" w:lineRule="auto"/>
      </w:pPr>
    </w:p>
    <w:p w14:paraId="258F2806">
      <w:pPr>
        <w:pStyle w:val="11"/>
        <w:spacing w:line="253" w:lineRule="auto"/>
      </w:pPr>
    </w:p>
    <w:p w14:paraId="585AE987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3822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F605BB6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793C0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7832DE7F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7DCD5A6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沟通管理制度（HHLC-ITSS-GTGL）</w:t>
            </w:r>
          </w:p>
        </w:tc>
      </w:tr>
      <w:tr w14:paraId="5A625C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CC014B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3F5037E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7CF9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350FF8A5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60B85EA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52AB296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EB8DEF4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09D0B9B0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B64C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9E6897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AE3AF0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A0A0911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30DF14CB">
            <w:pPr>
              <w:spacing w:before="132" w:line="220" w:lineRule="auto"/>
              <w:ind w:left="47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李琳</w:t>
            </w:r>
          </w:p>
        </w:tc>
        <w:tc>
          <w:tcPr>
            <w:tcW w:w="1953" w:type="dxa"/>
            <w:vAlign w:val="top"/>
          </w:tcPr>
          <w:p w14:paraId="7169F9BF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133E1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4" w:hRule="atLeast"/>
        </w:trPr>
        <w:tc>
          <w:tcPr>
            <w:tcW w:w="1846" w:type="dxa"/>
            <w:vAlign w:val="top"/>
          </w:tcPr>
          <w:p w14:paraId="4B688395">
            <w:pPr>
              <w:pStyle w:val="19"/>
            </w:pPr>
          </w:p>
        </w:tc>
        <w:tc>
          <w:tcPr>
            <w:tcW w:w="1413" w:type="dxa"/>
            <w:vAlign w:val="top"/>
          </w:tcPr>
          <w:p w14:paraId="6CBDE2A3">
            <w:pPr>
              <w:pStyle w:val="19"/>
            </w:pPr>
          </w:p>
        </w:tc>
        <w:tc>
          <w:tcPr>
            <w:tcW w:w="2303" w:type="dxa"/>
            <w:vAlign w:val="top"/>
          </w:tcPr>
          <w:p w14:paraId="62849D96">
            <w:pPr>
              <w:pStyle w:val="19"/>
            </w:pPr>
          </w:p>
        </w:tc>
        <w:tc>
          <w:tcPr>
            <w:tcW w:w="1557" w:type="dxa"/>
            <w:vAlign w:val="top"/>
          </w:tcPr>
          <w:p w14:paraId="47CA7537">
            <w:pPr>
              <w:pStyle w:val="19"/>
            </w:pPr>
          </w:p>
        </w:tc>
        <w:tc>
          <w:tcPr>
            <w:tcW w:w="1953" w:type="dxa"/>
            <w:vAlign w:val="top"/>
          </w:tcPr>
          <w:p w14:paraId="3AA7B0FB">
            <w:pPr>
              <w:pStyle w:val="19"/>
            </w:pPr>
          </w:p>
        </w:tc>
      </w:tr>
      <w:tr w14:paraId="369CC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6D1CCED">
            <w:pPr>
              <w:pStyle w:val="19"/>
            </w:pPr>
          </w:p>
        </w:tc>
        <w:tc>
          <w:tcPr>
            <w:tcW w:w="1413" w:type="dxa"/>
            <w:vAlign w:val="top"/>
          </w:tcPr>
          <w:p w14:paraId="2A4E93F5">
            <w:pPr>
              <w:pStyle w:val="19"/>
            </w:pPr>
          </w:p>
        </w:tc>
        <w:tc>
          <w:tcPr>
            <w:tcW w:w="2303" w:type="dxa"/>
            <w:vAlign w:val="top"/>
          </w:tcPr>
          <w:p w14:paraId="1482C95D">
            <w:pPr>
              <w:pStyle w:val="19"/>
            </w:pPr>
          </w:p>
        </w:tc>
        <w:tc>
          <w:tcPr>
            <w:tcW w:w="1557" w:type="dxa"/>
            <w:vAlign w:val="top"/>
          </w:tcPr>
          <w:p w14:paraId="192737E8">
            <w:pPr>
              <w:pStyle w:val="19"/>
            </w:pPr>
          </w:p>
        </w:tc>
        <w:tc>
          <w:tcPr>
            <w:tcW w:w="1953" w:type="dxa"/>
            <w:vAlign w:val="top"/>
          </w:tcPr>
          <w:p w14:paraId="31C25347">
            <w:pPr>
              <w:pStyle w:val="19"/>
            </w:pPr>
          </w:p>
        </w:tc>
      </w:tr>
      <w:tr w14:paraId="4F86E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093C206">
            <w:pPr>
              <w:pStyle w:val="19"/>
            </w:pPr>
          </w:p>
        </w:tc>
        <w:tc>
          <w:tcPr>
            <w:tcW w:w="1413" w:type="dxa"/>
            <w:vAlign w:val="top"/>
          </w:tcPr>
          <w:p w14:paraId="3F520450">
            <w:pPr>
              <w:pStyle w:val="19"/>
            </w:pPr>
          </w:p>
        </w:tc>
        <w:tc>
          <w:tcPr>
            <w:tcW w:w="2303" w:type="dxa"/>
            <w:vAlign w:val="top"/>
          </w:tcPr>
          <w:p w14:paraId="3BA9C6C9">
            <w:pPr>
              <w:pStyle w:val="19"/>
            </w:pPr>
          </w:p>
        </w:tc>
        <w:tc>
          <w:tcPr>
            <w:tcW w:w="1557" w:type="dxa"/>
            <w:vAlign w:val="top"/>
          </w:tcPr>
          <w:p w14:paraId="13DC3CD1">
            <w:pPr>
              <w:pStyle w:val="19"/>
            </w:pPr>
          </w:p>
        </w:tc>
        <w:tc>
          <w:tcPr>
            <w:tcW w:w="1953" w:type="dxa"/>
            <w:vAlign w:val="top"/>
          </w:tcPr>
          <w:p w14:paraId="22698DF8">
            <w:pPr>
              <w:pStyle w:val="19"/>
            </w:pPr>
          </w:p>
        </w:tc>
      </w:tr>
      <w:tr w14:paraId="76C1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A27DDE9">
            <w:pPr>
              <w:pStyle w:val="19"/>
            </w:pPr>
          </w:p>
        </w:tc>
        <w:tc>
          <w:tcPr>
            <w:tcW w:w="1413" w:type="dxa"/>
            <w:vAlign w:val="top"/>
          </w:tcPr>
          <w:p w14:paraId="026F92F6">
            <w:pPr>
              <w:pStyle w:val="19"/>
            </w:pPr>
          </w:p>
        </w:tc>
        <w:tc>
          <w:tcPr>
            <w:tcW w:w="2303" w:type="dxa"/>
            <w:vAlign w:val="top"/>
          </w:tcPr>
          <w:p w14:paraId="4429FC1F">
            <w:pPr>
              <w:pStyle w:val="19"/>
            </w:pPr>
          </w:p>
        </w:tc>
        <w:tc>
          <w:tcPr>
            <w:tcW w:w="1557" w:type="dxa"/>
            <w:vAlign w:val="top"/>
          </w:tcPr>
          <w:p w14:paraId="26DC5BD4">
            <w:pPr>
              <w:pStyle w:val="19"/>
            </w:pPr>
          </w:p>
        </w:tc>
        <w:tc>
          <w:tcPr>
            <w:tcW w:w="1953" w:type="dxa"/>
            <w:vAlign w:val="top"/>
          </w:tcPr>
          <w:p w14:paraId="37CCFC22">
            <w:pPr>
              <w:pStyle w:val="19"/>
            </w:pPr>
          </w:p>
        </w:tc>
      </w:tr>
      <w:tr w14:paraId="145B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03D0B6B2">
            <w:pPr>
              <w:pStyle w:val="19"/>
            </w:pPr>
          </w:p>
        </w:tc>
        <w:tc>
          <w:tcPr>
            <w:tcW w:w="1413" w:type="dxa"/>
            <w:vAlign w:val="top"/>
          </w:tcPr>
          <w:p w14:paraId="0EFB3109">
            <w:pPr>
              <w:pStyle w:val="19"/>
            </w:pPr>
          </w:p>
        </w:tc>
        <w:tc>
          <w:tcPr>
            <w:tcW w:w="2303" w:type="dxa"/>
            <w:vAlign w:val="top"/>
          </w:tcPr>
          <w:p w14:paraId="34A1342E">
            <w:pPr>
              <w:pStyle w:val="19"/>
            </w:pPr>
          </w:p>
        </w:tc>
        <w:tc>
          <w:tcPr>
            <w:tcW w:w="1557" w:type="dxa"/>
            <w:vAlign w:val="top"/>
          </w:tcPr>
          <w:p w14:paraId="1D36B6B8">
            <w:pPr>
              <w:pStyle w:val="19"/>
            </w:pPr>
          </w:p>
        </w:tc>
        <w:tc>
          <w:tcPr>
            <w:tcW w:w="1953" w:type="dxa"/>
            <w:vAlign w:val="top"/>
          </w:tcPr>
          <w:p w14:paraId="0862213C">
            <w:pPr>
              <w:pStyle w:val="19"/>
            </w:pPr>
          </w:p>
        </w:tc>
      </w:tr>
    </w:tbl>
    <w:p w14:paraId="13C72A72">
      <w:pPr>
        <w:pStyle w:val="11"/>
      </w:pPr>
    </w:p>
    <w:p w14:paraId="6AA4DF46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655F1E3B">
      <w:pPr>
        <w:pStyle w:val="11"/>
        <w:spacing w:line="268" w:lineRule="auto"/>
      </w:pPr>
    </w:p>
    <w:p w14:paraId="5F3C444E">
      <w:pPr>
        <w:pStyle w:val="11"/>
        <w:spacing w:line="269" w:lineRule="auto"/>
      </w:pPr>
    </w:p>
    <w:p w14:paraId="3E88D8EB">
      <w:pPr>
        <w:pStyle w:val="11"/>
        <w:spacing w:line="269" w:lineRule="auto"/>
      </w:pPr>
    </w:p>
    <w:p w14:paraId="48FE1D5B">
      <w:pPr>
        <w:pStyle w:val="11"/>
        <w:spacing w:line="269" w:lineRule="auto"/>
      </w:pPr>
    </w:p>
    <w:p w14:paraId="5B5288A5">
      <w:pPr>
        <w:pStyle w:val="11"/>
        <w:spacing w:line="269" w:lineRule="auto"/>
      </w:pPr>
    </w:p>
    <w:p w14:paraId="4DE0111C">
      <w:pPr>
        <w:pStyle w:val="11"/>
        <w:spacing w:line="269" w:lineRule="auto"/>
      </w:pPr>
    </w:p>
    <w:p w14:paraId="7E6F9C77">
      <w:pPr>
        <w:pStyle w:val="11"/>
        <w:spacing w:line="269" w:lineRule="auto"/>
      </w:pPr>
    </w:p>
    <w:sdt>
      <w:sdt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id w:val="14746519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0E6A40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7A0DCC5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_Toc6586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沟通管理制度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_Toc6586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FB6AA5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_Toc3822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_Toc3822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B6A062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B26770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_Toc18319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_Toc18319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57868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_Toc4122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_Toc4122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6E793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_Toc19013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_Toc19013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2CC6B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2197AC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_Toc15017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_Toc15017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AE9278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0F262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_Toc17608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内部信息沟通管理部门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_Toc17608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92431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_Toc14203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内部信息沟通工作要求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4482BD4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_Toc24030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8.1. 文书类信息沟通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84C0B3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_Toc32375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8.2. 会议沟通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_Toc32375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BE8A82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_Toc29654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 网络信息沟通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_Toc29654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37A572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_Toc5865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8.4. 其它类沟通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_Toc5865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422602C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_Toc18958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8.5. 越级沟通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_Toc18958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925CD6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8.6. 制度的监督执行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4305A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_Toc29929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对外沟通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_Toc29929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5F1C9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_Toc5244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_Toc5244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8D352C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C3DC81A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AE3C9A7">
      <w:pPr>
        <w:pStyle w:val="20"/>
        <w:bidi w:val="0"/>
      </w:pPr>
      <w:bookmarkStart w:id="2" w:name="_Toc15161"/>
      <w:r>
        <w:t>目的</w:t>
      </w:r>
      <w:bookmarkEnd w:id="2"/>
    </w:p>
    <w:p w14:paraId="71D7C88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为提高工作效率，避免出现因内部各环节沟通不及时或不顺畅导致的工作脱节、互相推诿、埋怨现象，增进团结友爱，紧密配合意识</w:t>
      </w:r>
      <w:r>
        <w:rPr>
          <w:rFonts w:ascii="宋体" w:hAnsi="宋体" w:eastAsia="宋体" w:cs="宋体"/>
          <w:spacing w:val="-2"/>
          <w:sz w:val="24"/>
          <w:szCs w:val="24"/>
        </w:rPr>
        <w:t>，特制订本制度。</w:t>
      </w:r>
    </w:p>
    <w:p w14:paraId="04BC548C">
      <w:pPr>
        <w:pStyle w:val="20"/>
        <w:bidi w:val="0"/>
      </w:pPr>
      <w:bookmarkStart w:id="3" w:name="_Toc18319"/>
      <w:r>
        <w:t>适用范围</w:t>
      </w:r>
      <w:bookmarkEnd w:id="3"/>
    </w:p>
    <w:p w14:paraId="204DE0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本制度适用于青岛慧海联创信息技术有限公司（以下简称“公司 ”）</w:t>
      </w:r>
    </w:p>
    <w:p w14:paraId="1CAA3D54">
      <w:pPr>
        <w:pStyle w:val="20"/>
        <w:bidi w:val="0"/>
      </w:pPr>
      <w:bookmarkStart w:id="4" w:name="_Toc4122"/>
      <w:r>
        <w:t>引用文件</w:t>
      </w:r>
      <w:bookmarkEnd w:id="4"/>
    </w:p>
    <w:p w14:paraId="4896617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95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7D421BB3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92F78C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44BE3C0F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国家有关法律、法规及行业标准</w:t>
      </w:r>
    </w:p>
    <w:p w14:paraId="4E8A3B38">
      <w:pPr>
        <w:pStyle w:val="11"/>
        <w:spacing w:line="242" w:lineRule="auto"/>
      </w:pPr>
    </w:p>
    <w:p w14:paraId="0CC4FB44">
      <w:pPr>
        <w:pStyle w:val="20"/>
        <w:bidi w:val="0"/>
      </w:pPr>
      <w:bookmarkStart w:id="5" w:name="_Toc19013"/>
      <w:r>
        <w:t>术语与定义</w:t>
      </w:r>
      <w:bookmarkEnd w:id="5"/>
    </w:p>
    <w:p w14:paraId="0081EB85">
      <w:pPr>
        <w:spacing w:before="178" w:line="220" w:lineRule="auto"/>
        <w:ind w:left="1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B0F0EEE">
      <w:pPr>
        <w:pStyle w:val="20"/>
        <w:bidi w:val="0"/>
      </w:pPr>
      <w:bookmarkStart w:id="6" w:name="_Toc2836"/>
      <w:r>
        <w:t>角色与职责</w:t>
      </w:r>
      <w:bookmarkEnd w:id="6"/>
    </w:p>
    <w:p w14:paraId="1B0E57BC">
      <w:pPr>
        <w:spacing w:line="62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3116"/>
        <w:gridCol w:w="3392"/>
      </w:tblGrid>
      <w:tr w14:paraId="4BAD3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shd w:val="clear" w:color="auto" w:fill="BFBFBF"/>
            <w:vAlign w:val="top"/>
          </w:tcPr>
          <w:p w14:paraId="34FD7E71">
            <w:pPr>
              <w:spacing w:before="130" w:line="219" w:lineRule="auto"/>
              <w:ind w:left="8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3116" w:type="dxa"/>
            <w:shd w:val="clear" w:color="auto" w:fill="BFBFBF"/>
            <w:vAlign w:val="top"/>
          </w:tcPr>
          <w:p w14:paraId="4F31231C">
            <w:pPr>
              <w:spacing w:before="130" w:line="221" w:lineRule="auto"/>
              <w:ind w:left="13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392" w:type="dxa"/>
            <w:shd w:val="clear" w:color="auto" w:fill="BFBFBF"/>
            <w:vAlign w:val="top"/>
          </w:tcPr>
          <w:p w14:paraId="3D7943A1">
            <w:pPr>
              <w:spacing w:before="130" w:line="219" w:lineRule="auto"/>
              <w:ind w:left="1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61870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2DF074DC">
            <w:pPr>
              <w:spacing w:before="127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3116" w:type="dxa"/>
            <w:vAlign w:val="top"/>
          </w:tcPr>
          <w:p w14:paraId="096CEB8D">
            <w:pPr>
              <w:spacing w:before="127" w:line="220" w:lineRule="auto"/>
              <w:ind w:left="5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392" w:type="dxa"/>
            <w:vAlign w:val="top"/>
          </w:tcPr>
          <w:p w14:paraId="385E508A">
            <w:pPr>
              <w:spacing w:before="127" w:line="220" w:lineRule="auto"/>
              <w:ind w:left="1071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</w:t>
            </w: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lang w:val="en-US" w:eastAsia="zh-CN"/>
              </w:rPr>
              <w:t>中心经理</w:t>
            </w:r>
            <w:bookmarkStart w:id="22" w:name="_GoBack"/>
            <w:bookmarkEnd w:id="22"/>
          </w:p>
        </w:tc>
      </w:tr>
      <w:tr w14:paraId="3183F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32A7AA1F">
            <w:pPr>
              <w:spacing w:before="130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3116" w:type="dxa"/>
            <w:vAlign w:val="top"/>
          </w:tcPr>
          <w:p w14:paraId="1EEACEF4">
            <w:pPr>
              <w:spacing w:before="130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392" w:type="dxa"/>
            <w:vAlign w:val="top"/>
          </w:tcPr>
          <w:p w14:paraId="76B6EB7A">
            <w:pPr>
              <w:spacing w:before="129" w:line="220" w:lineRule="auto"/>
              <w:ind w:left="128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7CC7F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vAlign w:val="top"/>
          </w:tcPr>
          <w:p w14:paraId="3E3EE137">
            <w:pPr>
              <w:spacing w:before="132" w:line="220" w:lineRule="auto"/>
              <w:ind w:left="7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3116" w:type="dxa"/>
            <w:vAlign w:val="top"/>
          </w:tcPr>
          <w:p w14:paraId="5472F08D">
            <w:pPr>
              <w:spacing w:before="132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392" w:type="dxa"/>
            <w:vAlign w:val="top"/>
          </w:tcPr>
          <w:p w14:paraId="27578B9C">
            <w:pPr>
              <w:spacing w:before="132" w:line="229" w:lineRule="auto"/>
              <w:ind w:left="13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6D517D60">
      <w:pPr>
        <w:pStyle w:val="11"/>
      </w:pPr>
    </w:p>
    <w:p w14:paraId="0BBD4B46">
      <w:pPr>
        <w:pStyle w:val="11"/>
        <w:spacing w:line="241" w:lineRule="auto"/>
      </w:pPr>
    </w:p>
    <w:p w14:paraId="743AF9CD">
      <w:pPr>
        <w:pStyle w:val="20"/>
        <w:bidi w:val="0"/>
      </w:pPr>
      <w:bookmarkStart w:id="7" w:name="_Toc15017"/>
      <w:r>
        <w:t>内部信息沟通类别</w:t>
      </w:r>
      <w:bookmarkEnd w:id="7"/>
    </w:p>
    <w:p w14:paraId="70F75F04">
      <w:pPr>
        <w:pStyle w:val="21"/>
        <w:bidi w:val="0"/>
      </w:pPr>
      <w:bookmarkStart w:id="8" w:name="bookmark19"/>
      <w:bookmarkEnd w:id="8"/>
      <w:bookmarkStart w:id="9" w:name="_Toc22035"/>
      <w:r>
        <w:t>内部信息沟通类别</w:t>
      </w:r>
      <w:bookmarkEnd w:id="9"/>
    </w:p>
    <w:p w14:paraId="702D620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正式沟通：文书类信息沟通、会议沟通、网络沟通、其它类沟通等；</w:t>
      </w:r>
    </w:p>
    <w:p w14:paraId="59E350D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非正式沟通：户外拓展运动、节日庆典活动；</w:t>
      </w:r>
    </w:p>
    <w:p w14:paraId="4D2183C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文书类信息沟通包括：文件、工作计划与总结、各项工作报表、各项工作记录等各类书面的信息；</w:t>
      </w:r>
    </w:p>
    <w:p w14:paraId="025CA68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会议沟通主要包括：公司级专题工作会议、小组讨论会议、项目例会和茶话会等；</w:t>
      </w:r>
    </w:p>
    <w:p w14:paraId="5FB0D1C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网络沟通主要包括：企业 QQ 群、公司电子邮箱、电话沟通等；</w:t>
      </w:r>
    </w:p>
    <w:p w14:paraId="76B05D07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其它类沟通：培训、面谈、调查、意见箱等；</w:t>
      </w:r>
    </w:p>
    <w:p w14:paraId="23731DED">
      <w:pPr>
        <w:pStyle w:val="20"/>
        <w:bidi w:val="0"/>
      </w:pPr>
      <w:bookmarkStart w:id="10" w:name="_Toc17608"/>
      <w:r>
        <w:t>内部信息沟通管理部门</w:t>
      </w:r>
      <w:bookmarkEnd w:id="10"/>
    </w:p>
    <w:p w14:paraId="2AAE13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质量中心负责公司内部信息沟通制度的建立和协调管理，各职能部门负责本部门与所属业务对接信息沟通工作。</w:t>
      </w:r>
    </w:p>
    <w:p w14:paraId="659AB07D">
      <w:pPr>
        <w:pStyle w:val="20"/>
        <w:bidi w:val="0"/>
      </w:pPr>
      <w:bookmarkStart w:id="11" w:name="_Toc14203"/>
      <w:r>
        <w:t>内部信息沟通工作要求</w:t>
      </w:r>
      <w:bookmarkEnd w:id="11"/>
    </w:p>
    <w:p w14:paraId="5DF22858">
      <w:pPr>
        <w:pStyle w:val="21"/>
        <w:bidi w:val="0"/>
      </w:pPr>
      <w:bookmarkStart w:id="12" w:name="_Toc24030"/>
      <w:r>
        <w:t>文书类信息沟通</w:t>
      </w:r>
      <w:bookmarkEnd w:id="12"/>
    </w:p>
    <w:p w14:paraId="72CA969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文件沟通：对于公司下发的各类文件，各部门认真学习，贯彻文件精神，以确保文件内容沟通、执行到位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.</w:t>
      </w:r>
    </w:p>
    <w:p w14:paraId="1DA5B03A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工作类报告：类似于报告的沟通方式还有请示、向公司上一级主管提出意见或建议等。需要批复或口头上给予反馈，从而形成上下信息交流上的互动；</w:t>
      </w:r>
    </w:p>
    <w:p w14:paraId="419F5B0F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简报：各部门、各项目用于汇总专项或综合工作信息而制作的书面材料。由质量中心每月制作各项目完成工程量、完成产值等内容。</w:t>
      </w:r>
    </w:p>
    <w:p w14:paraId="40683EC1">
      <w:pPr>
        <w:pStyle w:val="21"/>
        <w:bidi w:val="0"/>
      </w:pPr>
      <w:bookmarkStart w:id="13" w:name="_Toc32375"/>
      <w:r>
        <w:t>会议沟通</w:t>
      </w:r>
      <w:bookmarkEnd w:id="13"/>
    </w:p>
    <w:p w14:paraId="252ADB97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召开公司级专题工作会议，各部门专题会议、部门例会后，形成会议纪要，由专题工作主办部门起草，经主办部门负责人审核，报主持会议的公司领导签发、传阅。</w:t>
      </w:r>
    </w:p>
    <w:p w14:paraId="611FF72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形成会议纪要，由主办部门起草，经部门（中心）负责人审核签发，主送公司领导传阅。</w:t>
      </w:r>
    </w:p>
    <w:p w14:paraId="30D6796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其它会议需沟通的信息由主办部门主持人向总经理进行口头汇报会。</w:t>
      </w:r>
    </w:p>
    <w:p w14:paraId="46818D8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会议沟通讲究会议效率，开会要有结果，不能议而不决，会后要抓好执行、跟踪、检查、评估、反馈等环节</w:t>
      </w:r>
    </w:p>
    <w:p w14:paraId="7CD72890">
      <w:pPr>
        <w:pStyle w:val="21"/>
        <w:bidi w:val="0"/>
      </w:pPr>
      <w:bookmarkStart w:id="14" w:name="_Toc29654"/>
      <w:r>
        <w:t>网络信息沟通</w:t>
      </w:r>
      <w:bookmarkEnd w:id="14"/>
    </w:p>
    <w:p w14:paraId="03D1E8F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由质量中心将公司、总经理、职能部门及各管理中心负责人工作所用的电子邮箱汇总并进行发布。用于管理者与员工之间对工作中提出的意见和建议的沟通</w:t>
      </w:r>
    </w:p>
    <w:p w14:paraId="59D6222A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管理专员每周五将邮件中需要进行回复的问题进行汇总，分发各职能部门负责人对提出的问题进行解答，由质量中心统一进行回复；对于各部门暂时不能准确答复的问题给予说明，并书面报总经理，做详细登记。</w:t>
      </w:r>
    </w:p>
    <w:p w14:paraId="234BBBA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对提出的建议、意见进行汇总，书面汇总后报总经理审批。</w:t>
      </w:r>
    </w:p>
    <w:p w14:paraId="1B0E492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各部门按照公司信息报送</w:t>
      </w:r>
      <w:r>
        <w:rPr>
          <w:rFonts w:ascii="宋体" w:hAnsi="宋体" w:eastAsia="宋体" w:cs="宋体"/>
          <w:spacing w:val="-2"/>
          <w:sz w:val="24"/>
          <w:szCs w:val="24"/>
        </w:rPr>
        <w:t>制度的要求，积极按时上报信息，网络工程师应及时</w:t>
      </w:r>
      <w:r>
        <w:rPr>
          <w:rFonts w:ascii="宋体" w:hAnsi="宋体" w:eastAsia="宋体" w:cs="宋体"/>
          <w:spacing w:val="-1"/>
          <w:sz w:val="24"/>
          <w:szCs w:val="24"/>
        </w:rPr>
        <w:t>刷新企业最新动态。</w:t>
      </w:r>
    </w:p>
    <w:p w14:paraId="01E1D8EB">
      <w:pPr>
        <w:pStyle w:val="21"/>
        <w:bidi w:val="0"/>
      </w:pPr>
      <w:bookmarkStart w:id="15" w:name="bookmark1"/>
      <w:bookmarkEnd w:id="15"/>
      <w:bookmarkStart w:id="16" w:name="_Toc5865"/>
      <w:r>
        <w:t>其它类沟通</w:t>
      </w:r>
      <w:bookmarkEnd w:id="16"/>
    </w:p>
    <w:p w14:paraId="5FAA78C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培训：新员工入职培训、领导者及管理者培训、专业培训、通用技能培训等，要多以体验式、课堂式、交流研讨会等形式，注重培训效果的巩固与应用，将相关信息进行记录。</w:t>
      </w:r>
    </w:p>
    <w:p w14:paraId="1CAB9562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面谈：管理者与员工进行的一对一、一对多、或多对多的面谈沟通，有效征求员工意见，反馈工作信息，激励员工行为。</w:t>
      </w:r>
    </w:p>
    <w:p w14:paraId="08A8F58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调查： 在各项与员工相关的管理制度下发之前，要充分沟通，了解员</w:t>
      </w:r>
    </w:p>
    <w:p w14:paraId="72E7CAB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对制度的意见或建议；在各项与工作相关的制度和流程下发之前，要和相关岗位的员工充分沟通，听取他们的分析，了解他们的意见和建议，提高制度与流程的准确性与可执行性；公司下发的文件，要通过通知、公告栏等方式及时、准确地向全体员工传达。</w:t>
      </w:r>
    </w:p>
    <w:p w14:paraId="1FEDAD6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意见箱：由质量管理专员每周五进行开箱收信，要高度重视，按电子邮件类型进行办理。</w:t>
      </w:r>
    </w:p>
    <w:p w14:paraId="3AC1EAB3">
      <w:pPr>
        <w:pStyle w:val="21"/>
        <w:bidi w:val="0"/>
      </w:pPr>
      <w:bookmarkStart w:id="17" w:name="bookmark1"/>
      <w:bookmarkEnd w:id="17"/>
      <w:bookmarkStart w:id="18" w:name="_Toc18958"/>
      <w:r>
        <w:t>越级沟通</w:t>
      </w:r>
      <w:bookmarkEnd w:id="18"/>
    </w:p>
    <w:p w14:paraId="6F45B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对于正常的工作，各级工作人员要养成一种逐级上报的习惯。</w:t>
      </w:r>
      <w:r>
        <w:rPr>
          <w:rFonts w:ascii="宋体" w:hAnsi="宋体" w:eastAsia="宋体" w:cs="宋体"/>
          <w:spacing w:val="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但当工作中</w:t>
      </w:r>
      <w:r>
        <w:rPr>
          <w:rFonts w:ascii="宋体" w:hAnsi="宋体" w:eastAsia="宋体" w:cs="宋体"/>
          <w:spacing w:val="-5"/>
          <w:sz w:val="24"/>
          <w:szCs w:val="24"/>
        </w:rPr>
        <w:t>出现如下情况时，可以进行越级沟通：</w:t>
      </w:r>
    </w:p>
    <w:p w14:paraId="2DB978B4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下级对上级汇报的工作内容，提出的意见和建议，多次得不到答复；</w:t>
      </w:r>
    </w:p>
    <w:p w14:paraId="319BF86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下级对上级的管理方式产生意见，需要投诉时；</w:t>
      </w:r>
    </w:p>
    <w:p w14:paraId="7D69EE7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下级发现上级的违规行为时；</w:t>
      </w:r>
    </w:p>
    <w:p w14:paraId="5EC11D3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个人对公司的改革、发展有建议或意见时。</w:t>
      </w:r>
    </w:p>
    <w:p w14:paraId="69604BFC">
      <w:pPr>
        <w:pStyle w:val="21"/>
        <w:bidi w:val="0"/>
      </w:pPr>
      <w:bookmarkStart w:id="19" w:name="_Toc10678"/>
      <w:r>
        <w:t>制度的监督执行</w:t>
      </w:r>
      <w:bookmarkEnd w:id="19"/>
    </w:p>
    <w:p w14:paraId="157F08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质量中心负责对信息内部沟通进行检查，各部门需提供相应的书面材料。对因信息不畅，造成工作任务未完成部门及个人将予以通报批评。</w:t>
      </w:r>
    </w:p>
    <w:p w14:paraId="2F275A53">
      <w:pPr>
        <w:pStyle w:val="20"/>
        <w:bidi w:val="0"/>
      </w:pPr>
      <w:bookmarkStart w:id="20" w:name="_Toc29929"/>
      <w:r>
        <w:t>对外沟通</w:t>
      </w:r>
      <w:bookmarkEnd w:id="20"/>
    </w:p>
    <w:p w14:paraId="331BA3D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本公司的产品信息，以质量目标、口头、书面或广告等方式让客户了解。</w:t>
      </w:r>
    </w:p>
    <w:p w14:paraId="45C915F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部主动掌握客户的需求或客户需求服务时，由承办人员填写内部联络单，反映给部门主管签核，以确定客户服务的需求。业务人员针对内部联络单之需求，适时处理客户需求，并将相关部门所回复的处理结果填入内部联络单呈部门主管核阅，将处理结果以电话、传真或邮寄方式回复客户确认是否满足其客户需求。</w:t>
      </w:r>
    </w:p>
    <w:p w14:paraId="7CEEEB4B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由公司授权运维服务部负责与客户签订合同或合同变更，处理方式依顾客要求评审控制程序规定办理。</w:t>
      </w:r>
    </w:p>
    <w:p w14:paraId="3CE03F72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客户以书面或口头等方式，向运维服务部提出抱怨时，必须将抱怨事实依据客户信息反馈管理制度规定办理。</w:t>
      </w:r>
    </w:p>
    <w:p w14:paraId="1E600997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运维服务部应定期调查客户对本公司产品/服务的状况，以了解客户的满意度或意见，参照客户满意监视和测量控制程序执行。</w:t>
      </w:r>
    </w:p>
    <w:p w14:paraId="5D7F30AD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客户抱怨的信息亦应适时宣导使员工知悉，以作为鼓励或激励的依据</w:t>
      </w:r>
    </w:p>
    <w:p w14:paraId="78EEC6E9">
      <w:pPr>
        <w:pStyle w:val="20"/>
        <w:bidi w:val="0"/>
      </w:pPr>
      <w:bookmarkStart w:id="21" w:name="_Toc5244"/>
      <w:r>
        <w:t>附则</w:t>
      </w:r>
      <w:bookmarkEnd w:id="21"/>
    </w:p>
    <w:p w14:paraId="0203B66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公司内部沟通管理工作由公司的质量中心实施管理。</w:t>
      </w:r>
    </w:p>
    <w:p w14:paraId="040F3B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本制度未尽事宜按国家法律、法规、规范性文件和本公司章程规定执行。</w:t>
      </w:r>
    </w:p>
    <w:p w14:paraId="20861C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本制度与国法律、法规、规范性文件和本公司章程规定不一致的，以有关国家法律、法规、规范性文件和本公司章程规定为准。</w:t>
      </w:r>
    </w:p>
    <w:p w14:paraId="079F752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本制度由公司质量中心拟定, 自公司总经理批准颁布之日起施行。</w:t>
      </w:r>
    </w:p>
    <w:sectPr>
      <w:footerReference r:id="rId5" w:type="default"/>
      <w:pgSz w:w="11906" w:h="16839"/>
      <w:pgMar w:top="1431" w:right="1620" w:bottom="1374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C1EB6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8389D"/>
    <w:multiLevelType w:val="singleLevel"/>
    <w:tmpl w:val="8468389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CAD90CA"/>
    <w:multiLevelType w:val="singleLevel"/>
    <w:tmpl w:val="CCAD90C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38ED05B"/>
    <w:multiLevelType w:val="singleLevel"/>
    <w:tmpl w:val="D38ED05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B4125EB"/>
    <w:multiLevelType w:val="singleLevel"/>
    <w:tmpl w:val="EB4125E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3B88221"/>
    <w:multiLevelType w:val="singleLevel"/>
    <w:tmpl w:val="F3B882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914153D"/>
    <w:multiLevelType w:val="singleLevel"/>
    <w:tmpl w:val="0914153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1F3FF005"/>
    <w:multiLevelType w:val="singleLevel"/>
    <w:tmpl w:val="1F3FF00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5D8DDEAA"/>
    <w:multiLevelType w:val="singleLevel"/>
    <w:tmpl w:val="5D8DDEA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A2664A6"/>
    <w:rsid w:val="106D43EE"/>
    <w:rsid w:val="11D24E50"/>
    <w:rsid w:val="183F48C2"/>
    <w:rsid w:val="1A707AF4"/>
    <w:rsid w:val="1C86490B"/>
    <w:rsid w:val="1D835C71"/>
    <w:rsid w:val="22175F97"/>
    <w:rsid w:val="2E280FC9"/>
    <w:rsid w:val="2F3C5BA7"/>
    <w:rsid w:val="33DA14EB"/>
    <w:rsid w:val="393F251C"/>
    <w:rsid w:val="42827522"/>
    <w:rsid w:val="42DC702D"/>
    <w:rsid w:val="45757F0D"/>
    <w:rsid w:val="502267E3"/>
    <w:rsid w:val="512D516E"/>
    <w:rsid w:val="52C261B6"/>
    <w:rsid w:val="530D6D8F"/>
    <w:rsid w:val="544D1B39"/>
    <w:rsid w:val="561F1A6E"/>
    <w:rsid w:val="61B24B8D"/>
    <w:rsid w:val="62946B85"/>
    <w:rsid w:val="63A86D8C"/>
    <w:rsid w:val="63F62FDB"/>
    <w:rsid w:val="66F81DD8"/>
    <w:rsid w:val="6D6110BB"/>
    <w:rsid w:val="768014A2"/>
    <w:rsid w:val="7E400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2386</Words>
  <Characters>2486</Characters>
  <TotalTime>2</TotalTime>
  <ScaleCrop>false</ScaleCrop>
  <LinksUpToDate>false</LinksUpToDate>
  <CharactersWithSpaces>2548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2025-08-18T17:59:00Z</dcterms:created>
  <dc:creator>谢永刚</dc:creator>
  <cp:lastModifiedBy>郝宇</cp:lastModifiedBy>
  <dcterms:modified xsi:type="dcterms:W3CDTF">2025-08-28T04:05:36Z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2025-08-20T23:59:32Z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E8CF62B20D64493791925A727BD83F6C_12</vt:lpwstr>
  </property>
</Properties>
</file>