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11"/>
        <w:spacing w:line="252" w:lineRule="auto"/>
      </w:pPr>
    </w:p>
    <w:p w14:paraId="3C08D8C0">
      <w:pPr>
        <w:pStyle w:val="11"/>
        <w:spacing w:line="252" w:lineRule="auto"/>
      </w:pPr>
    </w:p>
    <w:p w14:paraId="4C47A136">
      <w:pPr>
        <w:pStyle w:val="11"/>
        <w:spacing w:line="252" w:lineRule="auto"/>
      </w:pPr>
    </w:p>
    <w:p w14:paraId="7C15C0F9">
      <w:pPr>
        <w:pStyle w:val="11"/>
        <w:spacing w:line="253" w:lineRule="auto"/>
      </w:pPr>
    </w:p>
    <w:p w14:paraId="05E9DDF5">
      <w:pPr>
        <w:pStyle w:val="11"/>
        <w:spacing w:line="253" w:lineRule="auto"/>
      </w:pPr>
    </w:p>
    <w:p w14:paraId="22561D10">
      <w:pPr>
        <w:pStyle w:val="11"/>
        <w:spacing w:line="253" w:lineRule="auto"/>
      </w:pPr>
    </w:p>
    <w:p w14:paraId="01F7B42E">
      <w:pPr>
        <w:pStyle w:val="11"/>
        <w:spacing w:line="253" w:lineRule="auto"/>
      </w:pPr>
    </w:p>
    <w:p w14:paraId="5DE4C67D">
      <w:pPr>
        <w:pStyle w:val="11"/>
        <w:spacing w:line="253" w:lineRule="auto"/>
      </w:pPr>
    </w:p>
    <w:p w14:paraId="428286E7">
      <w:pPr>
        <w:pStyle w:val="11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5337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  <w:bookmarkEnd w:id="0"/>
    </w:p>
    <w:p w14:paraId="7CF43AEE">
      <w:pPr>
        <w:pStyle w:val="11"/>
        <w:spacing w:line="259" w:lineRule="auto"/>
      </w:pPr>
    </w:p>
    <w:p w14:paraId="111BB1E5">
      <w:pPr>
        <w:pStyle w:val="11"/>
        <w:spacing w:line="259" w:lineRule="auto"/>
      </w:pPr>
    </w:p>
    <w:p w14:paraId="09A8BFD7">
      <w:pPr>
        <w:pStyle w:val="11"/>
        <w:spacing w:line="259" w:lineRule="auto"/>
      </w:pPr>
    </w:p>
    <w:p w14:paraId="60465101">
      <w:pPr>
        <w:pStyle w:val="11"/>
        <w:spacing w:line="259" w:lineRule="auto"/>
      </w:pPr>
    </w:p>
    <w:p w14:paraId="54E7CF69">
      <w:pPr>
        <w:pStyle w:val="11"/>
        <w:spacing w:line="259" w:lineRule="auto"/>
      </w:pPr>
    </w:p>
    <w:p w14:paraId="0B278612">
      <w:pPr>
        <w:pStyle w:val="11"/>
        <w:spacing w:line="260" w:lineRule="auto"/>
      </w:pPr>
    </w:p>
    <w:p w14:paraId="34A99C2E">
      <w:pPr>
        <w:pStyle w:val="11"/>
        <w:spacing w:line="260" w:lineRule="auto"/>
      </w:pPr>
    </w:p>
    <w:p w14:paraId="14680D08">
      <w:pPr>
        <w:pStyle w:val="11"/>
        <w:spacing w:line="260" w:lineRule="auto"/>
      </w:pPr>
    </w:p>
    <w:p w14:paraId="1D23C30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108">
      <w:pPr>
        <w:pStyle w:val="11"/>
        <w:spacing w:line="248" w:lineRule="auto"/>
      </w:pPr>
    </w:p>
    <w:p w14:paraId="2F2213D6">
      <w:pPr>
        <w:pStyle w:val="11"/>
        <w:spacing w:line="248" w:lineRule="auto"/>
      </w:pPr>
    </w:p>
    <w:p w14:paraId="7BE7DC00">
      <w:pPr>
        <w:pStyle w:val="11"/>
        <w:spacing w:line="248" w:lineRule="auto"/>
      </w:pPr>
    </w:p>
    <w:p w14:paraId="04939838">
      <w:pPr>
        <w:pStyle w:val="11"/>
        <w:spacing w:line="248" w:lineRule="auto"/>
      </w:pPr>
    </w:p>
    <w:p w14:paraId="0A3CCEDF">
      <w:pPr>
        <w:pStyle w:val="11"/>
        <w:spacing w:line="248" w:lineRule="auto"/>
      </w:pPr>
    </w:p>
    <w:p w14:paraId="67A721AE">
      <w:pPr>
        <w:pStyle w:val="11"/>
        <w:spacing w:line="248" w:lineRule="auto"/>
      </w:pPr>
    </w:p>
    <w:p w14:paraId="0652216F">
      <w:pPr>
        <w:pStyle w:val="11"/>
        <w:spacing w:line="248" w:lineRule="auto"/>
      </w:pPr>
    </w:p>
    <w:p w14:paraId="17673CDB">
      <w:pPr>
        <w:pStyle w:val="11"/>
        <w:spacing w:line="248" w:lineRule="auto"/>
      </w:pPr>
    </w:p>
    <w:p w14:paraId="456D083B">
      <w:pPr>
        <w:pStyle w:val="11"/>
        <w:spacing w:line="248" w:lineRule="auto"/>
      </w:pPr>
    </w:p>
    <w:p w14:paraId="03FCBBC4">
      <w:pPr>
        <w:pStyle w:val="11"/>
        <w:spacing w:line="248" w:lineRule="auto"/>
      </w:pPr>
    </w:p>
    <w:p w14:paraId="093A0F36">
      <w:pPr>
        <w:pStyle w:val="11"/>
        <w:spacing w:line="248" w:lineRule="auto"/>
      </w:pPr>
    </w:p>
    <w:p w14:paraId="03C489A3">
      <w:pPr>
        <w:pStyle w:val="11"/>
        <w:spacing w:line="249" w:lineRule="auto"/>
      </w:pPr>
    </w:p>
    <w:p w14:paraId="3F202462">
      <w:pPr>
        <w:pStyle w:val="11"/>
        <w:spacing w:line="249" w:lineRule="auto"/>
      </w:pPr>
    </w:p>
    <w:p w14:paraId="27CA121D">
      <w:pPr>
        <w:pStyle w:val="11"/>
        <w:spacing w:line="249" w:lineRule="auto"/>
      </w:pPr>
    </w:p>
    <w:p w14:paraId="403BCF9D">
      <w:pPr>
        <w:pStyle w:val="11"/>
        <w:spacing w:line="249" w:lineRule="auto"/>
      </w:pPr>
    </w:p>
    <w:p w14:paraId="5CEC3D58">
      <w:pPr>
        <w:pStyle w:val="11"/>
        <w:spacing w:line="249" w:lineRule="auto"/>
      </w:pPr>
    </w:p>
    <w:p w14:paraId="53E6E385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11"/>
        <w:spacing w:line="363" w:lineRule="auto"/>
      </w:pPr>
    </w:p>
    <w:p w14:paraId="3F6D6983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894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4B60F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06403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5D06122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2EA3DE9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10F94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5541AC1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74E5C99A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D38B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E7FD9BC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92C977B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7285F426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F2FE9F1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953FA2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17B5A9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CC0D9E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503638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38017C36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BAD43D0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3C2A9CDE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1B410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ECAC70C">
            <w:pPr>
              <w:pStyle w:val="19"/>
            </w:pPr>
          </w:p>
        </w:tc>
        <w:tc>
          <w:tcPr>
            <w:tcW w:w="1413" w:type="dxa"/>
            <w:vAlign w:val="top"/>
          </w:tcPr>
          <w:p w14:paraId="76BD3575">
            <w:pPr>
              <w:pStyle w:val="19"/>
            </w:pPr>
          </w:p>
        </w:tc>
        <w:tc>
          <w:tcPr>
            <w:tcW w:w="2303" w:type="dxa"/>
            <w:vAlign w:val="top"/>
          </w:tcPr>
          <w:p w14:paraId="1F9B2367">
            <w:pPr>
              <w:pStyle w:val="19"/>
            </w:pPr>
          </w:p>
        </w:tc>
        <w:tc>
          <w:tcPr>
            <w:tcW w:w="1557" w:type="dxa"/>
            <w:vAlign w:val="top"/>
          </w:tcPr>
          <w:p w14:paraId="36ECA86C">
            <w:pPr>
              <w:pStyle w:val="19"/>
            </w:pPr>
          </w:p>
        </w:tc>
        <w:tc>
          <w:tcPr>
            <w:tcW w:w="1953" w:type="dxa"/>
            <w:vAlign w:val="top"/>
          </w:tcPr>
          <w:p w14:paraId="09510CDF">
            <w:pPr>
              <w:pStyle w:val="19"/>
            </w:pPr>
          </w:p>
        </w:tc>
      </w:tr>
      <w:tr w14:paraId="40A9F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4CD0879">
            <w:pPr>
              <w:pStyle w:val="19"/>
            </w:pPr>
          </w:p>
        </w:tc>
        <w:tc>
          <w:tcPr>
            <w:tcW w:w="1413" w:type="dxa"/>
            <w:vAlign w:val="top"/>
          </w:tcPr>
          <w:p w14:paraId="6D333DF1">
            <w:pPr>
              <w:pStyle w:val="19"/>
            </w:pPr>
          </w:p>
        </w:tc>
        <w:tc>
          <w:tcPr>
            <w:tcW w:w="2303" w:type="dxa"/>
            <w:vAlign w:val="top"/>
          </w:tcPr>
          <w:p w14:paraId="50943AFC">
            <w:pPr>
              <w:pStyle w:val="19"/>
            </w:pPr>
          </w:p>
        </w:tc>
        <w:tc>
          <w:tcPr>
            <w:tcW w:w="1557" w:type="dxa"/>
            <w:vAlign w:val="top"/>
          </w:tcPr>
          <w:p w14:paraId="74C0EC56">
            <w:pPr>
              <w:pStyle w:val="19"/>
            </w:pPr>
          </w:p>
        </w:tc>
        <w:tc>
          <w:tcPr>
            <w:tcW w:w="1953" w:type="dxa"/>
            <w:vAlign w:val="top"/>
          </w:tcPr>
          <w:p w14:paraId="1C27E15A">
            <w:pPr>
              <w:pStyle w:val="19"/>
            </w:pPr>
          </w:p>
        </w:tc>
      </w:tr>
      <w:tr w14:paraId="3A7A6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9D3E63">
            <w:pPr>
              <w:pStyle w:val="19"/>
            </w:pPr>
          </w:p>
        </w:tc>
        <w:tc>
          <w:tcPr>
            <w:tcW w:w="1413" w:type="dxa"/>
            <w:vAlign w:val="top"/>
          </w:tcPr>
          <w:p w14:paraId="143DED3F">
            <w:pPr>
              <w:pStyle w:val="19"/>
            </w:pPr>
          </w:p>
        </w:tc>
        <w:tc>
          <w:tcPr>
            <w:tcW w:w="2303" w:type="dxa"/>
            <w:vAlign w:val="top"/>
          </w:tcPr>
          <w:p w14:paraId="622E4780">
            <w:pPr>
              <w:pStyle w:val="19"/>
            </w:pPr>
          </w:p>
        </w:tc>
        <w:tc>
          <w:tcPr>
            <w:tcW w:w="1557" w:type="dxa"/>
            <w:vAlign w:val="top"/>
          </w:tcPr>
          <w:p w14:paraId="490FADC4">
            <w:pPr>
              <w:pStyle w:val="19"/>
            </w:pPr>
          </w:p>
        </w:tc>
        <w:tc>
          <w:tcPr>
            <w:tcW w:w="1953" w:type="dxa"/>
            <w:vAlign w:val="top"/>
          </w:tcPr>
          <w:p w14:paraId="196B317B">
            <w:pPr>
              <w:pStyle w:val="19"/>
            </w:pPr>
          </w:p>
        </w:tc>
      </w:tr>
      <w:tr w14:paraId="5B48E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639A7E8">
            <w:pPr>
              <w:pStyle w:val="19"/>
            </w:pPr>
          </w:p>
        </w:tc>
        <w:tc>
          <w:tcPr>
            <w:tcW w:w="1413" w:type="dxa"/>
            <w:vAlign w:val="top"/>
          </w:tcPr>
          <w:p w14:paraId="28B3FEB5">
            <w:pPr>
              <w:pStyle w:val="19"/>
            </w:pPr>
          </w:p>
        </w:tc>
        <w:tc>
          <w:tcPr>
            <w:tcW w:w="2303" w:type="dxa"/>
            <w:vAlign w:val="top"/>
          </w:tcPr>
          <w:p w14:paraId="66813857">
            <w:pPr>
              <w:pStyle w:val="19"/>
            </w:pPr>
          </w:p>
        </w:tc>
        <w:tc>
          <w:tcPr>
            <w:tcW w:w="1557" w:type="dxa"/>
            <w:vAlign w:val="top"/>
          </w:tcPr>
          <w:p w14:paraId="57F57BBF">
            <w:pPr>
              <w:pStyle w:val="19"/>
            </w:pPr>
          </w:p>
        </w:tc>
        <w:tc>
          <w:tcPr>
            <w:tcW w:w="1953" w:type="dxa"/>
            <w:vAlign w:val="top"/>
          </w:tcPr>
          <w:p w14:paraId="575F5FA3">
            <w:pPr>
              <w:pStyle w:val="19"/>
            </w:pPr>
          </w:p>
        </w:tc>
      </w:tr>
      <w:tr w14:paraId="7C6B8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781B93E">
            <w:pPr>
              <w:pStyle w:val="19"/>
            </w:pPr>
          </w:p>
        </w:tc>
        <w:tc>
          <w:tcPr>
            <w:tcW w:w="1413" w:type="dxa"/>
            <w:vAlign w:val="top"/>
          </w:tcPr>
          <w:p w14:paraId="7CED93D6">
            <w:pPr>
              <w:pStyle w:val="19"/>
            </w:pPr>
          </w:p>
        </w:tc>
        <w:tc>
          <w:tcPr>
            <w:tcW w:w="2303" w:type="dxa"/>
            <w:vAlign w:val="top"/>
          </w:tcPr>
          <w:p w14:paraId="0CD83FB2">
            <w:pPr>
              <w:pStyle w:val="19"/>
            </w:pPr>
          </w:p>
        </w:tc>
        <w:tc>
          <w:tcPr>
            <w:tcW w:w="1557" w:type="dxa"/>
            <w:vAlign w:val="top"/>
          </w:tcPr>
          <w:p w14:paraId="4551F164">
            <w:pPr>
              <w:pStyle w:val="19"/>
            </w:pPr>
          </w:p>
        </w:tc>
        <w:tc>
          <w:tcPr>
            <w:tcW w:w="1953" w:type="dxa"/>
            <w:vAlign w:val="top"/>
          </w:tcPr>
          <w:p w14:paraId="4E1BE579">
            <w:pPr>
              <w:pStyle w:val="19"/>
            </w:pPr>
          </w:p>
        </w:tc>
      </w:tr>
    </w:tbl>
    <w:p w14:paraId="49AB6E74">
      <w:pPr>
        <w:pStyle w:val="11"/>
      </w:pPr>
    </w:p>
    <w:p w14:paraId="0841740E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03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A4CAC1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858BBF1">
          <w:pPr>
            <w:pStyle w:val="14"/>
            <w:tabs>
              <w:tab w:val="right" w:leader="dot" w:pos="8497"/>
            </w:tabs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eastAsia="Times New Roman" w:cs="Times New Roman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szCs w:val="24"/>
            </w:rPr>
            <w:instrText xml:space="preserve"> HYPERLINK \l _Toc5337 </w:instrText>
          </w:r>
          <w:r>
            <w:rPr>
              <w:rFonts w:ascii="Times New Roman" w:hAnsi="Times New Roman" w:eastAsia="Times New Roman" w:cs="Times New Roman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客户满意度调查程序</w:t>
          </w:r>
          <w:r>
            <w:tab/>
          </w:r>
          <w:r>
            <w:fldChar w:fldCharType="begin"/>
          </w:r>
          <w:r>
            <w:instrText xml:space="preserve"> PAGEREF _Toc5337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  <w:p w14:paraId="4C3BD71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BA6A8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_Toc4032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_Toc4032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4D348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_Toc31015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_Toc31015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9CCF75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A7C100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E3148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24" w:name="_GoBack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_Toc14134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_Toc14134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bookmarkEnd w:id="24"/>
        <w:p w14:paraId="27A1EA5D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_Toc31453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_Toc31453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42CE49F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_Toc1537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客户满意度调查的项目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_Toc1537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AFA2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_Toc10298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客户满意度调查的信息来源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_Toc10298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9541D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_Toc25806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调查过程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_Toc25806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92D9E8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_Toc15048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6.3.1. 客户满意度调查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_Toc15048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EB95929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_Toc30060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6.3.2. 客户满意度调查项目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1B05D5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_Toc12471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6.3.3. 客户满意度每项分数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_Toc12471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CEBC7F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_Toc6756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6.3.4. 统计满意度得分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_Toc6756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D37F17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_Toc13087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6.3.5. 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_Toc13087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459499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_Toc11863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_Toc11863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575D74">
          <w:pPr>
            <w:pStyle w:val="14"/>
            <w:tabs>
              <w:tab w:val="right" w:leader="dot" w:pos="849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附</w:t>
          </w:r>
          <w:r>
            <w:rPr>
              <w:rFonts w:hint="eastAsia" w:ascii="Microsoft JhengHei" w:hAnsi="Microsoft JhengHei" w:eastAsia="Microsoft JhengHei" w:cs="Microsoft JhengHei"/>
              <w:spacing w:val="10"/>
              <w:sz w:val="24"/>
              <w:szCs w:val="24"/>
            </w:rPr>
            <w:t xml:space="preserve">  </w:t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94A376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Times New Roman" w:hAnsi="Times New Roman" w:eastAsia="Times New Roman" w:cs="Times New Roman"/>
              <w:szCs w:val="24"/>
            </w:rPr>
            <w:fldChar w:fldCharType="end"/>
          </w:r>
        </w:p>
      </w:sdtContent>
    </w:sdt>
    <w:p w14:paraId="29B4F571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pStyle w:val="20"/>
        <w:bidi w:val="0"/>
      </w:pPr>
      <w:bookmarkStart w:id="2" w:name="_Toc4032"/>
      <w:r>
        <w:rPr>
          <w:rFonts w:hint="eastAsia"/>
          <w:lang w:val="en-US" w:eastAsia="zh-CN"/>
        </w:rPr>
        <w:t>目的</w:t>
      </w:r>
      <w:bookmarkEnd w:id="2"/>
    </w:p>
    <w:p w14:paraId="2907D06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pStyle w:val="20"/>
        <w:bidi w:val="0"/>
      </w:pPr>
      <w:bookmarkStart w:id="3" w:name="_Toc31015"/>
      <w:r>
        <w:t>适用范围</w:t>
      </w:r>
      <w:bookmarkEnd w:id="3"/>
    </w:p>
    <w:p w14:paraId="5170E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pStyle w:val="20"/>
        <w:bidi w:val="0"/>
      </w:pPr>
      <w:bookmarkStart w:id="4" w:name="_Toc3629"/>
      <w:r>
        <w:t>引用文件</w:t>
      </w:r>
      <w:bookmarkEnd w:id="4"/>
    </w:p>
    <w:p w14:paraId="1EA991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1545C65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GB/T 28827.1-2022 《信息技术服务 运行维护 第 1 部分：通用要求》</w:t>
      </w:r>
    </w:p>
    <w:p w14:paraId="313BB6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GB/T 28827.2-2012 《信息技术服务 运行维护 第 2 部分:交付规范》</w:t>
      </w:r>
    </w:p>
    <w:p w14:paraId="320F2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GB/T 28827.3-2012 《信息技术服务 运行维护 第 3 部分:应急响应规范》</w:t>
      </w:r>
    </w:p>
    <w:p w14:paraId="59478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GB/T 29264-2012 《信息技术服务 分类与代码》</w:t>
      </w:r>
    </w:p>
    <w:p w14:paraId="647D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3A59456">
      <w:pPr>
        <w:pStyle w:val="20"/>
        <w:bidi w:val="0"/>
      </w:pPr>
      <w:bookmarkStart w:id="5" w:name="_Toc13917"/>
      <w:r>
        <w:t>术语与定义</w:t>
      </w:r>
      <w:bookmarkEnd w:id="5"/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pStyle w:val="20"/>
        <w:bidi w:val="0"/>
      </w:pPr>
      <w:bookmarkStart w:id="6" w:name="_Toc14134"/>
      <w:r>
        <w:t>角色与职责</w:t>
      </w:r>
      <w:bookmarkEnd w:id="6"/>
    </w:p>
    <w:p w14:paraId="4A8F99E1">
      <w:pPr>
        <w:spacing w:line="62" w:lineRule="exact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pStyle w:val="20"/>
        <w:bidi w:val="0"/>
      </w:pPr>
      <w:bookmarkStart w:id="7" w:name="_Toc31453"/>
      <w:r>
        <w:t>程序</w:t>
      </w:r>
      <w:bookmarkEnd w:id="7"/>
    </w:p>
    <w:p w14:paraId="6BEAB552">
      <w:pPr>
        <w:pStyle w:val="3"/>
        <w:bidi w:val="0"/>
      </w:pPr>
      <w:bookmarkStart w:id="8" w:name="bookmark18"/>
      <w:bookmarkEnd w:id="8"/>
      <w:bookmarkStart w:id="9" w:name="_Toc1537"/>
      <w:r>
        <w:t>客户满意度调查的项目</w:t>
      </w:r>
      <w:bookmarkEnd w:id="9"/>
    </w:p>
    <w:p w14:paraId="6BE4E97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对本公司服务质量的满意程度；</w:t>
      </w:r>
    </w:p>
    <w:p w14:paraId="2E9971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对本公司服务的交付期、交付方式的满意程度；</w:t>
      </w:r>
    </w:p>
    <w:p w14:paraId="06050B7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对本公司的服务项目和服务质量的满意程度 ；</w:t>
      </w:r>
    </w:p>
    <w:p w14:paraId="5BE4377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对本公司的期望、建议或意见；</w:t>
      </w:r>
    </w:p>
    <w:p w14:paraId="035913D7">
      <w:pPr>
        <w:pStyle w:val="3"/>
        <w:bidi w:val="0"/>
      </w:pPr>
      <w:bookmarkStart w:id="10" w:name="_Toc10298"/>
      <w:r>
        <w:t>客户满意度调查的信息来源</w:t>
      </w:r>
      <w:bookmarkEnd w:id="10"/>
    </w:p>
    <w:p w14:paraId="42D8D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客户满意度调查表；</w:t>
      </w:r>
    </w:p>
    <w:p w14:paraId="6279CB2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投诉反馈相关信息；</w:t>
      </w:r>
    </w:p>
    <w:p w14:paraId="1C0B0D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电话或走访；</w:t>
      </w:r>
    </w:p>
    <w:p w14:paraId="4B91C9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质量中心每年进行一次公司级客户满意度调查，调查对象为一年内有订单往来的客户，但如果客户对调查时间间隔有特别要求，将按客户要求进行定期调查，如客户未作要求则按一年为调查间隔。</w:t>
      </w:r>
    </w:p>
    <w:p w14:paraId="43C9C42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客户意见调查的方式可以是：传真问卷表、电话访问、面谈、走访等。</w:t>
      </w:r>
    </w:p>
    <w:p w14:paraId="3D2C3E5E">
      <w:pPr>
        <w:pStyle w:val="21"/>
        <w:bidi w:val="0"/>
      </w:pPr>
      <w:bookmarkStart w:id="11" w:name="_Toc25806"/>
      <w:r>
        <w:t>调查过程</w:t>
      </w:r>
      <w:bookmarkEnd w:id="11"/>
    </w:p>
    <w:p w14:paraId="3DD1F306">
      <w:pPr>
        <w:pStyle w:val="22"/>
        <w:bidi w:val="0"/>
      </w:pPr>
      <w:bookmarkStart w:id="12" w:name="bookmark19"/>
      <w:bookmarkEnd w:id="12"/>
      <w:bookmarkStart w:id="13" w:name="_Toc15048"/>
      <w:r>
        <w:t>客户满意度调查</w:t>
      </w:r>
      <w:bookmarkEnd w:id="13"/>
    </w:p>
    <w:p w14:paraId="66080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质量中心每年进行一次客户满意度调查，调查对象为一年内有订单往来的客户，但如果客户对调查时间间隔有特别要求，质量中心将按客户要求进行定期调查，如客户无作要求则按一年为调查间隔。</w:t>
      </w:r>
    </w:p>
    <w:p w14:paraId="40345A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客户意见调查的方式可以是：传真问卷表、电话访问、面谈、走访等。</w:t>
      </w:r>
    </w:p>
    <w:p w14:paraId="5DF16737">
      <w:pPr>
        <w:pStyle w:val="22"/>
        <w:bidi w:val="0"/>
      </w:pPr>
      <w:bookmarkStart w:id="14" w:name="_Toc30060"/>
      <w:r>
        <w:t>客户满意度调查项目</w:t>
      </w:r>
      <w:bookmarkEnd w:id="14"/>
    </w:p>
    <w:p w14:paraId="7D111D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pStyle w:val="22"/>
        <w:bidi w:val="0"/>
      </w:pPr>
      <w:bookmarkStart w:id="15" w:name="_Toc12471"/>
      <w:r>
        <w:t>客户满意度每项分数</w:t>
      </w:r>
      <w:bookmarkEnd w:id="15"/>
    </w:p>
    <w:p w14:paraId="141904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很满意(10 分)  满意(8 分)  基本满意(5 分)  不满意(0 分)；</w:t>
      </w:r>
    </w:p>
    <w:p w14:paraId="6EE9D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客户评分总分为 100 分，表示客户非常满意；</w:t>
      </w:r>
    </w:p>
    <w:p w14:paraId="6C3BE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80-100 分(含 80 分),  表示满意；</w:t>
      </w:r>
    </w:p>
    <w:p w14:paraId="138BD7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60- 80 分(含 60 分)， 表示尚可；</w:t>
      </w:r>
    </w:p>
    <w:p w14:paraId="622B9D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40- 60 分(含 40 分)， 表示不满意。</w:t>
      </w:r>
    </w:p>
    <w:p w14:paraId="02D03E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如果任何一项的评定结果未达到该项之“满意 ”分数，或虽然达到“满意 ”分数，但某些方面客户反映不满意的，质量中心要组织相关部门分析原因，制</w:t>
      </w:r>
    </w:p>
    <w:p w14:paraId="1803E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定改进措施，管理者代表要跟踪改进过程和结果；</w:t>
      </w:r>
    </w:p>
    <w:p w14:paraId="24A147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对客户满意度调查结果进行汇总分析，并提交管理评审。</w:t>
      </w:r>
    </w:p>
    <w:p w14:paraId="03307E88">
      <w:pPr>
        <w:pStyle w:val="22"/>
        <w:bidi w:val="0"/>
      </w:pPr>
      <w:bookmarkStart w:id="16" w:name="bookmark1"/>
      <w:bookmarkEnd w:id="16"/>
      <w:bookmarkStart w:id="17" w:name="_Toc6756"/>
      <w:r>
        <w:t>统计满意度得分</w:t>
      </w:r>
      <w:bookmarkEnd w:id="17"/>
    </w:p>
    <w:p w14:paraId="0ED685A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客户满意度平均分=满意度调查表总得分/收回的调查问卷总份数</w:t>
      </w:r>
    </w:p>
    <w:p w14:paraId="232D674D">
      <w:pPr>
        <w:pStyle w:val="22"/>
        <w:bidi w:val="0"/>
      </w:pPr>
      <w:bookmarkStart w:id="18" w:name="bookmark1"/>
      <w:bookmarkEnd w:id="18"/>
      <w:bookmarkStart w:id="19" w:name="_Toc13087"/>
      <w:r>
        <w:t>改进</w:t>
      </w:r>
      <w:bookmarkEnd w:id="19"/>
    </w:p>
    <w:p w14:paraId="748CF37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将《顾客满意度调查结果分析报告》发送给相关部门，包含公司领导层、运维服务部领导及相关部门负责人；</w:t>
      </w:r>
    </w:p>
    <w:p w14:paraId="3C3FA7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召开客户满意度服务改进会议，讨论改进措施；</w:t>
      </w:r>
    </w:p>
    <w:p w14:paraId="2E98DA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各相关部门负责人部署落实改进措施；</w:t>
      </w:r>
    </w:p>
    <w:p w14:paraId="2F5C8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质量中心负责监控改进措施的落实情况。</w:t>
      </w:r>
    </w:p>
    <w:p w14:paraId="56AF718E">
      <w:pPr>
        <w:pStyle w:val="20"/>
        <w:bidi w:val="0"/>
      </w:pPr>
      <w:bookmarkStart w:id="20" w:name="bookmark1"/>
      <w:bookmarkEnd w:id="20"/>
      <w:bookmarkStart w:id="21" w:name="_Toc11863"/>
      <w:r>
        <w:t>相关文档</w:t>
      </w:r>
      <w:bookmarkEnd w:id="21"/>
    </w:p>
    <w:p w14:paraId="59007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0B15E9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《客户满意度调查结果分析报告》</w:t>
      </w:r>
    </w:p>
    <w:p w14:paraId="6A6502E1">
      <w:pPr>
        <w:spacing w:before="203" w:line="219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22" w:name="bookmark1"/>
      <w:bookmarkEnd w:id="22"/>
      <w:bookmarkStart w:id="23" w:name="_Toc22625"/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则</w:t>
      </w:r>
      <w:bookmarkEnd w:id="23"/>
    </w:p>
    <w:p w14:paraId="5DF18375">
      <w:pPr>
        <w:spacing w:before="179" w:line="219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6814B1"/>
    <w:rsid w:val="01934780"/>
    <w:rsid w:val="201C6C9A"/>
    <w:rsid w:val="2674607E"/>
    <w:rsid w:val="277125BE"/>
    <w:rsid w:val="2E8452CD"/>
    <w:rsid w:val="3210122D"/>
    <w:rsid w:val="35472BB0"/>
    <w:rsid w:val="388760E5"/>
    <w:rsid w:val="3ADB6274"/>
    <w:rsid w:val="48A1376F"/>
    <w:rsid w:val="4CA70815"/>
    <w:rsid w:val="518C7E71"/>
    <w:rsid w:val="56652555"/>
    <w:rsid w:val="5D5F468B"/>
    <w:rsid w:val="60340051"/>
    <w:rsid w:val="65207C8D"/>
    <w:rsid w:val="6E2E0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1366</Words>
  <Characters>1532</Characters>
  <TotalTime>0</TotalTime>
  <ScaleCrop>false</ScaleCrop>
  <LinksUpToDate>false</LinksUpToDate>
  <CharactersWithSpaces>1704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2025-08-24T07:24:33Z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