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A9898">
      <w:pPr>
        <w:pStyle w:val="11"/>
        <w:spacing w:line="252" w:lineRule="auto"/>
      </w:pPr>
    </w:p>
    <w:p w14:paraId="3C08D8C0">
      <w:pPr>
        <w:pStyle w:val="11"/>
        <w:spacing w:line="252" w:lineRule="auto"/>
      </w:pPr>
    </w:p>
    <w:p w14:paraId="4C47A136">
      <w:pPr>
        <w:pStyle w:val="11"/>
        <w:spacing w:line="252" w:lineRule="auto"/>
      </w:pPr>
    </w:p>
    <w:p w14:paraId="7C15C0F9">
      <w:pPr>
        <w:pStyle w:val="11"/>
        <w:spacing w:line="253" w:lineRule="auto"/>
      </w:pPr>
    </w:p>
    <w:p w14:paraId="05E9DDF5">
      <w:pPr>
        <w:pStyle w:val="11"/>
        <w:spacing w:line="253" w:lineRule="auto"/>
      </w:pPr>
    </w:p>
    <w:p w14:paraId="22561D10">
      <w:pPr>
        <w:pStyle w:val="11"/>
        <w:spacing w:line="253" w:lineRule="auto"/>
      </w:pPr>
    </w:p>
    <w:p w14:paraId="01F7B42E">
      <w:pPr>
        <w:pStyle w:val="11"/>
        <w:spacing w:line="253" w:lineRule="auto"/>
      </w:pPr>
    </w:p>
    <w:p w14:paraId="5DE4C67D">
      <w:pPr>
        <w:pStyle w:val="11"/>
        <w:spacing w:line="253" w:lineRule="auto"/>
      </w:pPr>
    </w:p>
    <w:p w14:paraId="428286E7">
      <w:pPr>
        <w:pStyle w:val="11"/>
        <w:spacing w:line="253" w:lineRule="auto"/>
      </w:pPr>
    </w:p>
    <w:p w14:paraId="6AA928E2">
      <w:pPr>
        <w:spacing w:before="169" w:line="220" w:lineRule="auto"/>
        <w:ind w:left="1851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9409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客户满意度调查程序</w:t>
      </w:r>
      <w:bookmarkEnd w:id="0"/>
    </w:p>
    <w:p w14:paraId="7CF43AEE">
      <w:pPr>
        <w:pStyle w:val="11"/>
        <w:spacing w:line="259" w:lineRule="auto"/>
      </w:pPr>
    </w:p>
    <w:p w14:paraId="111BB1E5">
      <w:pPr>
        <w:pStyle w:val="11"/>
        <w:spacing w:line="259" w:lineRule="auto"/>
      </w:pPr>
    </w:p>
    <w:p w14:paraId="09A8BFD7">
      <w:pPr>
        <w:pStyle w:val="11"/>
        <w:spacing w:line="259" w:lineRule="auto"/>
      </w:pPr>
    </w:p>
    <w:p w14:paraId="60465101">
      <w:pPr>
        <w:pStyle w:val="11"/>
        <w:spacing w:line="259" w:lineRule="auto"/>
      </w:pPr>
    </w:p>
    <w:p w14:paraId="54E7CF69">
      <w:pPr>
        <w:pStyle w:val="11"/>
        <w:spacing w:line="259" w:lineRule="auto"/>
      </w:pPr>
    </w:p>
    <w:p w14:paraId="0B278612">
      <w:pPr>
        <w:pStyle w:val="11"/>
        <w:spacing w:line="260" w:lineRule="auto"/>
      </w:pPr>
    </w:p>
    <w:p w14:paraId="34A99C2E">
      <w:pPr>
        <w:pStyle w:val="11"/>
        <w:spacing w:line="260" w:lineRule="auto"/>
      </w:pPr>
    </w:p>
    <w:p w14:paraId="14680D08">
      <w:pPr>
        <w:pStyle w:val="11"/>
        <w:spacing w:line="260" w:lineRule="auto"/>
      </w:pPr>
    </w:p>
    <w:p w14:paraId="1D23C30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108">
      <w:pPr>
        <w:pStyle w:val="11"/>
        <w:spacing w:line="248" w:lineRule="auto"/>
      </w:pPr>
    </w:p>
    <w:p w14:paraId="2F2213D6">
      <w:pPr>
        <w:pStyle w:val="11"/>
        <w:spacing w:line="248" w:lineRule="auto"/>
      </w:pPr>
    </w:p>
    <w:p w14:paraId="7BE7DC00">
      <w:pPr>
        <w:pStyle w:val="11"/>
        <w:spacing w:line="248" w:lineRule="auto"/>
      </w:pPr>
    </w:p>
    <w:p w14:paraId="04939838">
      <w:pPr>
        <w:pStyle w:val="11"/>
        <w:spacing w:line="248" w:lineRule="auto"/>
      </w:pPr>
    </w:p>
    <w:p w14:paraId="0A3CCEDF">
      <w:pPr>
        <w:pStyle w:val="11"/>
        <w:spacing w:line="248" w:lineRule="auto"/>
      </w:pPr>
    </w:p>
    <w:p w14:paraId="67A721AE">
      <w:pPr>
        <w:pStyle w:val="11"/>
        <w:spacing w:line="248" w:lineRule="auto"/>
      </w:pPr>
    </w:p>
    <w:p w14:paraId="0652216F">
      <w:pPr>
        <w:pStyle w:val="11"/>
        <w:spacing w:line="248" w:lineRule="auto"/>
      </w:pPr>
    </w:p>
    <w:p w14:paraId="17673CDB">
      <w:pPr>
        <w:pStyle w:val="11"/>
        <w:spacing w:line="248" w:lineRule="auto"/>
      </w:pPr>
    </w:p>
    <w:p w14:paraId="456D083B">
      <w:pPr>
        <w:pStyle w:val="11"/>
        <w:spacing w:line="248" w:lineRule="auto"/>
      </w:pPr>
    </w:p>
    <w:p w14:paraId="03FCBBC4">
      <w:pPr>
        <w:pStyle w:val="11"/>
        <w:spacing w:line="248" w:lineRule="auto"/>
      </w:pPr>
    </w:p>
    <w:p w14:paraId="093A0F36">
      <w:pPr>
        <w:pStyle w:val="11"/>
        <w:spacing w:line="248" w:lineRule="auto"/>
      </w:pPr>
    </w:p>
    <w:p w14:paraId="03C489A3">
      <w:pPr>
        <w:pStyle w:val="11"/>
        <w:spacing w:line="249" w:lineRule="auto"/>
      </w:pPr>
    </w:p>
    <w:p w14:paraId="3F202462">
      <w:pPr>
        <w:pStyle w:val="11"/>
        <w:spacing w:line="249" w:lineRule="auto"/>
      </w:pPr>
    </w:p>
    <w:p w14:paraId="27CA121D">
      <w:pPr>
        <w:pStyle w:val="11"/>
        <w:spacing w:line="249" w:lineRule="auto"/>
      </w:pPr>
    </w:p>
    <w:p w14:paraId="403BCF9D">
      <w:pPr>
        <w:pStyle w:val="11"/>
        <w:spacing w:line="249" w:lineRule="auto"/>
      </w:pPr>
    </w:p>
    <w:p w14:paraId="5CEC3D58">
      <w:pPr>
        <w:pStyle w:val="11"/>
        <w:spacing w:line="249" w:lineRule="auto"/>
      </w:pPr>
    </w:p>
    <w:p w14:paraId="53E6E385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5243A35D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7AA5E6D">
      <w:pPr>
        <w:pStyle w:val="11"/>
        <w:spacing w:line="363" w:lineRule="auto"/>
      </w:pPr>
    </w:p>
    <w:p w14:paraId="3F6D6983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2275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23C4B60F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06403E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5D06122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2EA3DE9">
            <w:pPr>
              <w:spacing w:before="185" w:line="220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客户满意度调查程序（HHLC-ITSS-MYDDC）</w:t>
            </w:r>
          </w:p>
        </w:tc>
      </w:tr>
      <w:tr w14:paraId="10F94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5541AC1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74E5C99A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5D38B6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E7FD9BC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92C977B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7285F426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F2FE9F1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953FA29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17B5A9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CC0D9EA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503638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38017C36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BAD43D0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3C2A9CDE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31B410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ECAC70C">
            <w:pPr>
              <w:pStyle w:val="19"/>
            </w:pPr>
          </w:p>
        </w:tc>
        <w:tc>
          <w:tcPr>
            <w:tcW w:w="1413" w:type="dxa"/>
            <w:vAlign w:val="top"/>
          </w:tcPr>
          <w:p w14:paraId="76BD3575">
            <w:pPr>
              <w:pStyle w:val="19"/>
            </w:pPr>
          </w:p>
        </w:tc>
        <w:tc>
          <w:tcPr>
            <w:tcW w:w="2303" w:type="dxa"/>
            <w:vAlign w:val="top"/>
          </w:tcPr>
          <w:p w14:paraId="1F9B2367">
            <w:pPr>
              <w:pStyle w:val="19"/>
            </w:pPr>
          </w:p>
        </w:tc>
        <w:tc>
          <w:tcPr>
            <w:tcW w:w="1557" w:type="dxa"/>
            <w:vAlign w:val="top"/>
          </w:tcPr>
          <w:p w14:paraId="36ECA86C">
            <w:pPr>
              <w:pStyle w:val="19"/>
            </w:pPr>
          </w:p>
        </w:tc>
        <w:tc>
          <w:tcPr>
            <w:tcW w:w="1953" w:type="dxa"/>
            <w:vAlign w:val="top"/>
          </w:tcPr>
          <w:p w14:paraId="09510CDF">
            <w:pPr>
              <w:pStyle w:val="19"/>
            </w:pPr>
          </w:p>
        </w:tc>
      </w:tr>
      <w:tr w14:paraId="40A9FE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4CD0879">
            <w:pPr>
              <w:pStyle w:val="19"/>
            </w:pPr>
          </w:p>
        </w:tc>
        <w:tc>
          <w:tcPr>
            <w:tcW w:w="1413" w:type="dxa"/>
            <w:vAlign w:val="top"/>
          </w:tcPr>
          <w:p w14:paraId="6D333DF1">
            <w:pPr>
              <w:pStyle w:val="19"/>
            </w:pPr>
          </w:p>
        </w:tc>
        <w:tc>
          <w:tcPr>
            <w:tcW w:w="2303" w:type="dxa"/>
            <w:vAlign w:val="top"/>
          </w:tcPr>
          <w:p w14:paraId="50943AFC">
            <w:pPr>
              <w:pStyle w:val="19"/>
            </w:pPr>
          </w:p>
        </w:tc>
        <w:tc>
          <w:tcPr>
            <w:tcW w:w="1557" w:type="dxa"/>
            <w:vAlign w:val="top"/>
          </w:tcPr>
          <w:p w14:paraId="74C0EC56">
            <w:pPr>
              <w:pStyle w:val="19"/>
            </w:pPr>
          </w:p>
        </w:tc>
        <w:tc>
          <w:tcPr>
            <w:tcW w:w="1953" w:type="dxa"/>
            <w:vAlign w:val="top"/>
          </w:tcPr>
          <w:p w14:paraId="1C27E15A">
            <w:pPr>
              <w:pStyle w:val="19"/>
            </w:pPr>
          </w:p>
        </w:tc>
      </w:tr>
      <w:tr w14:paraId="3A7A69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9D3E63">
            <w:pPr>
              <w:pStyle w:val="19"/>
            </w:pPr>
          </w:p>
        </w:tc>
        <w:tc>
          <w:tcPr>
            <w:tcW w:w="1413" w:type="dxa"/>
            <w:vAlign w:val="top"/>
          </w:tcPr>
          <w:p w14:paraId="143DED3F">
            <w:pPr>
              <w:pStyle w:val="19"/>
            </w:pPr>
          </w:p>
        </w:tc>
        <w:tc>
          <w:tcPr>
            <w:tcW w:w="2303" w:type="dxa"/>
            <w:vAlign w:val="top"/>
          </w:tcPr>
          <w:p w14:paraId="622E4780">
            <w:pPr>
              <w:pStyle w:val="19"/>
            </w:pPr>
          </w:p>
        </w:tc>
        <w:tc>
          <w:tcPr>
            <w:tcW w:w="1557" w:type="dxa"/>
            <w:vAlign w:val="top"/>
          </w:tcPr>
          <w:p w14:paraId="490FADC4">
            <w:pPr>
              <w:pStyle w:val="19"/>
            </w:pPr>
          </w:p>
        </w:tc>
        <w:tc>
          <w:tcPr>
            <w:tcW w:w="1953" w:type="dxa"/>
            <w:vAlign w:val="top"/>
          </w:tcPr>
          <w:p w14:paraId="196B317B">
            <w:pPr>
              <w:pStyle w:val="19"/>
            </w:pPr>
          </w:p>
        </w:tc>
      </w:tr>
      <w:tr w14:paraId="5B48E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639A7E8">
            <w:pPr>
              <w:pStyle w:val="19"/>
            </w:pPr>
          </w:p>
        </w:tc>
        <w:tc>
          <w:tcPr>
            <w:tcW w:w="1413" w:type="dxa"/>
            <w:vAlign w:val="top"/>
          </w:tcPr>
          <w:p w14:paraId="28B3FEB5">
            <w:pPr>
              <w:pStyle w:val="19"/>
            </w:pPr>
          </w:p>
        </w:tc>
        <w:tc>
          <w:tcPr>
            <w:tcW w:w="2303" w:type="dxa"/>
            <w:vAlign w:val="top"/>
          </w:tcPr>
          <w:p w14:paraId="66813857">
            <w:pPr>
              <w:pStyle w:val="19"/>
            </w:pPr>
          </w:p>
        </w:tc>
        <w:tc>
          <w:tcPr>
            <w:tcW w:w="1557" w:type="dxa"/>
            <w:vAlign w:val="top"/>
          </w:tcPr>
          <w:p w14:paraId="57F57BBF">
            <w:pPr>
              <w:pStyle w:val="19"/>
            </w:pPr>
          </w:p>
        </w:tc>
        <w:tc>
          <w:tcPr>
            <w:tcW w:w="1953" w:type="dxa"/>
            <w:vAlign w:val="top"/>
          </w:tcPr>
          <w:p w14:paraId="575F5FA3">
            <w:pPr>
              <w:pStyle w:val="19"/>
            </w:pPr>
          </w:p>
        </w:tc>
      </w:tr>
      <w:tr w14:paraId="7C6B8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6781B93E">
            <w:pPr>
              <w:pStyle w:val="19"/>
            </w:pPr>
          </w:p>
        </w:tc>
        <w:tc>
          <w:tcPr>
            <w:tcW w:w="1413" w:type="dxa"/>
            <w:vAlign w:val="top"/>
          </w:tcPr>
          <w:p w14:paraId="7CED93D6">
            <w:pPr>
              <w:pStyle w:val="19"/>
            </w:pPr>
          </w:p>
        </w:tc>
        <w:tc>
          <w:tcPr>
            <w:tcW w:w="2303" w:type="dxa"/>
            <w:vAlign w:val="top"/>
          </w:tcPr>
          <w:p w14:paraId="0CD83FB2">
            <w:pPr>
              <w:pStyle w:val="19"/>
            </w:pPr>
          </w:p>
        </w:tc>
        <w:tc>
          <w:tcPr>
            <w:tcW w:w="1557" w:type="dxa"/>
            <w:vAlign w:val="top"/>
          </w:tcPr>
          <w:p w14:paraId="4551F164">
            <w:pPr>
              <w:pStyle w:val="19"/>
            </w:pPr>
          </w:p>
        </w:tc>
        <w:tc>
          <w:tcPr>
            <w:tcW w:w="1953" w:type="dxa"/>
            <w:vAlign w:val="top"/>
          </w:tcPr>
          <w:p w14:paraId="4E1BE579">
            <w:pPr>
              <w:pStyle w:val="19"/>
            </w:pPr>
          </w:p>
        </w:tc>
      </w:tr>
    </w:tbl>
    <w:p w14:paraId="49AB6E74">
      <w:pPr>
        <w:pStyle w:val="11"/>
      </w:pPr>
    </w:p>
    <w:p w14:paraId="0841740E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032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5A4CAC1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78A09AB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_Toc9409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客户满意度调查程序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_Toc9409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4FBDA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_Toc12275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_Toc12275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F86D08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_Toc19850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_Toc19850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C4AF64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_Toc15728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_Toc15728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6FC03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_Toc16681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2E50B9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_Toc29551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_Toc29551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3D1107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_Toc15674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_Toc15674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A76E21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_Toc13110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_Toc13110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C1F8171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_Toc14234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客户满意度调查的项目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51C84EA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_Toc5654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客户满意度调查的信息来源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_Toc5654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918FA2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_Toc7064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调查过程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_Toc7064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84152CA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_Toc15452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6.3.1. 客户满意度调查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_Toc15452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31BAC9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_Toc18851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6.3.2. 客户满意度调查项目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_Toc18851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F39CAF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_Toc2249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6.3.3. 客户满意度每项分数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4A66BC8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bookmarkStart w:id="24" w:name="_GoBack"/>
          <w:bookmarkEnd w:id="24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_Toc13655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6.3.4. 统计满意度得分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_Toc13655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4E28D90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_Toc21726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6.3.5. 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_Toc21726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5C53E1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_Toc7456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相关文档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_Toc7456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08C4B4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_Toc19588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9"/>
              <w:sz w:val="24"/>
              <w:szCs w:val="24"/>
            </w:rPr>
            <w:t>附</w:t>
          </w:r>
          <w:r>
            <w:rPr>
              <w:rFonts w:hint="eastAsia" w:ascii="Microsoft JhengHei" w:hAnsi="Microsoft JhengHei" w:eastAsia="Microsoft JhengHei" w:cs="Microsoft JhengHei"/>
              <w:spacing w:val="10"/>
              <w:sz w:val="24"/>
              <w:szCs w:val="24"/>
            </w:rPr>
            <w:t xml:space="preserve">  </w:t>
          </w:r>
          <w:r>
            <w:rPr>
              <w:rFonts w:hint="eastAsia" w:ascii="Microsoft JhengHei" w:hAnsi="Microsoft JhengHei" w:eastAsia="Microsoft JhengHei" w:cs="Microsoft JhengHei"/>
              <w:bCs/>
              <w:spacing w:val="-19"/>
              <w:sz w:val="24"/>
              <w:szCs w:val="24"/>
            </w:rPr>
            <w:t>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_Toc19588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94A376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29B4F571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5ABF8A5">
      <w:pPr>
        <w:pStyle w:val="20"/>
        <w:bidi w:val="0"/>
      </w:pPr>
      <w:bookmarkStart w:id="2" w:name="_Toc19850"/>
      <w:r>
        <w:rPr>
          <w:rFonts w:hint="eastAsia"/>
          <w:lang w:val="en-US" w:eastAsia="zh-CN"/>
        </w:rPr>
        <w:t>目的</w:t>
      </w:r>
      <w:bookmarkEnd w:id="2"/>
    </w:p>
    <w:p w14:paraId="2907D06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通过客户满意程度的调查、分析和改进，以建立与客户之间持续沟通渠道，评价公司管理体系的业绩，为不断改进提供信息。</w:t>
      </w:r>
    </w:p>
    <w:p w14:paraId="6A9BDD93">
      <w:pPr>
        <w:pStyle w:val="20"/>
        <w:bidi w:val="0"/>
      </w:pPr>
      <w:bookmarkStart w:id="3" w:name="_Toc15728"/>
      <w:r>
        <w:t>适用范围</w:t>
      </w:r>
      <w:bookmarkEnd w:id="3"/>
    </w:p>
    <w:p w14:paraId="5170EC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适用于公司对客户满意程度的调查、分析和改进过程。</w:t>
      </w:r>
    </w:p>
    <w:p w14:paraId="77EEB219">
      <w:pPr>
        <w:pStyle w:val="20"/>
        <w:bidi w:val="0"/>
      </w:pPr>
      <w:bookmarkStart w:id="4" w:name="_Toc16681"/>
      <w:r>
        <w:t>引用文件</w:t>
      </w:r>
      <w:bookmarkEnd w:id="4"/>
    </w:p>
    <w:p w14:paraId="1EA991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1545C65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GB/T 28827.1-2022 《信息技术服务 运行维护 第 1 部分：通用要求》</w:t>
      </w:r>
    </w:p>
    <w:p w14:paraId="313BB6E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GB/T 28827.2-2012 《信息技术服务 运行维护 第 2 部分:交付规范》</w:t>
      </w:r>
    </w:p>
    <w:p w14:paraId="320F2E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GB/T 28827.3-2012 《信息技术服务 运行维护 第 3 部分:应急响应规范》</w:t>
      </w:r>
    </w:p>
    <w:p w14:paraId="59478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 GB/T 29264-2012 《信息技术服务 分类与代码》</w:t>
      </w:r>
    </w:p>
    <w:p w14:paraId="647D51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6. 国家有关法律、法规及行业标准</w:t>
      </w:r>
    </w:p>
    <w:p w14:paraId="33A59456">
      <w:pPr>
        <w:pStyle w:val="20"/>
        <w:bidi w:val="0"/>
      </w:pPr>
      <w:bookmarkStart w:id="5" w:name="_Toc29551"/>
      <w:r>
        <w:t>术语与定义</w:t>
      </w:r>
      <w:bookmarkEnd w:id="5"/>
    </w:p>
    <w:p w14:paraId="3B7FDC2E">
      <w:pPr>
        <w:spacing w:before="100" w:line="220" w:lineRule="auto"/>
        <w:ind w:left="5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8E5F668">
      <w:pPr>
        <w:pStyle w:val="20"/>
        <w:bidi w:val="0"/>
      </w:pPr>
      <w:bookmarkStart w:id="6" w:name="_Toc15674"/>
      <w:r>
        <w:t>角色与职责</w:t>
      </w:r>
      <w:bookmarkEnd w:id="6"/>
    </w:p>
    <w:p w14:paraId="4A8F99E1">
      <w:pPr>
        <w:spacing w:line="62" w:lineRule="exact"/>
      </w:pPr>
    </w:p>
    <w:tbl>
      <w:tblPr>
        <w:tblStyle w:val="18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838"/>
        <w:gridCol w:w="2842"/>
      </w:tblGrid>
      <w:tr w14:paraId="1F23D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736E3F5C">
            <w:pPr>
              <w:spacing w:before="52" w:line="219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838" w:type="dxa"/>
            <w:shd w:val="clear" w:color="auto" w:fill="BFBFBF"/>
            <w:vAlign w:val="top"/>
          </w:tcPr>
          <w:p w14:paraId="7BDC9D88">
            <w:pPr>
              <w:spacing w:before="52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2842" w:type="dxa"/>
            <w:shd w:val="clear" w:color="auto" w:fill="BFBFBF"/>
            <w:vAlign w:val="top"/>
          </w:tcPr>
          <w:p w14:paraId="2606814E">
            <w:pPr>
              <w:spacing w:before="53" w:line="247" w:lineRule="auto"/>
              <w:ind w:left="113" w:right="207" w:firstLine="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确定）</w:t>
            </w:r>
          </w:p>
        </w:tc>
      </w:tr>
      <w:tr w14:paraId="160DAE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B04969">
            <w:pPr>
              <w:spacing w:before="52" w:line="218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838" w:type="dxa"/>
            <w:vAlign w:val="top"/>
          </w:tcPr>
          <w:p w14:paraId="6D8B11CA">
            <w:pPr>
              <w:spacing w:before="52" w:line="218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2842" w:type="dxa"/>
            <w:vAlign w:val="top"/>
          </w:tcPr>
          <w:p w14:paraId="365BF1DE">
            <w:pPr>
              <w:spacing w:before="52" w:line="218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4893D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9EC026">
            <w:pPr>
              <w:spacing w:before="53" w:line="217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审核人</w:t>
            </w:r>
          </w:p>
        </w:tc>
        <w:tc>
          <w:tcPr>
            <w:tcW w:w="2838" w:type="dxa"/>
            <w:vAlign w:val="top"/>
          </w:tcPr>
          <w:p w14:paraId="0D7EFEE9">
            <w:pPr>
              <w:spacing w:before="53" w:line="217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2842" w:type="dxa"/>
            <w:vAlign w:val="top"/>
          </w:tcPr>
          <w:p w14:paraId="54BAC1AD">
            <w:pPr>
              <w:spacing w:before="53" w:line="217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2FDC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8359EE1">
            <w:pPr>
              <w:spacing w:before="56" w:line="218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</w:t>
            </w:r>
          </w:p>
        </w:tc>
        <w:tc>
          <w:tcPr>
            <w:tcW w:w="2838" w:type="dxa"/>
            <w:vAlign w:val="top"/>
          </w:tcPr>
          <w:p w14:paraId="03DC30D4">
            <w:pPr>
              <w:spacing w:before="56" w:line="218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进行电话调查</w:t>
            </w:r>
          </w:p>
        </w:tc>
        <w:tc>
          <w:tcPr>
            <w:tcW w:w="2842" w:type="dxa"/>
            <w:vAlign w:val="top"/>
          </w:tcPr>
          <w:p w14:paraId="6BEA6007">
            <w:pPr>
              <w:spacing w:before="56" w:line="218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服务台客服</w:t>
            </w:r>
          </w:p>
        </w:tc>
      </w:tr>
    </w:tbl>
    <w:p w14:paraId="76220865">
      <w:pPr>
        <w:pStyle w:val="20"/>
        <w:bidi w:val="0"/>
      </w:pPr>
      <w:bookmarkStart w:id="7" w:name="_Toc13110"/>
      <w:r>
        <w:t>程序</w:t>
      </w:r>
      <w:bookmarkEnd w:id="7"/>
    </w:p>
    <w:p w14:paraId="6BEAB552">
      <w:pPr>
        <w:pStyle w:val="3"/>
        <w:bidi w:val="0"/>
      </w:pPr>
      <w:bookmarkStart w:id="8" w:name="bookmark18"/>
      <w:bookmarkEnd w:id="8"/>
      <w:bookmarkStart w:id="9" w:name="_Toc14234"/>
      <w:r>
        <w:t>客户满意度调查的项目</w:t>
      </w:r>
      <w:bookmarkEnd w:id="9"/>
    </w:p>
    <w:p w14:paraId="6BE4E97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对本公司服务质量的满意程度；</w:t>
      </w:r>
    </w:p>
    <w:p w14:paraId="2E9971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对本公司服务的交付期、交付方式的满意程度；</w:t>
      </w:r>
    </w:p>
    <w:p w14:paraId="06050B7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对本公司的服务项目和服务质量的满意程度 ；</w:t>
      </w:r>
    </w:p>
    <w:p w14:paraId="5BE4377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对本公司的期望、建议或意见；</w:t>
      </w:r>
    </w:p>
    <w:p w14:paraId="035913D7">
      <w:pPr>
        <w:pStyle w:val="3"/>
        <w:bidi w:val="0"/>
      </w:pPr>
      <w:bookmarkStart w:id="10" w:name="_Toc5654"/>
      <w:r>
        <w:t>客户满意度调查的信息来源</w:t>
      </w:r>
      <w:bookmarkEnd w:id="10"/>
    </w:p>
    <w:p w14:paraId="42D8DC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客户满意度调查表；</w:t>
      </w:r>
    </w:p>
    <w:p w14:paraId="6279CB2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投诉反馈相关信息；</w:t>
      </w:r>
    </w:p>
    <w:p w14:paraId="1C0B0D4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电话或走访；</w:t>
      </w:r>
    </w:p>
    <w:p w14:paraId="4B91C9A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质量中心每年进行一次公司级客户满意度调查，调查对象为一年内有订单往来的客户，但如果客户对调查时间间隔有特别要求，将按客户要求进行定期调查，如客户未作要求则按一年为调查间隔。</w:t>
      </w:r>
    </w:p>
    <w:p w14:paraId="43C9C42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 客户意见调查的方式可以是：传真问卷表、电话访问、面谈、走访等。</w:t>
      </w:r>
    </w:p>
    <w:p w14:paraId="3D2C3E5E">
      <w:pPr>
        <w:pStyle w:val="21"/>
        <w:bidi w:val="0"/>
      </w:pPr>
      <w:bookmarkStart w:id="11" w:name="_Toc7064"/>
      <w:r>
        <w:t>调查过程</w:t>
      </w:r>
      <w:bookmarkEnd w:id="11"/>
    </w:p>
    <w:p w14:paraId="3DD1F306">
      <w:pPr>
        <w:pStyle w:val="22"/>
        <w:bidi w:val="0"/>
      </w:pPr>
      <w:bookmarkStart w:id="12" w:name="bookmark19"/>
      <w:bookmarkEnd w:id="12"/>
      <w:bookmarkStart w:id="13" w:name="_Toc15452"/>
      <w:r>
        <w:t>客户满意度调查</w:t>
      </w:r>
      <w:bookmarkEnd w:id="13"/>
    </w:p>
    <w:p w14:paraId="660803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质量中心每年进行一次客户满意度调查，调查对象为一年内有订单往来的客户，但如果客户对调查时间间隔有特别要求，质量中心将按客户要求进行定期调查，如客户无作要求则按一年为调查间隔。</w:t>
      </w:r>
    </w:p>
    <w:p w14:paraId="40345A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客户意见调查的方式可以是：传真问卷表、电话访问、面谈、走访等。</w:t>
      </w:r>
    </w:p>
    <w:p w14:paraId="5DF16737">
      <w:pPr>
        <w:pStyle w:val="22"/>
        <w:bidi w:val="0"/>
      </w:pPr>
      <w:bookmarkStart w:id="14" w:name="_Toc18851"/>
      <w:r>
        <w:t>客户满意度调查项目</w:t>
      </w:r>
      <w:bookmarkEnd w:id="14"/>
    </w:p>
    <w:p w14:paraId="7D111D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技术水平、服务态度、服务及时性、服务规范性</w:t>
      </w:r>
      <w:r>
        <w:rPr>
          <w:rFonts w:ascii="宋体" w:hAnsi="宋体" w:eastAsia="宋体" w:cs="宋体"/>
          <w:spacing w:val="-1"/>
          <w:sz w:val="24"/>
          <w:szCs w:val="24"/>
        </w:rPr>
        <w:t>、问题解决效率、问题解决</w:t>
      </w:r>
      <w:r>
        <w:rPr>
          <w:rFonts w:ascii="宋体" w:hAnsi="宋体" w:eastAsia="宋体" w:cs="宋体"/>
          <w:spacing w:val="-2"/>
          <w:sz w:val="24"/>
          <w:szCs w:val="24"/>
        </w:rPr>
        <w:t>有效性、咨询及培训、使用方便性、交付满意度、服务台服务水平。</w:t>
      </w:r>
    </w:p>
    <w:p w14:paraId="671512FA">
      <w:pPr>
        <w:pStyle w:val="22"/>
        <w:bidi w:val="0"/>
      </w:pPr>
      <w:bookmarkStart w:id="15" w:name="_Toc2249"/>
      <w:r>
        <w:t>客户满意度每项分数</w:t>
      </w:r>
      <w:bookmarkEnd w:id="15"/>
    </w:p>
    <w:p w14:paraId="1419042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很满意(10 分)  满意(8 分)  基本满意(5 分)  不满意(0 分)；</w:t>
      </w:r>
    </w:p>
    <w:p w14:paraId="6EE9D6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客户评分总分为 100 分，表示客户非常满意；</w:t>
      </w:r>
    </w:p>
    <w:p w14:paraId="6C3BE56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80-100 分(含 80 分),  表示满意；</w:t>
      </w:r>
    </w:p>
    <w:p w14:paraId="138BD7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60- 80 分(含 60 分)， 表示尚可；</w:t>
      </w:r>
    </w:p>
    <w:p w14:paraId="622B9D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40- 60 分(含 40 分)， 表示不满意。</w:t>
      </w:r>
    </w:p>
    <w:p w14:paraId="02D03E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如果任何一项的评定结果未达到该项之“满意 ”分数，或虽然达到“满意 ”分数，但某些方面客户反映不满意的，质量中心要组织相关部门分析原因，制</w:t>
      </w:r>
    </w:p>
    <w:p w14:paraId="1803E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定改进措施，管理者代表要跟踪改进过程和结果；</w:t>
      </w:r>
    </w:p>
    <w:p w14:paraId="24A1474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对客户满意度调查结果进行汇总分析，并提交管理评审。</w:t>
      </w:r>
    </w:p>
    <w:p w14:paraId="03307E88">
      <w:pPr>
        <w:pStyle w:val="22"/>
        <w:bidi w:val="0"/>
      </w:pPr>
      <w:bookmarkStart w:id="16" w:name="bookmark1"/>
      <w:bookmarkEnd w:id="16"/>
      <w:bookmarkStart w:id="17" w:name="_Toc13655"/>
      <w:r>
        <w:t>统计满意度得分</w:t>
      </w:r>
      <w:bookmarkEnd w:id="17"/>
    </w:p>
    <w:p w14:paraId="0ED685A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客户满意度平均分=满意度调查表总得分/收回的调查问卷总份数</w:t>
      </w:r>
    </w:p>
    <w:p w14:paraId="232D674D">
      <w:pPr>
        <w:pStyle w:val="22"/>
        <w:bidi w:val="0"/>
      </w:pPr>
      <w:bookmarkStart w:id="18" w:name="bookmark1"/>
      <w:bookmarkEnd w:id="18"/>
      <w:bookmarkStart w:id="19" w:name="_Toc21726"/>
      <w:r>
        <w:t>改进</w:t>
      </w:r>
      <w:bookmarkEnd w:id="19"/>
    </w:p>
    <w:p w14:paraId="748CF37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将《顾客满意度调查结果分析报告》发送给相关部门，包含公司领导层、运维服务部领导及相关部门负责人；</w:t>
      </w:r>
    </w:p>
    <w:p w14:paraId="3C3FA7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召开客户满意度服务改进会议，讨论改进措施；</w:t>
      </w:r>
    </w:p>
    <w:p w14:paraId="2E98DAD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各相关部门负责人部署落实改进措施；</w:t>
      </w:r>
    </w:p>
    <w:p w14:paraId="2F5C8C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质量中心负责监控改进措施的落实情况。</w:t>
      </w:r>
    </w:p>
    <w:p w14:paraId="56AF718E">
      <w:pPr>
        <w:pStyle w:val="20"/>
        <w:bidi w:val="0"/>
      </w:pPr>
      <w:bookmarkStart w:id="20" w:name="bookmark1"/>
      <w:bookmarkEnd w:id="20"/>
      <w:bookmarkStart w:id="21" w:name="_Toc7456"/>
      <w:r>
        <w:t>相关文档</w:t>
      </w:r>
      <w:bookmarkEnd w:id="21"/>
    </w:p>
    <w:p w14:paraId="5900701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《客户满意度调查表》</w:t>
      </w:r>
    </w:p>
    <w:p w14:paraId="0B15E9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《客户满意度调查结果分析报告》</w:t>
      </w:r>
    </w:p>
    <w:p w14:paraId="6A6502E1">
      <w:pPr>
        <w:spacing w:before="203" w:line="219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22" w:name="bookmark1"/>
      <w:bookmarkEnd w:id="22"/>
      <w:bookmarkStart w:id="23" w:name="_Toc19588"/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附</w:t>
      </w:r>
      <w:r>
        <w:rPr>
          <w:rFonts w:ascii="宋体" w:hAnsi="宋体" w:eastAsia="宋体" w:cs="宋体"/>
          <w:spacing w:val="10"/>
          <w:sz w:val="36"/>
          <w:szCs w:val="36"/>
        </w:rPr>
        <w:t xml:space="preserve">  </w:t>
      </w:r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则</w:t>
      </w:r>
      <w:bookmarkEnd w:id="23"/>
    </w:p>
    <w:p w14:paraId="5DF18375">
      <w:pPr>
        <w:spacing w:before="179" w:line="219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本制度由公司质量中心拟定，自批准颁布之日起施行。</w:t>
      </w:r>
    </w:p>
    <w:sectPr>
      <w:footerReference r:id="rId5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7DDA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6814B1"/>
    <w:rsid w:val="01934780"/>
    <w:rsid w:val="201C6C9A"/>
    <w:rsid w:val="2674607E"/>
    <w:rsid w:val="277125BE"/>
    <w:rsid w:val="2E8452CD"/>
    <w:rsid w:val="318A18A2"/>
    <w:rsid w:val="3210122D"/>
    <w:rsid w:val="35472BB0"/>
    <w:rsid w:val="388760E5"/>
    <w:rsid w:val="3ADB6274"/>
    <w:rsid w:val="48A1376F"/>
    <w:rsid w:val="4CA70815"/>
    <w:rsid w:val="518C7E71"/>
    <w:rsid w:val="56652555"/>
    <w:rsid w:val="5D5F468B"/>
    <w:rsid w:val="60340051"/>
    <w:rsid w:val="65207C8D"/>
    <w:rsid w:val="6E2E05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1378</Words>
  <Characters>1551</Characters>
  <TotalTime>1</TotalTime>
  <ScaleCrop>false</ScaleCrop>
  <LinksUpToDate>false</LinksUpToDate>
  <CharactersWithSpaces>1705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2025-08-18T18:06:00Z</dcterms:created>
  <dc:creator>谢永刚</dc:creator>
  <cp:lastModifiedBy>郝宇</cp:lastModifiedBy>
  <dcterms:modified xsi:type="dcterms:W3CDTF">2025-08-26T08:16:30Z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2025-08-21T00:14:09Z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051A72E5D4F44361B2E12796282753C9_12</vt:lpwstr>
  </property>
</Properties>
</file>