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04657">
      <w:pPr>
        <w:pStyle w:val="2"/>
        <w:spacing w:line="250" w:lineRule="auto"/>
      </w:pPr>
    </w:p>
    <w:p w14:paraId="71DBA71F">
      <w:pPr>
        <w:pStyle w:val="2"/>
        <w:spacing w:line="250" w:lineRule="auto"/>
      </w:pPr>
    </w:p>
    <w:p w14:paraId="75145AA4">
      <w:pPr>
        <w:pStyle w:val="2"/>
        <w:spacing w:line="251" w:lineRule="auto"/>
      </w:pPr>
    </w:p>
    <w:p w14:paraId="6E898265">
      <w:pPr>
        <w:pStyle w:val="2"/>
        <w:spacing w:line="251" w:lineRule="auto"/>
      </w:pPr>
    </w:p>
    <w:p w14:paraId="2B9AEF4D">
      <w:pPr>
        <w:pStyle w:val="2"/>
        <w:spacing w:line="251" w:lineRule="auto"/>
      </w:pPr>
    </w:p>
    <w:p w14:paraId="591B627D">
      <w:pPr>
        <w:spacing w:before="176" w:line="212" w:lineRule="auto"/>
        <w:ind w:left="2157"/>
        <w:outlineLvl w:val="0"/>
        <w:rPr>
          <w:rFonts w:ascii="等线" w:hAnsi="等线" w:eastAsia="等线" w:cs="等线"/>
          <w:sz w:val="52"/>
          <w:szCs w:val="52"/>
        </w:rPr>
      </w:pPr>
      <w:bookmarkStart w:id="0" w:name="bookmark1"/>
      <w:bookmarkEnd w:id="0"/>
      <w:r>
        <w:rPr>
          <w:rFonts w:ascii="等线" w:hAnsi="等线" w:eastAsia="等线" w:cs="等线"/>
          <w:b/>
          <w:bCs/>
          <w:spacing w:val="-12"/>
          <w:sz w:val="52"/>
          <w:szCs w:val="52"/>
        </w:rPr>
        <w:t>项目验收管理制度</w:t>
      </w:r>
    </w:p>
    <w:p w14:paraId="2768EE2C">
      <w:pPr>
        <w:pStyle w:val="2"/>
        <w:spacing w:line="248" w:lineRule="auto"/>
      </w:pPr>
    </w:p>
    <w:p w14:paraId="29C2E210">
      <w:pPr>
        <w:pStyle w:val="2"/>
        <w:spacing w:line="248" w:lineRule="auto"/>
      </w:pPr>
    </w:p>
    <w:p w14:paraId="11DA296F">
      <w:pPr>
        <w:pStyle w:val="2"/>
        <w:spacing w:line="248" w:lineRule="auto"/>
      </w:pPr>
    </w:p>
    <w:p w14:paraId="7FC947F9">
      <w:pPr>
        <w:pStyle w:val="2"/>
        <w:spacing w:line="248" w:lineRule="auto"/>
      </w:pPr>
    </w:p>
    <w:p w14:paraId="68A6FC39">
      <w:pPr>
        <w:pStyle w:val="2"/>
        <w:spacing w:line="248" w:lineRule="auto"/>
      </w:pPr>
    </w:p>
    <w:p w14:paraId="72E129D8">
      <w:pPr>
        <w:pStyle w:val="2"/>
        <w:spacing w:line="248" w:lineRule="auto"/>
      </w:pPr>
    </w:p>
    <w:p w14:paraId="7D283B91">
      <w:pPr>
        <w:pStyle w:val="2"/>
        <w:spacing w:line="248" w:lineRule="auto"/>
      </w:pPr>
    </w:p>
    <w:p w14:paraId="6BBABCE3">
      <w:pPr>
        <w:pStyle w:val="2"/>
        <w:spacing w:line="249" w:lineRule="auto"/>
      </w:pPr>
    </w:p>
    <w:p w14:paraId="2A759448">
      <w:pPr>
        <w:pStyle w:val="2"/>
        <w:spacing w:line="249" w:lineRule="auto"/>
      </w:pPr>
    </w:p>
    <w:p w14:paraId="7C0F4E27">
      <w:pPr>
        <w:pStyle w:val="2"/>
        <w:spacing w:line="249" w:lineRule="auto"/>
      </w:pPr>
    </w:p>
    <w:p w14:paraId="2038A019">
      <w:pPr>
        <w:pStyle w:val="2"/>
        <w:spacing w:line="249" w:lineRule="auto"/>
      </w:pPr>
    </w:p>
    <w:p w14:paraId="56AEA9A1">
      <w:pPr>
        <w:pStyle w:val="2"/>
        <w:spacing w:line="249" w:lineRule="auto"/>
      </w:pPr>
    </w:p>
    <w:p w14:paraId="33884698">
      <w:pPr>
        <w:pStyle w:val="2"/>
        <w:spacing w:line="249" w:lineRule="auto"/>
      </w:pPr>
    </w:p>
    <w:p w14:paraId="4E80EE3A">
      <w:pPr>
        <w:pStyle w:val="2"/>
        <w:spacing w:line="249" w:lineRule="auto"/>
      </w:pPr>
    </w:p>
    <w:p w14:paraId="14146865">
      <w:pPr>
        <w:pStyle w:val="2"/>
        <w:spacing w:line="249" w:lineRule="auto"/>
      </w:pPr>
    </w:p>
    <w:p w14:paraId="51508000">
      <w:pPr>
        <w:pStyle w:val="2"/>
        <w:spacing w:line="249" w:lineRule="auto"/>
      </w:pPr>
    </w:p>
    <w:p w14:paraId="0063215F">
      <w:pPr>
        <w:pStyle w:val="2"/>
        <w:spacing w:line="249" w:lineRule="auto"/>
      </w:pPr>
    </w:p>
    <w:p w14:paraId="03BAE779">
      <w:pPr>
        <w:pStyle w:val="2"/>
        <w:spacing w:line="249" w:lineRule="auto"/>
      </w:pPr>
    </w:p>
    <w:p w14:paraId="1F488CFD">
      <w:pPr>
        <w:pStyle w:val="2"/>
        <w:spacing w:line="249" w:lineRule="auto"/>
      </w:pPr>
    </w:p>
    <w:p w14:paraId="79086655">
      <w:pPr>
        <w:pStyle w:val="2"/>
        <w:spacing w:line="249" w:lineRule="auto"/>
      </w:pPr>
    </w:p>
    <w:p w14:paraId="7A93586E">
      <w:pPr>
        <w:pStyle w:val="2"/>
        <w:spacing w:line="249" w:lineRule="auto"/>
      </w:pPr>
    </w:p>
    <w:p w14:paraId="7B1A6A32">
      <w:pPr>
        <w:spacing w:line="1298" w:lineRule="exact"/>
        <w:ind w:firstLine="2006"/>
      </w:pPr>
      <w:r>
        <w:rPr>
          <w:position w:val="-25"/>
        </w:rPr>
        <w:drawing>
          <wp:inline distT="0" distB="0" distL="0" distR="0">
            <wp:extent cx="2743200" cy="82359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2C70">
      <w:pPr>
        <w:pStyle w:val="2"/>
        <w:spacing w:line="242" w:lineRule="auto"/>
      </w:pPr>
    </w:p>
    <w:p w14:paraId="5B1BB267">
      <w:pPr>
        <w:pStyle w:val="2"/>
        <w:spacing w:line="242" w:lineRule="auto"/>
      </w:pPr>
    </w:p>
    <w:p w14:paraId="389354F5">
      <w:pPr>
        <w:pStyle w:val="2"/>
        <w:spacing w:line="242" w:lineRule="auto"/>
      </w:pPr>
    </w:p>
    <w:p w14:paraId="46F41BA7">
      <w:pPr>
        <w:pStyle w:val="2"/>
        <w:spacing w:line="242" w:lineRule="auto"/>
      </w:pPr>
    </w:p>
    <w:p w14:paraId="29C56629">
      <w:pPr>
        <w:pStyle w:val="2"/>
        <w:spacing w:line="242" w:lineRule="auto"/>
      </w:pPr>
    </w:p>
    <w:p w14:paraId="6B2ED7E6">
      <w:pPr>
        <w:pStyle w:val="2"/>
        <w:spacing w:line="242" w:lineRule="auto"/>
      </w:pPr>
    </w:p>
    <w:p w14:paraId="072865E7">
      <w:pPr>
        <w:pStyle w:val="2"/>
        <w:spacing w:line="243" w:lineRule="auto"/>
      </w:pPr>
    </w:p>
    <w:p w14:paraId="0B506495">
      <w:pPr>
        <w:pStyle w:val="2"/>
        <w:spacing w:line="243" w:lineRule="auto"/>
      </w:pPr>
    </w:p>
    <w:p w14:paraId="1EF818FE">
      <w:pPr>
        <w:pStyle w:val="2"/>
        <w:spacing w:line="243" w:lineRule="auto"/>
      </w:pPr>
    </w:p>
    <w:p w14:paraId="72DC8160">
      <w:pPr>
        <w:pStyle w:val="2"/>
        <w:spacing w:line="243" w:lineRule="auto"/>
      </w:pPr>
    </w:p>
    <w:p w14:paraId="42673809">
      <w:pPr>
        <w:pStyle w:val="2"/>
        <w:spacing w:line="243" w:lineRule="auto"/>
      </w:pPr>
    </w:p>
    <w:p w14:paraId="484F259F">
      <w:pPr>
        <w:pStyle w:val="2"/>
        <w:spacing w:line="243" w:lineRule="auto"/>
      </w:pPr>
    </w:p>
    <w:p w14:paraId="4E93C218">
      <w:pPr>
        <w:pStyle w:val="2"/>
        <w:spacing w:line="243" w:lineRule="auto"/>
      </w:pPr>
    </w:p>
    <w:p w14:paraId="05BA3FBD">
      <w:pPr>
        <w:pStyle w:val="2"/>
        <w:spacing w:line="243" w:lineRule="auto"/>
      </w:pPr>
    </w:p>
    <w:p w14:paraId="780A6898">
      <w:pPr>
        <w:pStyle w:val="2"/>
        <w:spacing w:line="243" w:lineRule="auto"/>
      </w:pPr>
    </w:p>
    <w:p w14:paraId="42806800">
      <w:pPr>
        <w:pStyle w:val="2"/>
        <w:spacing w:line="243" w:lineRule="auto"/>
      </w:pPr>
    </w:p>
    <w:p w14:paraId="69230B16">
      <w:pPr>
        <w:pStyle w:val="2"/>
        <w:spacing w:line="243" w:lineRule="auto"/>
      </w:pPr>
    </w:p>
    <w:p w14:paraId="68D20EDF">
      <w:pPr>
        <w:spacing w:before="114" w:line="224" w:lineRule="auto"/>
        <w:ind w:left="167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7"/>
          <w:sz w:val="35"/>
          <w:szCs w:val="35"/>
        </w:rPr>
        <w:t>青岛慧海联创信息技术有限公司</w:t>
      </w:r>
    </w:p>
    <w:p w14:paraId="4A40407A">
      <w:pPr>
        <w:spacing w:before="227" w:line="225" w:lineRule="auto"/>
        <w:ind w:left="2898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-2"/>
          <w:sz w:val="35"/>
          <w:szCs w:val="35"/>
        </w:rPr>
        <w:t>2025年</w:t>
      </w:r>
      <w:r>
        <w:rPr>
          <w:rFonts w:ascii="宋体" w:hAnsi="宋体" w:eastAsia="宋体" w:cs="宋体"/>
          <w:spacing w:val="-76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</w:rPr>
        <w:t>1月4</w:t>
      </w:r>
      <w:r>
        <w:rPr>
          <w:rFonts w:ascii="宋体" w:hAnsi="宋体" w:eastAsia="宋体" w:cs="宋体"/>
          <w:spacing w:val="42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</w:rPr>
        <w:t>日</w:t>
      </w:r>
    </w:p>
    <w:p w14:paraId="6B2C95E0">
      <w:pPr>
        <w:spacing w:line="225" w:lineRule="auto"/>
        <w:rPr>
          <w:rFonts w:ascii="宋体" w:hAnsi="宋体" w:eastAsia="宋体" w:cs="宋体"/>
          <w:sz w:val="35"/>
          <w:szCs w:val="35"/>
        </w:rPr>
        <w:sectPr>
          <w:pgSz w:w="11906" w:h="16840"/>
          <w:pgMar w:top="1431" w:right="1785" w:bottom="0" w:left="1785" w:header="0" w:footer="0" w:gutter="0"/>
          <w:cols w:space="720" w:num="1"/>
        </w:sectPr>
      </w:pPr>
    </w:p>
    <w:p w14:paraId="42FBFC56">
      <w:pPr>
        <w:spacing w:before="56" w:line="220" w:lineRule="auto"/>
        <w:ind w:left="3839"/>
        <w:outlineLvl w:val="0"/>
        <w:rPr>
          <w:rFonts w:ascii="宋体" w:hAnsi="宋体" w:eastAsia="宋体" w:cs="宋体"/>
          <w:sz w:val="28"/>
          <w:szCs w:val="28"/>
        </w:rPr>
      </w:pPr>
      <w:bookmarkStart w:id="1" w:name="bookmark2"/>
      <w:bookmarkEnd w:id="1"/>
      <w:r>
        <w:rPr>
          <w:rFonts w:ascii="宋体" w:hAnsi="宋体" w:eastAsia="宋体" w:cs="宋体"/>
          <w:spacing w:val="-7"/>
          <w:sz w:val="28"/>
          <w:szCs w:val="28"/>
        </w:rPr>
        <w:t>文档信息</w:t>
      </w:r>
    </w:p>
    <w:p w14:paraId="20516C84">
      <w:pPr>
        <w:spacing w:line="99" w:lineRule="exact"/>
      </w:pPr>
    </w:p>
    <w:tbl>
      <w:tblPr>
        <w:tblStyle w:val="5"/>
        <w:tblW w:w="914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1695"/>
        <w:gridCol w:w="2339"/>
        <w:gridCol w:w="1981"/>
        <w:gridCol w:w="1567"/>
      </w:tblGrid>
      <w:tr w14:paraId="7A09CB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567" w:type="dxa"/>
            <w:vAlign w:val="top"/>
          </w:tcPr>
          <w:p w14:paraId="7466FB2F">
            <w:pPr>
              <w:spacing w:before="215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文档名称编号</w:t>
            </w:r>
          </w:p>
        </w:tc>
        <w:tc>
          <w:tcPr>
            <w:tcW w:w="7582" w:type="dxa"/>
            <w:gridSpan w:val="4"/>
            <w:vAlign w:val="top"/>
          </w:tcPr>
          <w:p w14:paraId="4A0803F7">
            <w:pPr>
              <w:spacing w:before="215" w:line="228" w:lineRule="auto"/>
              <w:ind w:left="16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验收</w:t>
            </w:r>
            <w:bookmarkStart w:id="21" w:name="_GoBack"/>
            <w:bookmarkEnd w:id="21"/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管理制度（</w:t>
            </w:r>
            <w:r>
              <w:rPr>
                <w:rFonts w:ascii="宋体" w:hAnsi="宋体" w:eastAsia="宋体" w:cs="宋体"/>
                <w:sz w:val="20"/>
                <w:szCs w:val="20"/>
              </w:rPr>
              <w:t>HHLC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-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-</w:t>
            </w:r>
            <w:r>
              <w:rPr>
                <w:rFonts w:ascii="宋体" w:hAnsi="宋体" w:eastAsia="宋体" w:cs="宋体"/>
                <w:sz w:val="20"/>
                <w:szCs w:val="20"/>
              </w:rPr>
              <w:t>XMYSGL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）</w:t>
            </w:r>
          </w:p>
        </w:tc>
      </w:tr>
      <w:tr w14:paraId="30A2F3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11" w:hRule="atLeast"/>
        </w:trPr>
        <w:tc>
          <w:tcPr>
            <w:tcW w:w="1567" w:type="dxa"/>
            <w:vAlign w:val="top"/>
          </w:tcPr>
          <w:p w14:paraId="372E9A41">
            <w:pPr>
              <w:spacing w:before="209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编制单位</w:t>
            </w:r>
          </w:p>
        </w:tc>
        <w:tc>
          <w:tcPr>
            <w:tcW w:w="7582" w:type="dxa"/>
            <w:gridSpan w:val="4"/>
            <w:vAlign w:val="top"/>
          </w:tcPr>
          <w:p w14:paraId="04DD1C1F">
            <w:pPr>
              <w:spacing w:before="210" w:line="227" w:lineRule="auto"/>
              <w:ind w:left="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青岛慧海联创信息技术有限公司</w:t>
            </w:r>
          </w:p>
        </w:tc>
      </w:tr>
      <w:tr w14:paraId="3A1CAE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3ACE0962">
            <w:pPr>
              <w:spacing w:before="210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文档密级</w:t>
            </w:r>
          </w:p>
        </w:tc>
        <w:tc>
          <w:tcPr>
            <w:tcW w:w="7582" w:type="dxa"/>
            <w:gridSpan w:val="4"/>
            <w:vAlign w:val="top"/>
          </w:tcPr>
          <w:p w14:paraId="6CBD7050">
            <w:pPr>
              <w:spacing w:before="210" w:line="228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秘密</w:t>
            </w:r>
          </w:p>
        </w:tc>
      </w:tr>
      <w:tr w14:paraId="591A55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22F98935">
            <w:pPr>
              <w:spacing w:before="214" w:line="227" w:lineRule="auto"/>
              <w:ind w:left="3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文档版本</w:t>
            </w:r>
          </w:p>
        </w:tc>
        <w:tc>
          <w:tcPr>
            <w:tcW w:w="1695" w:type="dxa"/>
            <w:vAlign w:val="top"/>
          </w:tcPr>
          <w:p w14:paraId="4EDDA972">
            <w:pPr>
              <w:spacing w:before="214" w:line="227" w:lineRule="auto"/>
              <w:ind w:left="4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版本日期</w:t>
            </w:r>
          </w:p>
        </w:tc>
        <w:tc>
          <w:tcPr>
            <w:tcW w:w="2339" w:type="dxa"/>
            <w:vAlign w:val="top"/>
          </w:tcPr>
          <w:p w14:paraId="2230AAA0">
            <w:pPr>
              <w:spacing w:before="214" w:line="227" w:lineRule="auto"/>
              <w:ind w:left="76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版本说明</w:t>
            </w:r>
          </w:p>
        </w:tc>
        <w:tc>
          <w:tcPr>
            <w:tcW w:w="1981" w:type="dxa"/>
            <w:vAlign w:val="top"/>
          </w:tcPr>
          <w:p w14:paraId="43A7D00F">
            <w:pPr>
              <w:spacing w:before="214" w:line="228" w:lineRule="auto"/>
              <w:ind w:left="7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作者</w:t>
            </w:r>
          </w:p>
        </w:tc>
        <w:tc>
          <w:tcPr>
            <w:tcW w:w="1567" w:type="dxa"/>
            <w:vAlign w:val="top"/>
          </w:tcPr>
          <w:p w14:paraId="60A744AA">
            <w:pPr>
              <w:spacing w:before="214" w:line="228" w:lineRule="auto"/>
              <w:ind w:left="6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审核</w:t>
            </w:r>
          </w:p>
        </w:tc>
      </w:tr>
      <w:tr w14:paraId="67C8A8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763904DA">
            <w:pPr>
              <w:spacing w:before="195" w:line="268" w:lineRule="exact"/>
              <w:ind w:left="5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V1.0</w:t>
            </w:r>
          </w:p>
        </w:tc>
        <w:tc>
          <w:tcPr>
            <w:tcW w:w="1695" w:type="dxa"/>
            <w:vAlign w:val="top"/>
          </w:tcPr>
          <w:p w14:paraId="39331A29">
            <w:pPr>
              <w:spacing w:before="198" w:line="268" w:lineRule="exact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2025-1-4</w:t>
            </w:r>
          </w:p>
        </w:tc>
        <w:tc>
          <w:tcPr>
            <w:tcW w:w="2339" w:type="dxa"/>
            <w:vAlign w:val="top"/>
          </w:tcPr>
          <w:p w14:paraId="7DA6682C">
            <w:pPr>
              <w:spacing w:before="147" w:line="227" w:lineRule="auto"/>
              <w:ind w:left="7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发布版本</w:t>
            </w:r>
          </w:p>
        </w:tc>
        <w:tc>
          <w:tcPr>
            <w:tcW w:w="1981" w:type="dxa"/>
            <w:vAlign w:val="top"/>
          </w:tcPr>
          <w:p w14:paraId="638E3D9F">
            <w:pPr>
              <w:spacing w:before="149" w:line="228" w:lineRule="auto"/>
              <w:ind w:left="6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王予婷</w:t>
            </w:r>
          </w:p>
        </w:tc>
        <w:tc>
          <w:tcPr>
            <w:tcW w:w="1567" w:type="dxa"/>
            <w:vAlign w:val="top"/>
          </w:tcPr>
          <w:p w14:paraId="2AC0417B">
            <w:pPr>
              <w:spacing w:before="150" w:line="228" w:lineRule="auto"/>
              <w:ind w:left="5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宫海亭</w:t>
            </w:r>
          </w:p>
        </w:tc>
      </w:tr>
      <w:tr w14:paraId="2204B8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79" w:hRule="atLeast"/>
        </w:trPr>
        <w:tc>
          <w:tcPr>
            <w:tcW w:w="1567" w:type="dxa"/>
            <w:vAlign w:val="top"/>
          </w:tcPr>
          <w:p w14:paraId="6061E7C1">
            <w:pPr>
              <w:pStyle w:val="6"/>
            </w:pPr>
          </w:p>
        </w:tc>
        <w:tc>
          <w:tcPr>
            <w:tcW w:w="1695" w:type="dxa"/>
            <w:vAlign w:val="top"/>
          </w:tcPr>
          <w:p w14:paraId="5543E79E">
            <w:pPr>
              <w:pStyle w:val="6"/>
            </w:pPr>
          </w:p>
        </w:tc>
        <w:tc>
          <w:tcPr>
            <w:tcW w:w="2339" w:type="dxa"/>
            <w:vAlign w:val="top"/>
          </w:tcPr>
          <w:p w14:paraId="5D4050E9">
            <w:pPr>
              <w:pStyle w:val="6"/>
            </w:pPr>
          </w:p>
        </w:tc>
        <w:tc>
          <w:tcPr>
            <w:tcW w:w="1981" w:type="dxa"/>
            <w:vAlign w:val="top"/>
          </w:tcPr>
          <w:p w14:paraId="72AE6CB3">
            <w:pPr>
              <w:pStyle w:val="6"/>
            </w:pPr>
          </w:p>
        </w:tc>
        <w:tc>
          <w:tcPr>
            <w:tcW w:w="1567" w:type="dxa"/>
            <w:vAlign w:val="top"/>
          </w:tcPr>
          <w:p w14:paraId="7249B03E">
            <w:pPr>
              <w:pStyle w:val="6"/>
            </w:pPr>
          </w:p>
        </w:tc>
      </w:tr>
      <w:tr w14:paraId="29953F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2A0E5AD3">
            <w:pPr>
              <w:pStyle w:val="6"/>
            </w:pPr>
          </w:p>
        </w:tc>
        <w:tc>
          <w:tcPr>
            <w:tcW w:w="1695" w:type="dxa"/>
            <w:vAlign w:val="top"/>
          </w:tcPr>
          <w:p w14:paraId="6E1EF13C">
            <w:pPr>
              <w:pStyle w:val="6"/>
            </w:pPr>
          </w:p>
        </w:tc>
        <w:tc>
          <w:tcPr>
            <w:tcW w:w="2339" w:type="dxa"/>
            <w:vAlign w:val="top"/>
          </w:tcPr>
          <w:p w14:paraId="5A351E0E">
            <w:pPr>
              <w:pStyle w:val="6"/>
            </w:pPr>
          </w:p>
        </w:tc>
        <w:tc>
          <w:tcPr>
            <w:tcW w:w="1981" w:type="dxa"/>
            <w:vAlign w:val="top"/>
          </w:tcPr>
          <w:p w14:paraId="3D6FB613">
            <w:pPr>
              <w:pStyle w:val="6"/>
            </w:pPr>
          </w:p>
        </w:tc>
        <w:tc>
          <w:tcPr>
            <w:tcW w:w="1567" w:type="dxa"/>
            <w:vAlign w:val="top"/>
          </w:tcPr>
          <w:p w14:paraId="4BADF134">
            <w:pPr>
              <w:pStyle w:val="6"/>
            </w:pPr>
          </w:p>
        </w:tc>
      </w:tr>
      <w:tr w14:paraId="3B6632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6205414C">
            <w:pPr>
              <w:pStyle w:val="6"/>
            </w:pPr>
          </w:p>
        </w:tc>
        <w:tc>
          <w:tcPr>
            <w:tcW w:w="1695" w:type="dxa"/>
            <w:vAlign w:val="top"/>
          </w:tcPr>
          <w:p w14:paraId="4FB10CB2">
            <w:pPr>
              <w:pStyle w:val="6"/>
            </w:pPr>
          </w:p>
        </w:tc>
        <w:tc>
          <w:tcPr>
            <w:tcW w:w="2339" w:type="dxa"/>
            <w:vAlign w:val="top"/>
          </w:tcPr>
          <w:p w14:paraId="6E451BA8">
            <w:pPr>
              <w:pStyle w:val="6"/>
            </w:pPr>
          </w:p>
        </w:tc>
        <w:tc>
          <w:tcPr>
            <w:tcW w:w="1981" w:type="dxa"/>
            <w:vAlign w:val="top"/>
          </w:tcPr>
          <w:p w14:paraId="315B4495">
            <w:pPr>
              <w:pStyle w:val="6"/>
            </w:pPr>
          </w:p>
        </w:tc>
        <w:tc>
          <w:tcPr>
            <w:tcW w:w="1567" w:type="dxa"/>
            <w:vAlign w:val="top"/>
          </w:tcPr>
          <w:p w14:paraId="016B4974">
            <w:pPr>
              <w:pStyle w:val="6"/>
            </w:pPr>
          </w:p>
        </w:tc>
      </w:tr>
      <w:tr w14:paraId="5EF581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67" w:type="dxa"/>
            <w:vAlign w:val="top"/>
          </w:tcPr>
          <w:p w14:paraId="650229C9">
            <w:pPr>
              <w:pStyle w:val="6"/>
            </w:pPr>
          </w:p>
        </w:tc>
        <w:tc>
          <w:tcPr>
            <w:tcW w:w="1695" w:type="dxa"/>
            <w:vAlign w:val="top"/>
          </w:tcPr>
          <w:p w14:paraId="2690665B">
            <w:pPr>
              <w:pStyle w:val="6"/>
            </w:pPr>
          </w:p>
        </w:tc>
        <w:tc>
          <w:tcPr>
            <w:tcW w:w="2339" w:type="dxa"/>
            <w:vAlign w:val="top"/>
          </w:tcPr>
          <w:p w14:paraId="1ED38F5F">
            <w:pPr>
              <w:pStyle w:val="6"/>
            </w:pPr>
          </w:p>
        </w:tc>
        <w:tc>
          <w:tcPr>
            <w:tcW w:w="1981" w:type="dxa"/>
            <w:vAlign w:val="top"/>
          </w:tcPr>
          <w:p w14:paraId="2CFA7BB3">
            <w:pPr>
              <w:pStyle w:val="6"/>
            </w:pPr>
          </w:p>
        </w:tc>
        <w:tc>
          <w:tcPr>
            <w:tcW w:w="1567" w:type="dxa"/>
            <w:vAlign w:val="top"/>
          </w:tcPr>
          <w:p w14:paraId="44664956">
            <w:pPr>
              <w:pStyle w:val="6"/>
            </w:pPr>
          </w:p>
        </w:tc>
      </w:tr>
      <w:tr w14:paraId="74BD5A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567" w:type="dxa"/>
            <w:vAlign w:val="top"/>
          </w:tcPr>
          <w:p w14:paraId="2A93720B">
            <w:pPr>
              <w:pStyle w:val="6"/>
            </w:pPr>
          </w:p>
        </w:tc>
        <w:tc>
          <w:tcPr>
            <w:tcW w:w="1695" w:type="dxa"/>
            <w:vAlign w:val="top"/>
          </w:tcPr>
          <w:p w14:paraId="787E06EA">
            <w:pPr>
              <w:pStyle w:val="6"/>
            </w:pPr>
          </w:p>
        </w:tc>
        <w:tc>
          <w:tcPr>
            <w:tcW w:w="2339" w:type="dxa"/>
            <w:vAlign w:val="top"/>
          </w:tcPr>
          <w:p w14:paraId="1957CC47">
            <w:pPr>
              <w:pStyle w:val="6"/>
            </w:pPr>
          </w:p>
        </w:tc>
        <w:tc>
          <w:tcPr>
            <w:tcW w:w="1981" w:type="dxa"/>
            <w:vAlign w:val="top"/>
          </w:tcPr>
          <w:p w14:paraId="4BFAF356">
            <w:pPr>
              <w:pStyle w:val="6"/>
            </w:pPr>
          </w:p>
        </w:tc>
        <w:tc>
          <w:tcPr>
            <w:tcW w:w="1567" w:type="dxa"/>
            <w:vAlign w:val="top"/>
          </w:tcPr>
          <w:p w14:paraId="0D2CC477">
            <w:pPr>
              <w:pStyle w:val="6"/>
            </w:pPr>
          </w:p>
        </w:tc>
      </w:tr>
    </w:tbl>
    <w:p w14:paraId="46434BBA">
      <w:pPr>
        <w:pStyle w:val="2"/>
      </w:pPr>
    </w:p>
    <w:p w14:paraId="3209E35C">
      <w:pPr>
        <w:sectPr>
          <w:pgSz w:w="11907" w:h="16840"/>
          <w:pgMar w:top="1268" w:right="1174" w:bottom="0" w:left="1578" w:header="0" w:footer="0" w:gutter="0"/>
          <w:cols w:space="720" w:num="1"/>
        </w:sectPr>
      </w:pPr>
    </w:p>
    <w:p w14:paraId="559FDA63">
      <w:pPr>
        <w:pStyle w:val="2"/>
        <w:spacing w:line="262" w:lineRule="auto"/>
      </w:pPr>
    </w:p>
    <w:p w14:paraId="7789F519">
      <w:pPr>
        <w:pStyle w:val="2"/>
        <w:spacing w:line="263" w:lineRule="auto"/>
      </w:pPr>
    </w:p>
    <w:sdt>
      <w:sdtPr>
        <w:rPr>
          <w:rFonts w:ascii="等线" w:hAnsi="等线" w:eastAsia="等线" w:cs="等线"/>
          <w:sz w:val="31"/>
          <w:szCs w:val="31"/>
        </w:rPr>
        <w:id w:val="147468341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4"/>
          <w:szCs w:val="24"/>
        </w:rPr>
      </w:sdtEndPr>
      <w:sdtContent>
        <w:p w14:paraId="3BC74279">
          <w:pPr>
            <w:spacing w:before="105" w:line="207" w:lineRule="auto"/>
            <w:ind w:left="3889"/>
            <w:rPr>
              <w:rFonts w:ascii="等线" w:hAnsi="等线" w:eastAsia="等线" w:cs="等线"/>
              <w:sz w:val="31"/>
              <w:szCs w:val="31"/>
            </w:rPr>
          </w:pPr>
          <w:bookmarkStart w:id="2" w:name="bookmark3"/>
          <w:bookmarkEnd w:id="2"/>
          <w:r>
            <w:rPr>
              <w:rFonts w:ascii="等线" w:hAnsi="等线" w:eastAsia="等线" w:cs="等线"/>
              <w:b/>
              <w:bCs/>
              <w:spacing w:val="-23"/>
              <w:sz w:val="31"/>
              <w:szCs w:val="31"/>
            </w:rPr>
            <w:t>目录</w:t>
          </w:r>
        </w:p>
        <w:p w14:paraId="6214AC8A">
          <w:pPr>
            <w:tabs>
              <w:tab w:val="right" w:leader="dot" w:pos="8272"/>
            </w:tabs>
            <w:spacing w:before="37" w:line="214" w:lineRule="auto"/>
            <w:ind w:left="3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rFonts w:ascii="等线" w:hAnsi="等线" w:eastAsia="等线" w:cs="等线"/>
              <w:spacing w:val="-14"/>
              <w:sz w:val="24"/>
              <w:szCs w:val="24"/>
            </w:rPr>
            <w:t>项目验收管理制度</w:t>
          </w:r>
          <w:r>
            <w:rPr>
              <w:rFonts w:ascii="等线" w:hAnsi="等线" w:eastAsia="等线" w:cs="等线"/>
              <w:spacing w:val="-29"/>
              <w:sz w:val="24"/>
              <w:szCs w:val="24"/>
            </w:rPr>
            <w:t xml:space="preserve"> </w:t>
          </w:r>
          <w:r>
            <w:rPr>
              <w:rFonts w:ascii="等线" w:hAnsi="等线" w:eastAsia="等线" w:cs="等线"/>
              <w:sz w:val="24"/>
              <w:szCs w:val="24"/>
            </w:rPr>
            <w:tab/>
          </w:r>
          <w:r>
            <w:rPr>
              <w:rFonts w:ascii="等线" w:hAnsi="等线" w:eastAsia="等线" w:cs="等线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rFonts w:ascii="等线" w:hAnsi="等线" w:eastAsia="等线" w:cs="等线"/>
              <w:spacing w:val="4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1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7BD15F71">
          <w:pPr>
            <w:tabs>
              <w:tab w:val="right" w:leader="dot" w:pos="8272"/>
            </w:tabs>
            <w:spacing w:before="69" w:line="184" w:lineRule="auto"/>
            <w:ind w:left="33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8"/>
              <w:sz w:val="24"/>
              <w:szCs w:val="24"/>
            </w:rPr>
            <w:t>文档信息</w:t>
          </w:r>
          <w:r>
            <w:rPr>
              <w:rFonts w:ascii="宋体" w:hAnsi="宋体" w:eastAsia="宋体" w:cs="宋体"/>
              <w:spacing w:val="-7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83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498BFC03">
          <w:pPr>
            <w:tabs>
              <w:tab w:val="right" w:leader="dot" w:pos="8272"/>
            </w:tabs>
            <w:spacing w:before="72" w:line="184" w:lineRule="auto"/>
            <w:ind w:left="4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6"/>
              <w:sz w:val="24"/>
              <w:szCs w:val="24"/>
            </w:rPr>
            <w:t>1</w:t>
          </w:r>
          <w:r>
            <w:rPr>
              <w:rFonts w:ascii="Calibri" w:hAnsi="Calibri" w:eastAsia="Calibri" w:cs="Calibri"/>
              <w:spacing w:val="4"/>
              <w:sz w:val="24"/>
              <w:szCs w:val="24"/>
            </w:rPr>
            <w:t xml:space="preserve">   </w:t>
          </w:r>
          <w:r>
            <w:rPr>
              <w:rFonts w:ascii="宋体" w:hAnsi="宋体" w:eastAsia="宋体" w:cs="宋体"/>
              <w:spacing w:val="-26"/>
              <w:sz w:val="24"/>
              <w:szCs w:val="24"/>
            </w:rPr>
            <w:t>目的</w:t>
          </w:r>
          <w:r>
            <w:rPr>
              <w:rFonts w:ascii="宋体" w:hAnsi="宋体" w:eastAsia="宋体" w:cs="宋体"/>
              <w:spacing w:val="-7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01D7D200">
          <w:pPr>
            <w:tabs>
              <w:tab w:val="right" w:leader="dot" w:pos="8272"/>
            </w:tabs>
            <w:spacing w:before="73" w:line="184" w:lineRule="auto"/>
            <w:ind w:left="35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5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适用范围</w:t>
          </w:r>
          <w:r>
            <w:rPr>
              <w:rFonts w:ascii="宋体" w:hAnsi="宋体" w:eastAsia="宋体" w:cs="宋体"/>
              <w:spacing w:val="-7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6BA3CBD7">
          <w:pPr>
            <w:tabs>
              <w:tab w:val="right" w:leader="dot" w:pos="8272"/>
            </w:tabs>
            <w:spacing w:before="70" w:line="185" w:lineRule="auto"/>
            <w:ind w:left="3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10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13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10"/>
              <w:sz w:val="24"/>
              <w:szCs w:val="24"/>
            </w:rPr>
            <w:t>定义</w:t>
          </w:r>
          <w:r>
            <w:rPr>
              <w:rFonts w:ascii="宋体" w:hAnsi="宋体" w:eastAsia="宋体" w:cs="宋体"/>
              <w:spacing w:val="-7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513BFB32">
          <w:pPr>
            <w:tabs>
              <w:tab w:val="right" w:leader="dot" w:pos="8272"/>
            </w:tabs>
            <w:spacing w:before="72" w:line="184" w:lineRule="auto"/>
            <w:ind w:left="28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职责和权限</w:t>
          </w:r>
          <w:r>
            <w:rPr>
              <w:rFonts w:ascii="宋体" w:hAnsi="宋体" w:eastAsia="宋体" w:cs="宋体"/>
              <w:spacing w:val="-7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5F388448">
          <w:pPr>
            <w:tabs>
              <w:tab w:val="right" w:leader="dot" w:pos="8272"/>
            </w:tabs>
            <w:spacing w:before="72" w:line="184" w:lineRule="auto"/>
            <w:ind w:left="3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5"/>
              <w:sz w:val="24"/>
              <w:szCs w:val="24"/>
            </w:rPr>
            <w:t>5</w:t>
          </w:r>
          <w:r>
            <w:rPr>
              <w:rFonts w:ascii="Calibri" w:hAnsi="Calibri" w:eastAsia="Calibri" w:cs="Calibri"/>
              <w:spacing w:val="11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工作描述</w:t>
          </w:r>
          <w:r>
            <w:rPr>
              <w:rFonts w:ascii="宋体" w:hAnsi="宋体" w:eastAsia="宋体" w:cs="宋体"/>
              <w:spacing w:val="-7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4879E03F">
          <w:pPr>
            <w:tabs>
              <w:tab w:val="right" w:leader="dot" w:pos="8272"/>
            </w:tabs>
            <w:spacing w:before="71" w:line="184" w:lineRule="auto"/>
            <w:ind w:left="45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5.1</w:t>
          </w:r>
          <w:r>
            <w:rPr>
              <w:rFonts w:ascii="Calibri" w:hAnsi="Calibri" w:eastAsia="Calibri" w:cs="Calibri"/>
              <w:spacing w:val="16"/>
              <w:w w:val="101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项目验收自评与总结</w:t>
          </w:r>
          <w:r>
            <w:rPr>
              <w:rFonts w:ascii="宋体" w:hAnsi="宋体" w:eastAsia="宋体" w:cs="宋体"/>
              <w:spacing w:val="-7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2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53793EE6">
          <w:pPr>
            <w:tabs>
              <w:tab w:val="right" w:leader="dot" w:pos="8272"/>
            </w:tabs>
            <w:spacing w:before="72" w:line="185" w:lineRule="auto"/>
            <w:ind w:left="45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5.2</w:t>
          </w:r>
          <w:r>
            <w:rPr>
              <w:rFonts w:ascii="Calibri" w:hAnsi="Calibri" w:eastAsia="Calibri" w:cs="Calibri"/>
              <w:spacing w:val="12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项目验收申请</w:t>
          </w:r>
          <w:r>
            <w:rPr>
              <w:rFonts w:ascii="宋体" w:hAnsi="宋体" w:eastAsia="宋体" w:cs="宋体"/>
              <w:spacing w:val="-7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177AA5E0">
          <w:pPr>
            <w:tabs>
              <w:tab w:val="right" w:leader="dot" w:pos="8272"/>
            </w:tabs>
            <w:spacing w:before="72" w:line="219" w:lineRule="auto"/>
            <w:ind w:left="45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5.3</w:t>
          </w:r>
          <w:r>
            <w:rPr>
              <w:rFonts w:ascii="Calibri" w:hAnsi="Calibri" w:eastAsia="Calibri" w:cs="Calibri"/>
              <w:spacing w:val="16"/>
              <w:w w:val="101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项目验收考核和移交</w:t>
          </w:r>
          <w:r>
            <w:rPr>
              <w:rFonts w:ascii="宋体" w:hAnsi="宋体" w:eastAsia="宋体" w:cs="宋体"/>
              <w:spacing w:val="-7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</w:sdtContent>
    </w:sdt>
    <w:p w14:paraId="4341325D">
      <w:pPr>
        <w:spacing w:line="219" w:lineRule="auto"/>
        <w:rPr>
          <w:rFonts w:ascii="Calibri" w:hAnsi="Calibri" w:eastAsia="Calibri" w:cs="Calibri"/>
          <w:sz w:val="24"/>
          <w:szCs w:val="24"/>
        </w:rPr>
        <w:sectPr>
          <w:pgSz w:w="11850" w:h="16783"/>
          <w:pgMar w:top="1426" w:right="1777" w:bottom="0" w:left="1777" w:header="0" w:footer="0" w:gutter="0"/>
          <w:cols w:space="720" w:num="1"/>
        </w:sectPr>
      </w:pPr>
    </w:p>
    <w:p w14:paraId="71034B18">
      <w:pPr>
        <w:spacing w:before="55" w:line="223" w:lineRule="auto"/>
        <w:ind w:left="15"/>
        <w:outlineLvl w:val="0"/>
        <w:rPr>
          <w:rFonts w:ascii="宋体" w:hAnsi="宋体" w:eastAsia="宋体" w:cs="宋体"/>
          <w:sz w:val="28"/>
          <w:szCs w:val="28"/>
        </w:rPr>
      </w:pPr>
      <w:bookmarkStart w:id="3" w:name="bookmark4"/>
      <w:bookmarkEnd w:id="3"/>
      <w:bookmarkStart w:id="4" w:name="bookmark5"/>
      <w:bookmarkEnd w:id="4"/>
      <w:r>
        <w:rPr>
          <w:rFonts w:ascii="Calibri" w:hAnsi="Calibri" w:eastAsia="Calibri" w:cs="Calibri"/>
          <w:b/>
          <w:bCs/>
          <w:spacing w:val="-30"/>
          <w:sz w:val="28"/>
          <w:szCs w:val="28"/>
        </w:rPr>
        <w:t>1</w:t>
      </w:r>
      <w:r>
        <w:rPr>
          <w:rFonts w:ascii="Calibri" w:hAnsi="Calibri" w:eastAsia="Calibri" w:cs="Calibri"/>
          <w:b/>
          <w:bCs/>
          <w:spacing w:val="4"/>
          <w:sz w:val="28"/>
          <w:szCs w:val="28"/>
        </w:rPr>
        <w:t xml:space="preserve">   </w:t>
      </w:r>
      <w:r>
        <w:rPr>
          <w:rFonts w:ascii="宋体" w:hAnsi="宋体" w:eastAsia="宋体" w:cs="宋体"/>
          <w:b/>
          <w:bCs/>
          <w:spacing w:val="-30"/>
          <w:sz w:val="28"/>
          <w:szCs w:val="28"/>
        </w:rPr>
        <w:t>目的</w:t>
      </w:r>
    </w:p>
    <w:p w14:paraId="78C22AF9">
      <w:pPr>
        <w:spacing w:before="259" w:line="219" w:lineRule="auto"/>
        <w:ind w:left="1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明确运维服务项目验收阶段应该遵循的规范。</w:t>
      </w:r>
    </w:p>
    <w:p w14:paraId="7DD89129">
      <w:pPr>
        <w:spacing w:before="272" w:line="221" w:lineRule="auto"/>
        <w:ind w:left="7"/>
        <w:outlineLvl w:val="0"/>
        <w:rPr>
          <w:rFonts w:ascii="宋体" w:hAnsi="宋体" w:eastAsia="宋体" w:cs="宋体"/>
          <w:sz w:val="28"/>
          <w:szCs w:val="28"/>
        </w:rPr>
      </w:pPr>
      <w:bookmarkStart w:id="5" w:name="bookmark6"/>
      <w:bookmarkEnd w:id="5"/>
      <w:bookmarkStart w:id="6" w:name="bookmark7"/>
      <w:bookmarkEnd w:id="6"/>
      <w:r>
        <w:rPr>
          <w:rFonts w:ascii="Calibri" w:hAnsi="Calibri" w:eastAsia="Calibri" w:cs="Calibri"/>
          <w:b/>
          <w:bCs/>
          <w:spacing w:val="-7"/>
          <w:sz w:val="28"/>
          <w:szCs w:val="28"/>
        </w:rPr>
        <w:t>2</w:t>
      </w:r>
      <w:r>
        <w:rPr>
          <w:rFonts w:ascii="Calibri" w:hAnsi="Calibri" w:eastAsia="Calibri" w:cs="Calibri"/>
          <w:b/>
          <w:bCs/>
          <w:spacing w:val="12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7"/>
          <w:sz w:val="28"/>
          <w:szCs w:val="28"/>
        </w:rPr>
        <w:t>适用范围</w:t>
      </w:r>
    </w:p>
    <w:p w14:paraId="2169B34A">
      <w:pPr>
        <w:spacing w:before="261" w:line="219" w:lineRule="auto"/>
        <w:ind w:left="1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本制度公司运维服务项目的验收管理。</w:t>
      </w:r>
    </w:p>
    <w:p w14:paraId="66046EF7">
      <w:pPr>
        <w:spacing w:before="270" w:line="221" w:lineRule="auto"/>
        <w:ind w:left="6"/>
        <w:outlineLvl w:val="0"/>
        <w:rPr>
          <w:rFonts w:ascii="宋体" w:hAnsi="宋体" w:eastAsia="宋体" w:cs="宋体"/>
          <w:sz w:val="28"/>
          <w:szCs w:val="28"/>
        </w:rPr>
      </w:pPr>
      <w:bookmarkStart w:id="7" w:name="bookmark8"/>
      <w:bookmarkEnd w:id="7"/>
      <w:bookmarkStart w:id="8" w:name="bookmark9"/>
      <w:bookmarkEnd w:id="8"/>
      <w:r>
        <w:rPr>
          <w:rFonts w:ascii="Calibri" w:hAnsi="Calibri" w:eastAsia="Calibri" w:cs="Calibri"/>
          <w:b/>
          <w:bCs/>
          <w:spacing w:val="-12"/>
          <w:sz w:val="28"/>
          <w:szCs w:val="28"/>
        </w:rPr>
        <w:t>3</w:t>
      </w:r>
      <w:r>
        <w:rPr>
          <w:rFonts w:ascii="Calibri" w:hAnsi="Calibri" w:eastAsia="Calibri" w:cs="Calibri"/>
          <w:b/>
          <w:bCs/>
          <w:spacing w:val="15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12"/>
          <w:sz w:val="28"/>
          <w:szCs w:val="28"/>
        </w:rPr>
        <w:t>定义</w:t>
      </w:r>
    </w:p>
    <w:p w14:paraId="1AE68204">
      <w:pPr>
        <w:spacing w:before="264" w:line="220" w:lineRule="auto"/>
        <w:ind w:left="1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1369594B">
      <w:pPr>
        <w:spacing w:before="272" w:line="220" w:lineRule="auto"/>
        <w:outlineLvl w:val="0"/>
        <w:rPr>
          <w:rFonts w:ascii="宋体" w:hAnsi="宋体" w:eastAsia="宋体" w:cs="宋体"/>
          <w:sz w:val="28"/>
          <w:szCs w:val="28"/>
        </w:rPr>
      </w:pPr>
      <w:bookmarkStart w:id="9" w:name="bookmark11"/>
      <w:bookmarkEnd w:id="9"/>
      <w:bookmarkStart w:id="10" w:name="bookmark10"/>
      <w:bookmarkEnd w:id="10"/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4</w:t>
      </w:r>
      <w:r>
        <w:rPr>
          <w:rFonts w:ascii="Calibri" w:hAnsi="Calibri" w:eastAsia="Calibri" w:cs="Calibri"/>
          <w:b/>
          <w:bCs/>
          <w:spacing w:val="12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职责和权限</w:t>
      </w:r>
    </w:p>
    <w:p w14:paraId="63442006">
      <w:pPr>
        <w:spacing w:before="263" w:line="219" w:lineRule="auto"/>
        <w:ind w:left="1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4.1 运维服务部</w:t>
      </w:r>
    </w:p>
    <w:p w14:paraId="0E87B0B0">
      <w:pPr>
        <w:spacing w:before="253" w:line="219" w:lineRule="auto"/>
        <w:ind w:left="13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负责运维项目的验收管理工作。</w:t>
      </w:r>
    </w:p>
    <w:p w14:paraId="3A2E2B3F">
      <w:pPr>
        <w:spacing w:before="256" w:line="417" w:lineRule="auto"/>
        <w:ind w:left="122" w:right="6303" w:hanging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4.2  研发中心/人力资源部</w:t>
      </w:r>
      <w:r>
        <w:rPr>
          <w:rFonts w:ascii="宋体" w:hAnsi="宋体" w:eastAsia="宋体" w:cs="宋体"/>
          <w:spacing w:val="-2"/>
          <w:sz w:val="24"/>
          <w:szCs w:val="24"/>
        </w:rPr>
        <w:t>参与项目验收工作。</w:t>
      </w:r>
    </w:p>
    <w:p w14:paraId="7021AAAC">
      <w:pPr>
        <w:spacing w:before="12" w:line="221" w:lineRule="auto"/>
        <w:ind w:left="8"/>
        <w:outlineLvl w:val="0"/>
        <w:rPr>
          <w:rFonts w:ascii="宋体" w:hAnsi="宋体" w:eastAsia="宋体" w:cs="宋体"/>
          <w:sz w:val="28"/>
          <w:szCs w:val="28"/>
        </w:rPr>
      </w:pPr>
      <w:bookmarkStart w:id="11" w:name="bookmark13"/>
      <w:bookmarkEnd w:id="11"/>
      <w:bookmarkStart w:id="12" w:name="bookmark12"/>
      <w:bookmarkEnd w:id="12"/>
      <w:r>
        <w:rPr>
          <w:rFonts w:ascii="Calibri" w:hAnsi="Calibri" w:eastAsia="Calibri" w:cs="Calibri"/>
          <w:b/>
          <w:bCs/>
          <w:spacing w:val="-8"/>
          <w:sz w:val="28"/>
          <w:szCs w:val="28"/>
        </w:rPr>
        <w:t>5</w:t>
      </w:r>
      <w:r>
        <w:rPr>
          <w:rFonts w:ascii="Calibri" w:hAnsi="Calibri" w:eastAsia="Calibri" w:cs="Calibri"/>
          <w:b/>
          <w:bCs/>
          <w:spacing w:val="14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8"/>
          <w:sz w:val="28"/>
          <w:szCs w:val="28"/>
        </w:rPr>
        <w:t>工作描述</w:t>
      </w:r>
    </w:p>
    <w:p w14:paraId="10805235">
      <w:pPr>
        <w:spacing w:before="268" w:line="220" w:lineRule="auto"/>
        <w:ind w:left="8"/>
        <w:outlineLvl w:val="1"/>
        <w:rPr>
          <w:rFonts w:ascii="宋体" w:hAnsi="宋体" w:eastAsia="宋体" w:cs="宋体"/>
          <w:sz w:val="28"/>
          <w:szCs w:val="28"/>
        </w:rPr>
      </w:pPr>
      <w:bookmarkStart w:id="13" w:name="bookmark14"/>
      <w:bookmarkEnd w:id="13"/>
      <w:bookmarkStart w:id="14" w:name="bookmark15"/>
      <w:bookmarkEnd w:id="14"/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5.1</w:t>
      </w:r>
      <w:r>
        <w:rPr>
          <w:rFonts w:ascii="Calibri" w:hAnsi="Calibri" w:eastAsia="Calibri" w:cs="Calibri"/>
          <w:b/>
          <w:bCs/>
          <w:spacing w:val="14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项目验收自评与总结</w:t>
      </w:r>
    </w:p>
    <w:p w14:paraId="1CFD64E7">
      <w:pPr>
        <w:spacing w:before="263" w:line="289" w:lineRule="auto"/>
        <w:ind w:left="10" w:right="13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5.1.1 为了解项目全过程的工作情况、出现的问题、经验教训以及</w:t>
      </w:r>
      <w:r>
        <w:rPr>
          <w:rFonts w:ascii="宋体" w:hAnsi="宋体" w:eastAsia="宋体" w:cs="宋体"/>
          <w:spacing w:val="-3"/>
          <w:sz w:val="24"/>
          <w:szCs w:val="24"/>
        </w:rPr>
        <w:t>自我评价，公司规</w:t>
      </w:r>
      <w:r>
        <w:rPr>
          <w:rFonts w:ascii="宋体" w:hAnsi="宋体" w:eastAsia="宋体" w:cs="宋体"/>
          <w:spacing w:val="-1"/>
          <w:sz w:val="24"/>
          <w:szCs w:val="24"/>
        </w:rPr>
        <w:t>定在项目结束后应进行项目总结，为项目验收和评估做准备。</w:t>
      </w:r>
    </w:p>
    <w:p w14:paraId="16BF7AE7">
      <w:pPr>
        <w:spacing w:before="183" w:line="289" w:lineRule="auto"/>
        <w:ind w:left="10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5.1.2 收集整理项目的文档和经验教训，运维部经理要对所有文档进行归类和整理，</w:t>
      </w:r>
      <w:r>
        <w:rPr>
          <w:rFonts w:ascii="宋体" w:hAnsi="宋体" w:eastAsia="宋体" w:cs="宋体"/>
          <w:spacing w:val="-1"/>
          <w:sz w:val="24"/>
          <w:szCs w:val="24"/>
        </w:rPr>
        <w:t>并给出具体的文档模版并加以指导和要求。项目验收材料包括不限于：</w:t>
      </w:r>
    </w:p>
    <w:p w14:paraId="3A379C2A">
      <w:pPr>
        <w:spacing w:before="172" w:line="239" w:lineRule="auto"/>
        <w:ind w:left="490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宋体" w:hAnsi="宋体" w:eastAsia="宋体" w:cs="宋体"/>
          <w:spacing w:val="-1"/>
          <w:sz w:val="24"/>
          <w:szCs w:val="24"/>
        </w:rPr>
        <w:t>项目基础材料：合同、SLA；招标文件、投标文件、监理文件（若有）。</w:t>
      </w:r>
    </w:p>
    <w:p w14:paraId="056B775C">
      <w:pPr>
        <w:spacing w:before="154" w:line="293" w:lineRule="auto"/>
        <w:ind w:left="5" w:right="13" w:firstLine="485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Wingdings" w:hAnsi="Wingdings" w:eastAsia="Wingdings" w:cs="Wingdings"/>
          <w:spacing w:val="-10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项目实施材料：项目设计文档（运维服务</w:t>
      </w:r>
      <w:r>
        <w:rPr>
          <w:rFonts w:ascii="宋体" w:hAnsi="宋体" w:eastAsia="宋体" w:cs="宋体"/>
          <w:spacing w:val="-2"/>
          <w:sz w:val="24"/>
          <w:szCs w:val="24"/>
        </w:rPr>
        <w:t>实施方案</w:t>
      </w:r>
      <w:r>
        <w:rPr>
          <w:rFonts w:ascii="宋体" w:hAnsi="宋体" w:eastAsia="宋体" w:cs="宋体"/>
          <w:spacing w:val="5"/>
          <w:sz w:val="24"/>
          <w:szCs w:val="24"/>
        </w:rPr>
        <w:t>）；</w:t>
      </w:r>
      <w:r>
        <w:rPr>
          <w:rFonts w:ascii="宋体" w:hAnsi="宋体" w:eastAsia="宋体" w:cs="宋体"/>
          <w:spacing w:val="-2"/>
          <w:sz w:val="24"/>
          <w:szCs w:val="24"/>
        </w:rPr>
        <w:t>项目实施的服务记录（月/</w:t>
      </w:r>
      <w:r>
        <w:rPr>
          <w:rFonts w:ascii="宋体" w:hAnsi="宋体" w:eastAsia="宋体" w:cs="宋体"/>
          <w:spacing w:val="-1"/>
          <w:sz w:val="24"/>
          <w:szCs w:val="24"/>
        </w:rPr>
        <w:t>季/年度服务报告、质量报告、其他合同要求的交付服务文档等</w:t>
      </w:r>
      <w:r>
        <w:rPr>
          <w:rFonts w:ascii="宋体" w:hAnsi="宋体" w:eastAsia="宋体" w:cs="宋体"/>
          <w:spacing w:val="11"/>
          <w:sz w:val="24"/>
          <w:szCs w:val="24"/>
        </w:rPr>
        <w:t>）；</w:t>
      </w:r>
      <w:r>
        <w:rPr>
          <w:rFonts w:ascii="宋体" w:hAnsi="宋体" w:eastAsia="宋体" w:cs="宋体"/>
          <w:spacing w:val="-1"/>
          <w:sz w:val="24"/>
          <w:szCs w:val="24"/>
        </w:rPr>
        <w:t>用户使用意见。</w:t>
      </w:r>
    </w:p>
    <w:p w14:paraId="4895FA8E">
      <w:pPr>
        <w:spacing w:before="171" w:line="316" w:lineRule="auto"/>
        <w:ind w:left="3" w:right="13" w:firstLine="486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Wingdings" w:hAnsi="Wingdings" w:eastAsia="Wingdings" w:cs="Wingdings"/>
          <w:spacing w:val="-10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项目管理材料：运维服务保障制度或流程；人员管理制度；服务交付规范；工具</w:t>
      </w:r>
      <w:r>
        <w:rPr>
          <w:rFonts w:ascii="宋体" w:hAnsi="宋体" w:eastAsia="宋体" w:cs="宋体"/>
          <w:spacing w:val="-2"/>
          <w:sz w:val="24"/>
          <w:szCs w:val="24"/>
        </w:rPr>
        <w:t>操作手册；绩效考核制度等，管理材料如属于通用稳当，可以对文件目录、编号</w:t>
      </w:r>
      <w:r>
        <w:rPr>
          <w:rFonts w:ascii="宋体" w:hAnsi="宋体" w:eastAsia="宋体" w:cs="宋体"/>
          <w:spacing w:val="-3"/>
          <w:sz w:val="24"/>
          <w:szCs w:val="24"/>
        </w:rPr>
        <w:t>等进行引</w:t>
      </w:r>
      <w:r>
        <w:rPr>
          <w:rFonts w:ascii="宋体" w:hAnsi="宋体" w:eastAsia="宋体" w:cs="宋体"/>
          <w:spacing w:val="-1"/>
          <w:sz w:val="24"/>
          <w:szCs w:val="24"/>
        </w:rPr>
        <w:t>用，无需整个文档单独打印成册。</w:t>
      </w:r>
    </w:p>
    <w:p w14:paraId="43301B65">
      <w:pPr>
        <w:spacing w:before="171" w:line="238" w:lineRule="auto"/>
        <w:ind w:left="490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Wingdings" w:hAnsi="Wingdings" w:eastAsia="Wingdings" w:cs="Wingdings"/>
          <w:spacing w:val="-10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项目验收管理：验收申请；验收报告；服务管理与</w:t>
      </w:r>
      <w:r>
        <w:rPr>
          <w:rFonts w:ascii="宋体" w:hAnsi="宋体" w:eastAsia="宋体" w:cs="宋体"/>
          <w:spacing w:val="-2"/>
          <w:sz w:val="24"/>
          <w:szCs w:val="24"/>
        </w:rPr>
        <w:t>总结报告等。</w:t>
      </w:r>
    </w:p>
    <w:p w14:paraId="67165375">
      <w:pPr>
        <w:spacing w:before="167" w:line="219" w:lineRule="auto"/>
        <w:ind w:left="48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5.1.3 准备项目总结会议的讨论稿，要注意</w:t>
      </w:r>
      <w:r>
        <w:rPr>
          <w:rFonts w:ascii="宋体" w:hAnsi="宋体" w:eastAsia="宋体" w:cs="宋体"/>
          <w:spacing w:val="-1"/>
          <w:sz w:val="24"/>
          <w:szCs w:val="24"/>
        </w:rPr>
        <w:t>列出项目执行过程中的优点和缺点。</w:t>
      </w:r>
    </w:p>
    <w:p w14:paraId="5D216AE8">
      <w:pPr>
        <w:spacing w:before="184" w:line="288" w:lineRule="auto"/>
        <w:ind w:left="3" w:right="13"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5.1.4 召开项目总结会，研发部通报项目完成情况、计划完成率、遗留问题、</w:t>
      </w:r>
      <w:r>
        <w:rPr>
          <w:rFonts w:ascii="宋体" w:hAnsi="宋体" w:eastAsia="宋体" w:cs="宋体"/>
          <w:spacing w:val="6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自我评价、意见和建议等；总结会对项目质量目标完成情况进行检查，查看客户满意</w:t>
      </w:r>
      <w:r>
        <w:rPr>
          <w:rFonts w:ascii="宋体" w:hAnsi="宋体" w:eastAsia="宋体" w:cs="宋体"/>
          <w:spacing w:val="-3"/>
          <w:sz w:val="24"/>
          <w:szCs w:val="24"/>
        </w:rPr>
        <w:t>度、系统</w:t>
      </w:r>
    </w:p>
    <w:p w14:paraId="59091E42">
      <w:pPr>
        <w:spacing w:line="288" w:lineRule="auto"/>
        <w:rPr>
          <w:rFonts w:ascii="宋体" w:hAnsi="宋体" w:eastAsia="宋体" w:cs="宋体"/>
          <w:sz w:val="24"/>
          <w:szCs w:val="24"/>
        </w:rPr>
        <w:sectPr>
          <w:pgSz w:w="11910" w:h="16840"/>
          <w:pgMar w:top="1385" w:right="1307" w:bottom="0" w:left="1305" w:header="0" w:footer="0" w:gutter="0"/>
          <w:cols w:space="720" w:num="1"/>
        </w:sectPr>
      </w:pPr>
    </w:p>
    <w:p w14:paraId="50F8D64A">
      <w:pPr>
        <w:spacing w:before="48" w:line="360" w:lineRule="auto"/>
        <w:ind w:left="4" w:hanging="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事故、系统可靠性及安全性等指标是否达到指标要求；并根据验收材料，分析</w:t>
      </w:r>
      <w:r>
        <w:rPr>
          <w:rFonts w:ascii="宋体" w:hAnsi="宋体" w:eastAsia="宋体" w:cs="宋体"/>
          <w:spacing w:val="-3"/>
          <w:sz w:val="24"/>
          <w:szCs w:val="24"/>
        </w:rPr>
        <w:t>总结公司当</w:t>
      </w:r>
      <w:r>
        <w:rPr>
          <w:rFonts w:ascii="宋体" w:hAnsi="宋体" w:eastAsia="宋体" w:cs="宋体"/>
          <w:spacing w:val="-2"/>
          <w:sz w:val="24"/>
          <w:szCs w:val="24"/>
        </w:rPr>
        <w:t>前运维服务水平。</w:t>
      </w:r>
    </w:p>
    <w:p w14:paraId="601AA028">
      <w:pPr>
        <w:spacing w:before="242" w:line="220" w:lineRule="auto"/>
        <w:ind w:left="5"/>
        <w:outlineLvl w:val="1"/>
        <w:rPr>
          <w:rFonts w:ascii="宋体" w:hAnsi="宋体" w:eastAsia="宋体" w:cs="宋体"/>
          <w:sz w:val="28"/>
          <w:szCs w:val="28"/>
        </w:rPr>
      </w:pPr>
      <w:bookmarkStart w:id="15" w:name="bookmark17"/>
      <w:bookmarkEnd w:id="15"/>
      <w:bookmarkStart w:id="16" w:name="bookmark16"/>
      <w:bookmarkEnd w:id="16"/>
      <w:bookmarkStart w:id="17" w:name="bookmark3"/>
      <w:bookmarkEnd w:id="17"/>
      <w:r>
        <w:rPr>
          <w:rFonts w:ascii="Calibri" w:hAnsi="Calibri" w:eastAsia="Calibri" w:cs="Calibri"/>
          <w:b/>
          <w:bCs/>
          <w:spacing w:val="-5"/>
          <w:sz w:val="28"/>
          <w:szCs w:val="28"/>
        </w:rPr>
        <w:t>5.2</w:t>
      </w:r>
      <w:r>
        <w:rPr>
          <w:rFonts w:ascii="Calibri" w:hAnsi="Calibri" w:eastAsia="Calibri" w:cs="Calibri"/>
          <w:b/>
          <w:bCs/>
          <w:spacing w:val="16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28"/>
          <w:szCs w:val="28"/>
        </w:rPr>
        <w:t>项目验收申请</w:t>
      </w:r>
    </w:p>
    <w:p w14:paraId="27910AB5">
      <w:pPr>
        <w:spacing w:before="264" w:line="360" w:lineRule="auto"/>
        <w:ind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项目验收包含验收项目文档以及与客户约定的交</w:t>
      </w:r>
      <w:r>
        <w:rPr>
          <w:rFonts w:ascii="宋体" w:hAnsi="宋体" w:eastAsia="宋体" w:cs="宋体"/>
          <w:spacing w:val="-1"/>
          <w:sz w:val="24"/>
          <w:szCs w:val="24"/>
        </w:rPr>
        <w:t>付成果，向客户方提出项目验收申</w:t>
      </w:r>
      <w:r>
        <w:rPr>
          <w:rFonts w:ascii="宋体" w:hAnsi="宋体" w:eastAsia="宋体" w:cs="宋体"/>
          <w:spacing w:val="-2"/>
          <w:sz w:val="24"/>
          <w:szCs w:val="24"/>
        </w:rPr>
        <w:t>请。由客户方确认验收时间、地点和相关验收细节后，我方按客户方要求或是由客</w:t>
      </w:r>
      <w:r>
        <w:rPr>
          <w:rFonts w:ascii="宋体" w:hAnsi="宋体" w:eastAsia="宋体" w:cs="宋体"/>
          <w:spacing w:val="-3"/>
          <w:sz w:val="24"/>
          <w:szCs w:val="24"/>
        </w:rPr>
        <w:t>户组织验收。</w:t>
      </w:r>
    </w:p>
    <w:p w14:paraId="797E1B75">
      <w:pPr>
        <w:spacing w:before="241" w:line="220" w:lineRule="auto"/>
        <w:ind w:left="5"/>
        <w:outlineLvl w:val="1"/>
        <w:rPr>
          <w:rFonts w:ascii="宋体" w:hAnsi="宋体" w:eastAsia="宋体" w:cs="宋体"/>
          <w:sz w:val="28"/>
          <w:szCs w:val="28"/>
        </w:rPr>
      </w:pPr>
      <w:bookmarkStart w:id="18" w:name="bookmark19"/>
      <w:bookmarkEnd w:id="18"/>
      <w:bookmarkStart w:id="19" w:name="bookmark18"/>
      <w:bookmarkEnd w:id="19"/>
      <w:bookmarkStart w:id="20" w:name="bookmark3"/>
      <w:bookmarkEnd w:id="20"/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5.3</w:t>
      </w:r>
      <w:r>
        <w:rPr>
          <w:rFonts w:ascii="Calibri" w:hAnsi="Calibri" w:eastAsia="Calibri" w:cs="Calibri"/>
          <w:b/>
          <w:bCs/>
          <w:spacing w:val="14"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项目验收考核和移交</w:t>
      </w:r>
    </w:p>
    <w:p w14:paraId="48A67FD4">
      <w:pPr>
        <w:spacing w:before="265" w:line="312" w:lineRule="auto"/>
        <w:ind w:left="2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5.3.1 项目组和客户共同完成项目所有交付成果的检验。我方提交</w:t>
      </w:r>
      <w:r>
        <w:rPr>
          <w:rFonts w:ascii="宋体" w:hAnsi="宋体" w:eastAsia="宋体" w:cs="宋体"/>
          <w:spacing w:val="-3"/>
          <w:sz w:val="24"/>
          <w:szCs w:val="24"/>
        </w:rPr>
        <w:t>项目验收材料，由</w:t>
      </w:r>
      <w:r>
        <w:rPr>
          <w:rFonts w:ascii="宋体" w:hAnsi="宋体" w:eastAsia="宋体" w:cs="宋体"/>
          <w:spacing w:val="-2"/>
          <w:sz w:val="24"/>
          <w:szCs w:val="24"/>
        </w:rPr>
        <w:t>客户或由客户邀请的专家组（如有）根据验收考核条款，进行项目质询和认</w:t>
      </w:r>
      <w:r>
        <w:rPr>
          <w:rFonts w:ascii="宋体" w:hAnsi="宋体" w:eastAsia="宋体" w:cs="宋体"/>
          <w:spacing w:val="-3"/>
          <w:sz w:val="24"/>
          <w:szCs w:val="24"/>
        </w:rPr>
        <w:t>可，最终由客</w:t>
      </w:r>
      <w:r>
        <w:rPr>
          <w:rFonts w:ascii="宋体" w:hAnsi="宋体" w:eastAsia="宋体" w:cs="宋体"/>
          <w:spacing w:val="-1"/>
          <w:sz w:val="24"/>
          <w:szCs w:val="24"/>
        </w:rPr>
        <w:t>户和专家组成员出具验收意见，并签字确认验收。</w:t>
      </w:r>
    </w:p>
    <w:p w14:paraId="7469B31A">
      <w:pPr>
        <w:spacing w:before="181" w:line="219" w:lineRule="auto"/>
        <w:ind w:left="48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5.3.2 项目验收后，项目组向客户移交项目所有交付成果。</w:t>
      </w:r>
    </w:p>
    <w:sectPr>
      <w:pgSz w:w="11910" w:h="16840"/>
      <w:pgMar w:top="1148" w:right="1321" w:bottom="0" w:left="130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EBB21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1005</Words>
  <Characters>1078</Characters>
  <TotalTime>0</TotalTime>
  <ScaleCrop>false</ScaleCrop>
  <LinksUpToDate>false</LinksUpToDate>
  <CharactersWithSpaces>1154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2025-08-18T18:12:00Z</dcterms:created>
  <dc:creator>项目助理-胡舒帆</dc:creator>
  <cp:lastModifiedBy>郝宇</cp:lastModifiedBy>
  <dcterms:modified xsi:type="dcterms:W3CDTF">2025-08-23T19:34:42Z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2025-08-21T00:20:40Z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C14D80ACC10E4A41837CDC37A38AE617_12</vt:lpwstr>
  </property>
</Properties>
</file>