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2"/>
      </w:pPr>
    </w:p>
    <w:p w14:paraId="587ACE5C">
      <w:pPr>
        <w:pStyle w:val="2"/>
      </w:pPr>
    </w:p>
    <w:p w14:paraId="7F92A9B9">
      <w:pPr>
        <w:pStyle w:val="2"/>
      </w:pPr>
    </w:p>
    <w:p w14:paraId="27A4720F">
      <w:pPr>
        <w:pStyle w:val="2"/>
      </w:pPr>
    </w:p>
    <w:p w14:paraId="2B073100">
      <w:pPr>
        <w:pStyle w:val="2"/>
      </w:pPr>
    </w:p>
    <w:p w14:paraId="329E3C21">
      <w:pPr>
        <w:pStyle w:val="2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</w:p>
    <w:p w14:paraId="3D8B1896">
      <w:pPr>
        <w:pStyle w:val="2"/>
        <w:spacing w:line="254" w:lineRule="auto"/>
      </w:pPr>
    </w:p>
    <w:p w14:paraId="5C8C45FF">
      <w:pPr>
        <w:pStyle w:val="2"/>
        <w:spacing w:line="254" w:lineRule="auto"/>
      </w:pPr>
    </w:p>
    <w:p w14:paraId="419A02CE">
      <w:pPr>
        <w:pStyle w:val="2"/>
        <w:spacing w:line="254" w:lineRule="auto"/>
      </w:pPr>
    </w:p>
    <w:p w14:paraId="36A11A54">
      <w:pPr>
        <w:pStyle w:val="2"/>
        <w:spacing w:line="254" w:lineRule="auto"/>
      </w:pPr>
    </w:p>
    <w:p w14:paraId="1D301ED9">
      <w:pPr>
        <w:pStyle w:val="2"/>
        <w:spacing w:line="254" w:lineRule="auto"/>
      </w:pPr>
    </w:p>
    <w:p w14:paraId="308E332F">
      <w:pPr>
        <w:pStyle w:val="2"/>
        <w:spacing w:line="254" w:lineRule="auto"/>
      </w:pPr>
    </w:p>
    <w:p w14:paraId="047E9946">
      <w:pPr>
        <w:pStyle w:val="2"/>
        <w:spacing w:line="254" w:lineRule="auto"/>
      </w:pPr>
    </w:p>
    <w:p w14:paraId="09D93B2D">
      <w:pPr>
        <w:pStyle w:val="2"/>
        <w:spacing w:line="254" w:lineRule="auto"/>
      </w:pPr>
    </w:p>
    <w:p w14:paraId="17483B42">
      <w:pPr>
        <w:pStyle w:val="2"/>
        <w:spacing w:line="254" w:lineRule="auto"/>
      </w:pPr>
    </w:p>
    <w:p w14:paraId="72FAF695">
      <w:pPr>
        <w:pStyle w:val="2"/>
        <w:spacing w:line="254" w:lineRule="auto"/>
      </w:pPr>
    </w:p>
    <w:p w14:paraId="508893A8">
      <w:pPr>
        <w:pStyle w:val="2"/>
        <w:spacing w:line="254" w:lineRule="auto"/>
      </w:pPr>
    </w:p>
    <w:p w14:paraId="533C5F12">
      <w:pPr>
        <w:pStyle w:val="2"/>
        <w:spacing w:line="254" w:lineRule="auto"/>
      </w:pPr>
    </w:p>
    <w:p w14:paraId="7EA3F2C7">
      <w:pPr>
        <w:pStyle w:val="2"/>
        <w:spacing w:line="254" w:lineRule="auto"/>
      </w:pPr>
    </w:p>
    <w:p w14:paraId="5B3D520D">
      <w:pPr>
        <w:pStyle w:val="2"/>
        <w:spacing w:line="254" w:lineRule="auto"/>
      </w:pPr>
    </w:p>
    <w:p w14:paraId="77A96C1C">
      <w:pPr>
        <w:pStyle w:val="2"/>
        <w:spacing w:line="254" w:lineRule="auto"/>
      </w:pPr>
    </w:p>
    <w:p w14:paraId="34D0FC23">
      <w:pPr>
        <w:pStyle w:val="2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2"/>
        <w:spacing w:line="244" w:lineRule="auto"/>
      </w:pPr>
    </w:p>
    <w:p w14:paraId="7AC2B3FC">
      <w:pPr>
        <w:pStyle w:val="2"/>
        <w:spacing w:line="244" w:lineRule="auto"/>
      </w:pPr>
    </w:p>
    <w:p w14:paraId="64AE12BA">
      <w:pPr>
        <w:pStyle w:val="2"/>
        <w:spacing w:line="244" w:lineRule="auto"/>
      </w:pPr>
    </w:p>
    <w:p w14:paraId="573156DE">
      <w:pPr>
        <w:pStyle w:val="2"/>
        <w:spacing w:line="244" w:lineRule="auto"/>
      </w:pPr>
    </w:p>
    <w:p w14:paraId="16A2EBD8">
      <w:pPr>
        <w:pStyle w:val="2"/>
        <w:spacing w:line="245" w:lineRule="auto"/>
      </w:pPr>
    </w:p>
    <w:p w14:paraId="069708C3">
      <w:pPr>
        <w:pStyle w:val="2"/>
        <w:spacing w:line="245" w:lineRule="auto"/>
      </w:pPr>
    </w:p>
    <w:p w14:paraId="127C2105">
      <w:pPr>
        <w:pStyle w:val="2"/>
        <w:spacing w:line="245" w:lineRule="auto"/>
      </w:pPr>
    </w:p>
    <w:p w14:paraId="7FC1EB9E">
      <w:pPr>
        <w:pStyle w:val="2"/>
        <w:spacing w:line="245" w:lineRule="auto"/>
      </w:pPr>
    </w:p>
    <w:p w14:paraId="1F0F6E8C">
      <w:pPr>
        <w:pStyle w:val="2"/>
        <w:spacing w:line="245" w:lineRule="auto"/>
      </w:pPr>
    </w:p>
    <w:p w14:paraId="302BF74C">
      <w:pPr>
        <w:pStyle w:val="2"/>
        <w:spacing w:line="245" w:lineRule="auto"/>
      </w:pPr>
    </w:p>
    <w:p w14:paraId="5C9EB499">
      <w:pPr>
        <w:pStyle w:val="2"/>
        <w:spacing w:line="245" w:lineRule="auto"/>
      </w:pPr>
    </w:p>
    <w:p w14:paraId="171AA798">
      <w:pPr>
        <w:pStyle w:val="2"/>
        <w:spacing w:line="245" w:lineRule="auto"/>
      </w:pPr>
    </w:p>
    <w:p w14:paraId="42095E8F">
      <w:pPr>
        <w:pStyle w:val="2"/>
        <w:spacing w:line="245" w:lineRule="auto"/>
      </w:pPr>
    </w:p>
    <w:p w14:paraId="726D4F5C">
      <w:pPr>
        <w:pStyle w:val="2"/>
        <w:spacing w:line="245" w:lineRule="auto"/>
      </w:pPr>
    </w:p>
    <w:p w14:paraId="45DD47B9">
      <w:pPr>
        <w:pStyle w:val="2"/>
        <w:spacing w:line="245" w:lineRule="auto"/>
      </w:pPr>
    </w:p>
    <w:p w14:paraId="014AF883">
      <w:pPr>
        <w:pStyle w:val="2"/>
        <w:spacing w:line="245" w:lineRule="auto"/>
      </w:pPr>
    </w:p>
    <w:p w14:paraId="0B0E9BB1">
      <w:pPr>
        <w:pStyle w:val="2"/>
        <w:spacing w:line="245" w:lineRule="auto"/>
      </w:pPr>
    </w:p>
    <w:p w14:paraId="5D1DF621">
      <w:pPr>
        <w:pStyle w:val="2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2446675">
      <w:pPr>
        <w:spacing w:line="117" w:lineRule="exact"/>
      </w:pPr>
    </w:p>
    <w:tbl>
      <w:tblPr>
        <w:tblStyle w:val="5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6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6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6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6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6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6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6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6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6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6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6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6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6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6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6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6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6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6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6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6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6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6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6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6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6"/>
            </w:pPr>
          </w:p>
        </w:tc>
      </w:tr>
    </w:tbl>
    <w:p w14:paraId="09FD32E8">
      <w:pPr>
        <w:pStyle w:val="2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p w14:paraId="61748F8B">
      <w:pPr>
        <w:pStyle w:val="2"/>
        <w:spacing w:line="250" w:lineRule="auto"/>
      </w:pPr>
    </w:p>
    <w:p w14:paraId="7D43FBAE">
      <w:pPr>
        <w:pStyle w:val="2"/>
        <w:spacing w:line="250" w:lineRule="auto"/>
      </w:pPr>
    </w:p>
    <w:p w14:paraId="04DDEC7E">
      <w:pPr>
        <w:pStyle w:val="2"/>
        <w:spacing w:line="251" w:lineRule="auto"/>
      </w:pPr>
    </w:p>
    <w:p w14:paraId="64BEE16F">
      <w:pPr>
        <w:pStyle w:val="2"/>
        <w:spacing w:line="251" w:lineRule="auto"/>
      </w:pPr>
    </w:p>
    <w:p w14:paraId="22F23317">
      <w:pPr>
        <w:pStyle w:val="2"/>
        <w:spacing w:line="251" w:lineRule="auto"/>
      </w:pPr>
    </w:p>
    <w:p w14:paraId="615B92A9">
      <w:pPr>
        <w:pStyle w:val="2"/>
        <w:spacing w:line="251" w:lineRule="auto"/>
      </w:pPr>
    </w:p>
    <w:p w14:paraId="644954BC">
      <w:pPr>
        <w:pStyle w:val="2"/>
        <w:spacing w:line="251" w:lineRule="auto"/>
      </w:pPr>
    </w:p>
    <w:p w14:paraId="6E713B60">
      <w:pPr>
        <w:pStyle w:val="2"/>
        <w:spacing w:line="251" w:lineRule="auto"/>
      </w:pPr>
    </w:p>
    <w:sdt>
      <w:sdtPr>
        <w:rPr>
          <w:rFonts w:ascii="宋体" w:hAnsi="宋体" w:eastAsia="宋体" w:cs="宋体"/>
          <w:sz w:val="21"/>
          <w:szCs w:val="21"/>
        </w:rPr>
        <w:id w:val="14747756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16EF9E48">
          <w:pPr>
            <w:spacing w:before="69" w:line="222" w:lineRule="auto"/>
            <w:ind w:left="3971"/>
            <w:rPr>
              <w:rFonts w:ascii="宋体" w:hAnsi="宋体" w:eastAsia="宋体" w:cs="宋体"/>
              <w:sz w:val="21"/>
              <w:szCs w:val="2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目</w:t>
          </w:r>
          <w:r>
            <w:rPr>
              <w:rFonts w:ascii="宋体" w:hAnsi="宋体" w:eastAsia="宋体" w:cs="宋体"/>
              <w:spacing w:val="9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录</w:t>
          </w:r>
        </w:p>
        <w:p w14:paraId="10AE801D">
          <w:pPr>
            <w:tabs>
              <w:tab w:val="right" w:leader="dot" w:pos="8330"/>
            </w:tabs>
            <w:spacing w:before="203" w:line="222" w:lineRule="auto"/>
            <w:ind w:left="40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1"/>
              <w:szCs w:val="21"/>
            </w:rPr>
            <w:t>一、目的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D369BC3">
          <w:pPr>
            <w:tabs>
              <w:tab w:val="right" w:leader="dot" w:pos="8330"/>
            </w:tabs>
            <w:spacing w:before="179" w:line="220" w:lineRule="auto"/>
            <w:ind w:left="40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二、适用范围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40EE120">
          <w:pPr>
            <w:tabs>
              <w:tab w:val="right" w:leader="dot" w:pos="8330"/>
            </w:tabs>
            <w:spacing w:before="181" w:line="221" w:lineRule="auto"/>
            <w:ind w:left="3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三、职责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1D20897C">
          <w:pPr>
            <w:tabs>
              <w:tab w:val="right" w:leader="dot" w:pos="8330"/>
            </w:tabs>
            <w:spacing w:before="181" w:line="219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1.质量中心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61092DC3">
          <w:pPr>
            <w:tabs>
              <w:tab w:val="right" w:leader="dot" w:pos="8330"/>
            </w:tabs>
            <w:spacing w:before="62" w:line="219" w:lineRule="auto"/>
            <w:ind w:left="249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2.其他相关部门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E622939">
          <w:pPr>
            <w:tabs>
              <w:tab w:val="right" w:leader="dot" w:pos="8330"/>
            </w:tabs>
            <w:spacing w:before="63" w:line="219" w:lineRule="auto"/>
            <w:ind w:left="25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3.工作程序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23784BBC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3.1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审核的频次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58"/>
              <w:sz w:val="22"/>
              <w:szCs w:val="22"/>
            </w:rPr>
            <w:t>2</w:t>
          </w:r>
        </w:p>
        <w:p w14:paraId="2738C604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3.2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审核的策划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58"/>
              <w:sz w:val="22"/>
              <w:szCs w:val="22"/>
            </w:rPr>
            <w:t>2</w:t>
          </w:r>
        </w:p>
        <w:p w14:paraId="63E60750">
          <w:pPr>
            <w:tabs>
              <w:tab w:val="right" w:leader="dot" w:pos="8365"/>
            </w:tabs>
            <w:spacing w:before="61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3"/>
              <w:sz w:val="22"/>
              <w:szCs w:val="22"/>
            </w:rPr>
            <w:t>3.3</w:t>
          </w:r>
          <w:r>
            <w:rPr>
              <w:rFonts w:ascii="宋体" w:hAnsi="宋体" w:eastAsia="宋体" w:cs="宋体"/>
              <w:spacing w:val="-3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3"/>
              <w:sz w:val="22"/>
              <w:szCs w:val="22"/>
            </w:rPr>
            <w:t>审核组</w:t>
          </w:r>
          <w:r>
            <w:rPr>
              <w:rFonts w:ascii="宋体" w:hAnsi="宋体" w:eastAsia="宋体" w:cs="宋体"/>
              <w:spacing w:val="59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64"/>
              <w:sz w:val="22"/>
              <w:szCs w:val="22"/>
            </w:rPr>
            <w:t>2</w:t>
          </w:r>
        </w:p>
        <w:p w14:paraId="7C8F16E5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3.4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审核的依据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75"/>
              <w:w w:val="150"/>
              <w:sz w:val="22"/>
              <w:szCs w:val="22"/>
            </w:rPr>
            <w:t>3</w:t>
          </w:r>
        </w:p>
        <w:p w14:paraId="6FF6F98C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3.5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审核的计划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75"/>
              <w:w w:val="150"/>
              <w:sz w:val="22"/>
              <w:szCs w:val="22"/>
            </w:rPr>
            <w:t>3</w:t>
          </w:r>
        </w:p>
        <w:p w14:paraId="5A0414CA">
          <w:pPr>
            <w:tabs>
              <w:tab w:val="right" w:leader="dot" w:pos="8330"/>
            </w:tabs>
            <w:spacing w:before="63" w:line="219" w:lineRule="auto"/>
            <w:ind w:left="24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4.审核的准备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31DBEC0B">
          <w:pPr>
            <w:tabs>
              <w:tab w:val="right" w:leader="dot" w:pos="8330"/>
            </w:tabs>
            <w:spacing w:before="63" w:line="219" w:lineRule="auto"/>
            <w:ind w:left="25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5.审核的实施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4E3FFED9">
          <w:pPr>
            <w:tabs>
              <w:tab w:val="right" w:leader="dot" w:pos="8330"/>
            </w:tabs>
            <w:spacing w:before="62" w:line="218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6.不符合项报告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522E07E5">
          <w:pPr>
            <w:tabs>
              <w:tab w:val="right" w:leader="dot" w:pos="8330"/>
            </w:tabs>
            <w:spacing w:before="64" w:line="218" w:lineRule="auto"/>
            <w:ind w:left="25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7.审核报告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50EAA68E">
          <w:pPr>
            <w:tabs>
              <w:tab w:val="right" w:leader="dot" w:pos="8330"/>
            </w:tabs>
            <w:spacing w:before="64" w:line="219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8.总结会议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3C3D4E54">
          <w:pPr>
            <w:tabs>
              <w:tab w:val="right" w:leader="dot" w:pos="8330"/>
            </w:tabs>
            <w:spacing w:before="63" w:line="219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9.服务改进措施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44A18F75">
          <w:pPr>
            <w:tabs>
              <w:tab w:val="right" w:leader="dot" w:pos="8330"/>
            </w:tabs>
            <w:spacing w:before="63" w:line="219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10.跟踪验证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191B57F">
          <w:pPr>
            <w:tabs>
              <w:tab w:val="right" w:leader="dot" w:pos="8330"/>
            </w:tabs>
            <w:spacing w:before="62" w:line="220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11.内审记录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</w:sdtContent>
    </w:sdt>
    <w:p w14:paraId="6A3FD4E4">
      <w:pPr>
        <w:spacing w:line="220" w:lineRule="auto"/>
        <w:rPr>
          <w:rFonts w:ascii="宋体" w:hAnsi="宋体" w:eastAsia="宋体" w:cs="宋体"/>
          <w:sz w:val="21"/>
          <w:szCs w:val="21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0281562B">
      <w:pPr>
        <w:pStyle w:val="2"/>
        <w:spacing w:line="266" w:lineRule="auto"/>
      </w:pPr>
    </w:p>
    <w:p w14:paraId="7BED64D1">
      <w:pPr>
        <w:pStyle w:val="2"/>
        <w:spacing w:line="266" w:lineRule="auto"/>
      </w:pPr>
    </w:p>
    <w:p w14:paraId="312D121E">
      <w:pPr>
        <w:pStyle w:val="2"/>
        <w:spacing w:line="266" w:lineRule="auto"/>
      </w:pPr>
    </w:p>
    <w:p w14:paraId="53781CB4">
      <w:pPr>
        <w:pStyle w:val="2"/>
        <w:spacing w:line="266" w:lineRule="auto"/>
      </w:pPr>
    </w:p>
    <w:p w14:paraId="774E1466">
      <w:pPr>
        <w:pStyle w:val="2"/>
        <w:spacing w:line="266" w:lineRule="auto"/>
      </w:pPr>
    </w:p>
    <w:p w14:paraId="234DC04A">
      <w:pPr>
        <w:pStyle w:val="2"/>
        <w:spacing w:line="266" w:lineRule="auto"/>
      </w:pPr>
    </w:p>
    <w:p w14:paraId="47371A45">
      <w:pPr>
        <w:pStyle w:val="2"/>
        <w:spacing w:line="266" w:lineRule="auto"/>
      </w:pPr>
    </w:p>
    <w:p w14:paraId="55427C37">
      <w:pPr>
        <w:pStyle w:val="2"/>
        <w:spacing w:line="266" w:lineRule="auto"/>
      </w:pPr>
    </w:p>
    <w:p w14:paraId="4298A2A4">
      <w:pPr>
        <w:spacing w:before="130" w:line="222" w:lineRule="auto"/>
        <w:ind w:left="50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15"/>
          <w:sz w:val="40"/>
          <w:szCs w:val="40"/>
        </w:rPr>
        <w:t>一、目的</w:t>
      </w:r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spacing w:line="220" w:lineRule="auto"/>
        <w:ind w:left="50"/>
        <w:outlineLvl w:val="0"/>
        <w:rPr>
          <w:rFonts w:ascii="宋体" w:hAnsi="宋体" w:eastAsia="宋体" w:cs="宋体"/>
          <w:sz w:val="40"/>
          <w:szCs w:val="40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二、适用范围</w:t>
      </w:r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spacing w:before="182" w:line="221" w:lineRule="auto"/>
        <w:ind w:left="44"/>
        <w:outlineLvl w:val="0"/>
        <w:rPr>
          <w:rFonts w:ascii="宋体" w:hAnsi="宋体" w:eastAsia="宋体" w:cs="宋体"/>
          <w:sz w:val="40"/>
          <w:szCs w:val="40"/>
        </w:rPr>
      </w:pPr>
      <w:bookmarkStart w:id="3" w:name="bookmark5"/>
      <w:bookmarkEnd w:id="3"/>
      <w:bookmarkStart w:id="4" w:name="bookmark4"/>
      <w:bookmarkEnd w:id="4"/>
      <w:r>
        <w:rPr>
          <w:rFonts w:ascii="宋体" w:hAnsi="宋体" w:eastAsia="宋体" w:cs="宋体"/>
          <w:b/>
          <w:bCs/>
          <w:spacing w:val="-6"/>
          <w:sz w:val="40"/>
          <w:szCs w:val="40"/>
        </w:rPr>
        <w:t>三、职责</w:t>
      </w:r>
    </w:p>
    <w:p w14:paraId="29F42105">
      <w:pPr>
        <w:spacing w:before="305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5" w:name="bookmark21"/>
      <w:bookmarkEnd w:id="5"/>
      <w:r>
        <w:rPr>
          <w:rFonts w:ascii="宋体" w:hAnsi="宋体" w:eastAsia="宋体" w:cs="宋体"/>
          <w:b/>
          <w:bCs/>
          <w:spacing w:val="-3"/>
          <w:sz w:val="32"/>
          <w:szCs w:val="32"/>
        </w:rPr>
        <w:t>1.质量中心</w:t>
      </w:r>
    </w:p>
    <w:p w14:paraId="4CA57469">
      <w:pPr>
        <w:pStyle w:val="2"/>
        <w:spacing w:line="244" w:lineRule="auto"/>
      </w:pPr>
    </w:p>
    <w:p w14:paraId="029F6E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2)质量中心经理或其他指定人员担任审核组长，负责组织编制内部质量体系审核检查表，并组织内审的实施，负责不符合项的跟踪验证。</w:t>
      </w:r>
    </w:p>
    <w:p w14:paraId="53CBD795">
      <w:pPr>
        <w:spacing w:before="340" w:line="220" w:lineRule="auto"/>
        <w:ind w:left="45"/>
        <w:outlineLvl w:val="1"/>
        <w:rPr>
          <w:rFonts w:ascii="宋体" w:hAnsi="宋体" w:eastAsia="宋体" w:cs="宋体"/>
          <w:sz w:val="32"/>
          <w:szCs w:val="32"/>
        </w:rPr>
      </w:pPr>
      <w:bookmarkStart w:id="6" w:name="bookmark6"/>
      <w:bookmarkEnd w:id="6"/>
      <w:r>
        <w:rPr>
          <w:rFonts w:ascii="宋体" w:hAnsi="宋体" w:eastAsia="宋体" w:cs="宋体"/>
          <w:b/>
          <w:bCs/>
          <w:spacing w:val="-1"/>
          <w:sz w:val="32"/>
          <w:szCs w:val="32"/>
        </w:rPr>
        <w:t>2.其他相关部门</w:t>
      </w:r>
    </w:p>
    <w:p w14:paraId="687A1FBB">
      <w:pPr>
        <w:pStyle w:val="2"/>
        <w:spacing w:line="244" w:lineRule="auto"/>
      </w:pPr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spacing w:before="341" w:line="220" w:lineRule="auto"/>
        <w:ind w:left="47"/>
        <w:outlineLvl w:val="1"/>
      </w:pPr>
      <w:bookmarkStart w:id="7" w:name="bookmark8"/>
      <w:bookmarkEnd w:id="7"/>
      <w:bookmarkStart w:id="8" w:name="bookmark9"/>
      <w:bookmarkEnd w:id="8"/>
      <w:bookmarkStart w:id="9" w:name="bookmark7"/>
      <w:bookmarkEnd w:id="9"/>
      <w:r>
        <w:rPr>
          <w:rFonts w:ascii="宋体" w:hAnsi="宋体" w:eastAsia="宋体" w:cs="宋体"/>
          <w:b/>
          <w:bCs/>
          <w:sz w:val="32"/>
          <w:szCs w:val="32"/>
        </w:rPr>
        <w:t>3.工作程序</w:t>
      </w:r>
    </w:p>
    <w:p w14:paraId="4C504C94">
      <w:pPr>
        <w:spacing w:before="98" w:line="220" w:lineRule="auto"/>
        <w:ind w:left="41"/>
        <w:outlineLvl w:val="2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0" w:name="bookmark22"/>
      <w:bookmarkEnd w:id="10"/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3.1</w:t>
      </w:r>
      <w:r>
        <w:rPr>
          <w:rFonts w:hint="eastAsia" w:ascii="宋体" w:hAnsi="宋体" w:eastAsia="宋体" w:cs="宋体"/>
          <w:b/>
          <w:bCs/>
          <w:spacing w:val="32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审核的频次</w:t>
      </w:r>
    </w:p>
    <w:p w14:paraId="53F003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1)完整的内审时间间隔不超过 1 年。</w:t>
      </w:r>
    </w:p>
    <w:p w14:paraId="57B732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2)需要时经副总批准后，可增加部分或完整质量体系的审核。</w:t>
      </w:r>
    </w:p>
    <w:p w14:paraId="42208F5A">
      <w:pPr>
        <w:spacing w:before="99" w:line="220" w:lineRule="auto"/>
        <w:ind w:left="41"/>
        <w:outlineLvl w:val="2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1" w:name="bookmark23"/>
      <w:bookmarkEnd w:id="11"/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3.2</w:t>
      </w:r>
      <w:r>
        <w:rPr>
          <w:rFonts w:hint="eastAsia" w:ascii="宋体" w:hAnsi="宋体" w:eastAsia="宋体" w:cs="宋体"/>
          <w:b/>
          <w:bCs/>
          <w:spacing w:val="32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审核的策划</w:t>
      </w:r>
    </w:p>
    <w:p w14:paraId="4992CF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2)</w:t>
      </w: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spacing w:before="98" w:line="220" w:lineRule="auto"/>
        <w:ind w:left="41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2" w:name="bookmark10"/>
      <w:bookmarkEnd w:id="12"/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3.3</w:t>
      </w:r>
      <w:r>
        <w:rPr>
          <w:rFonts w:hint="eastAsia" w:ascii="宋体" w:hAnsi="宋体" w:eastAsia="宋体" w:cs="宋体"/>
          <w:b/>
          <w:bCs/>
          <w:spacing w:val="31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审核组</w:t>
      </w:r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</w:t>
      </w:r>
      <w:r>
        <w:rPr>
          <w:rFonts w:ascii="宋体" w:hAnsi="宋体" w:eastAsia="宋体" w:cs="宋体"/>
          <w:spacing w:val="-2"/>
          <w:sz w:val="24"/>
          <w:szCs w:val="24"/>
        </w:rPr>
        <w:t>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1)审核员应是经培训合格的公司内审员。</w:t>
      </w:r>
    </w:p>
    <w:p w14:paraId="747739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3)当本公司的内审能力不足时，可聘请外部专家协助审核。</w:t>
      </w:r>
    </w:p>
    <w:p w14:paraId="0488B4C2">
      <w:pPr>
        <w:spacing w:before="98" w:line="219" w:lineRule="auto"/>
        <w:ind w:left="41"/>
        <w:outlineLvl w:val="2"/>
      </w:pPr>
      <w:bookmarkStart w:id="13" w:name="bookmark11"/>
      <w:bookmarkEnd w:id="13"/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3</w:t>
      </w:r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.4 审核依据</w:t>
      </w:r>
    </w:p>
    <w:p w14:paraId="5C798D76">
      <w:pPr>
        <w:sectPr>
          <w:headerReference r:id="rId7" w:type="default"/>
          <w:footerReference r:id="rId8" w:type="default"/>
          <w:pgSz w:w="11907" w:h="16840"/>
          <w:pgMar w:top="1162" w:right="1744" w:bottom="1359" w:left="1768" w:header="830" w:footer="1199" w:gutter="0"/>
          <w:cols w:equalWidth="0" w:num="1">
            <w:col w:w="8395"/>
          </w:cols>
        </w:sectPr>
      </w:pPr>
    </w:p>
    <w:p w14:paraId="77B27E8E">
      <w:pPr>
        <w:spacing w:before="48" w:line="360" w:lineRule="auto"/>
        <w:ind w:left="35" w:right="5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GB/T28827.1-2022《信息技术服务T28827.2-2012《信息技术服务</w:t>
      </w:r>
    </w:p>
    <w:p w14:paraId="62C30C3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736F2AE">
      <w:pPr>
        <w:spacing w:before="47" w:line="360" w:lineRule="auto"/>
        <w:ind w:right="5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运行维护运行维护</w:t>
      </w:r>
    </w:p>
    <w:p w14:paraId="0B033D9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E58FEB0">
      <w:pPr>
        <w:spacing w:before="46" w:line="290" w:lineRule="auto"/>
        <w:ind w:right="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9"/>
          <w:sz w:val="24"/>
          <w:szCs w:val="24"/>
        </w:rPr>
        <w:t>第</w:t>
      </w:r>
      <w:r>
        <w:rPr>
          <w:rFonts w:ascii="宋体" w:hAnsi="宋体" w:eastAsia="宋体" w:cs="宋体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9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9"/>
          <w:sz w:val="24"/>
          <w:szCs w:val="24"/>
        </w:rPr>
        <w:t>部分：通用要求》、</w:t>
      </w:r>
      <w:r>
        <w:rPr>
          <w:rFonts w:ascii="宋体" w:hAnsi="宋体" w:eastAsia="宋体" w:cs="宋体"/>
          <w:spacing w:val="-18"/>
          <w:sz w:val="24"/>
          <w:szCs w:val="24"/>
        </w:rPr>
        <w:t>第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8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8"/>
          <w:sz w:val="24"/>
          <w:szCs w:val="24"/>
        </w:rPr>
        <w:t>部分：交付规范》、</w:t>
      </w:r>
    </w:p>
    <w:p w14:paraId="3AAAB9AC">
      <w:pPr>
        <w:spacing w:line="290" w:lineRule="auto"/>
        <w:rPr>
          <w:rFonts w:ascii="宋体" w:hAnsi="宋体" w:eastAsia="宋体" w:cs="宋体"/>
          <w:sz w:val="24"/>
          <w:szCs w:val="24"/>
        </w:rPr>
        <w:sectPr>
          <w:type w:val="continuous"/>
          <w:pgSz w:w="11907" w:h="16840"/>
          <w:pgMar w:top="1162" w:right="1744" w:bottom="1359" w:left="1768" w:header="830" w:footer="1199" w:gutter="0"/>
          <w:cols w:equalWidth="0" w:num="3">
            <w:col w:w="4155" w:space="100"/>
            <w:col w:w="1477" w:space="100"/>
            <w:col w:w="2563"/>
          </w:cols>
        </w:sectPr>
      </w:pPr>
    </w:p>
    <w:p w14:paraId="123CE0E1">
      <w:pPr>
        <w:spacing w:line="362" w:lineRule="auto"/>
        <w:ind w:left="51" w:right="112" w:hanging="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GB/T28827.3-2012《信息技术服务  运行维护</w:t>
      </w:r>
      <w:r>
        <w:rPr>
          <w:rFonts w:ascii="宋体" w:hAnsi="宋体" w:eastAsia="宋体" w:cs="宋体"/>
          <w:spacing w:val="29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第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部分：应急响应规范》及</w:t>
      </w:r>
      <w:r>
        <w:rPr>
          <w:rFonts w:ascii="宋体" w:hAnsi="宋体" w:eastAsia="宋体" w:cs="宋体"/>
          <w:spacing w:val="-3"/>
          <w:sz w:val="24"/>
          <w:szCs w:val="24"/>
        </w:rPr>
        <w:t>ITSS.1-2015《信息技术服务 运行维护服务</w:t>
      </w:r>
      <w:r>
        <w:rPr>
          <w:rFonts w:ascii="宋体" w:hAnsi="宋体" w:eastAsia="宋体" w:cs="宋体"/>
          <w:spacing w:val="-4"/>
          <w:sz w:val="24"/>
          <w:szCs w:val="24"/>
        </w:rPr>
        <w:t>能力成熟度模型》。</w:t>
      </w:r>
    </w:p>
    <w:p w14:paraId="57105EEF">
      <w:pPr>
        <w:spacing w:before="303" w:line="220" w:lineRule="auto"/>
        <w:ind w:left="41"/>
        <w:outlineLvl w:val="2"/>
        <w:rPr>
          <w:rFonts w:ascii="宋体" w:hAnsi="宋体" w:eastAsia="宋体" w:cs="宋体"/>
          <w:sz w:val="30"/>
          <w:szCs w:val="30"/>
        </w:rPr>
      </w:pPr>
      <w:bookmarkStart w:id="14" w:name="bookmark12"/>
      <w:bookmarkEnd w:id="14"/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3.5</w:t>
      </w:r>
      <w:r>
        <w:rPr>
          <w:rFonts w:ascii="Times New Roman" w:hAnsi="Times New Roman" w:eastAsia="Times New Roman" w:cs="Times New Roman"/>
          <w:spacing w:val="32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5"/>
          <w:sz w:val="30"/>
          <w:szCs w:val="30"/>
        </w:rPr>
        <w:t>审核的计划</w:t>
      </w:r>
    </w:p>
    <w:p w14:paraId="327E4B55">
      <w:pPr>
        <w:pStyle w:val="2"/>
        <w:spacing w:line="396" w:lineRule="auto"/>
      </w:pPr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spacing w:before="154" w:line="220" w:lineRule="auto"/>
        <w:ind w:left="40"/>
        <w:outlineLvl w:val="1"/>
        <w:rPr>
          <w:rFonts w:ascii="宋体" w:hAnsi="宋体" w:eastAsia="宋体" w:cs="宋体"/>
          <w:sz w:val="32"/>
          <w:szCs w:val="32"/>
        </w:rPr>
      </w:pPr>
      <w:bookmarkStart w:id="15" w:name="bookmark1"/>
      <w:bookmarkEnd w:id="15"/>
      <w:bookmarkStart w:id="16" w:name="bookmark13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4.</w:t>
      </w:r>
      <w:r>
        <w:rPr>
          <w:rFonts w:ascii="宋体" w:hAnsi="宋体" w:eastAsia="宋体" w:cs="宋体"/>
          <w:spacing w:val="-8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审核的准备</w:t>
      </w:r>
    </w:p>
    <w:p w14:paraId="41BCC100">
      <w:pPr>
        <w:pStyle w:val="2"/>
        <w:spacing w:line="242" w:lineRule="auto"/>
      </w:pPr>
    </w:p>
    <w:p w14:paraId="127CD3B1">
      <w:pPr>
        <w:spacing w:before="126" w:line="220" w:lineRule="auto"/>
        <w:ind w:left="4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  <w:bookmarkStart w:id="18" w:name="bookmark14"/>
      <w:bookmarkEnd w:id="18"/>
    </w:p>
    <w:p w14:paraId="7B8A944A">
      <w:pPr>
        <w:spacing w:before="126" w:line="220" w:lineRule="auto"/>
        <w:ind w:left="47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10"/>
          <w:sz w:val="32"/>
          <w:szCs w:val="32"/>
        </w:rPr>
        <w:t>5.</w:t>
      </w:r>
      <w:r>
        <w:rPr>
          <w:rFonts w:ascii="宋体" w:hAnsi="宋体" w:eastAsia="宋体" w:cs="宋体"/>
          <w:spacing w:val="-8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2"/>
          <w:szCs w:val="32"/>
        </w:rPr>
        <w:t>审核的实施</w:t>
      </w:r>
    </w:p>
    <w:p w14:paraId="3F0B74F2">
      <w:pPr>
        <w:pStyle w:val="2"/>
        <w:spacing w:line="244" w:lineRule="auto"/>
      </w:pPr>
    </w:p>
    <w:p w14:paraId="50EE79D4">
      <w:pPr>
        <w:spacing w:before="78" w:line="313" w:lineRule="auto"/>
        <w:ind w:left="461" w:right="241" w:hanging="404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1)    </w:t>
      </w: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spacing w:before="183" w:line="313" w:lineRule="auto"/>
        <w:ind w:left="457" w:right="241" w:hanging="423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2)    </w:t>
      </w: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spacing w:before="171" w:line="316" w:lineRule="auto"/>
        <w:ind w:left="457" w:right="241" w:hanging="4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spacing w:before="173" w:line="220" w:lineRule="auto"/>
        <w:ind w:left="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spacing w:before="183" w:line="293" w:lineRule="auto"/>
        <w:ind w:left="457" w:right="241" w:hanging="4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spacing w:before="184" w:line="313" w:lineRule="auto"/>
        <w:ind w:left="458" w:right="241" w:hanging="420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spacing w:before="183" w:line="289" w:lineRule="auto"/>
        <w:ind w:left="459" w:right="241" w:hanging="427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spacing w:before="174" w:line="325" w:lineRule="auto"/>
        <w:ind w:left="459" w:right="28" w:hanging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spacing w:before="183" w:line="293" w:lineRule="auto"/>
        <w:ind w:left="477" w:right="28" w:hanging="4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spacing w:before="341" w:line="218" w:lineRule="auto"/>
        <w:ind w:left="44"/>
        <w:outlineLvl w:val="1"/>
        <w:rPr>
          <w:rFonts w:ascii="宋体" w:hAnsi="宋体" w:eastAsia="宋体" w:cs="宋体"/>
          <w:sz w:val="32"/>
          <w:szCs w:val="32"/>
        </w:rPr>
      </w:pPr>
      <w:bookmarkStart w:id="19" w:name="bookmark15"/>
      <w:bookmarkEnd w:id="19"/>
      <w:r>
        <w:rPr>
          <w:rFonts w:ascii="宋体" w:hAnsi="宋体" w:eastAsia="宋体" w:cs="宋体"/>
          <w:b/>
          <w:bCs/>
          <w:sz w:val="32"/>
          <w:szCs w:val="32"/>
        </w:rPr>
        <w:t>6.不符合项报告</w:t>
      </w:r>
    </w:p>
    <w:p w14:paraId="3A7DB0BA">
      <w:pPr>
        <w:pStyle w:val="2"/>
        <w:spacing w:line="247" w:lineRule="auto"/>
      </w:pPr>
    </w:p>
    <w:p w14:paraId="1EA9C137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填写的不符合项报告有以下项要求：</w:t>
      </w:r>
    </w:p>
    <w:p w14:paraId="02EEE911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1)   填写的不符合事实陈述要全面、清楚、正确、精练地用文字表达出来。</w:t>
      </w:r>
    </w:p>
    <w:p w14:paraId="685D5DD5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2)   写明判为不合格的理由，为什么判为不合格。</w:t>
      </w:r>
    </w:p>
    <w:p w14:paraId="5003134B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3)   不符合标准或相关文件的哪一条要判断正确。</w:t>
      </w:r>
    </w:p>
    <w:p w14:paraId="36219D46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4)   不符合的类型和程度要在报告中表达清楚。</w:t>
      </w:r>
    </w:p>
    <w:p w14:paraId="6592BFB4">
      <w:pPr>
        <w:pStyle w:val="2"/>
        <w:spacing w:line="245" w:lineRule="auto"/>
      </w:pPr>
    </w:p>
    <w:p w14:paraId="0498DC45">
      <w:pPr>
        <w:spacing w:before="105" w:line="218" w:lineRule="auto"/>
        <w:ind w:left="49"/>
        <w:outlineLvl w:val="1"/>
        <w:rPr>
          <w:rFonts w:ascii="宋体" w:hAnsi="宋体" w:eastAsia="宋体" w:cs="宋体"/>
          <w:sz w:val="32"/>
          <w:szCs w:val="32"/>
        </w:rPr>
      </w:pPr>
      <w:bookmarkStart w:id="20" w:name="bookmark16"/>
      <w:bookmarkEnd w:id="20"/>
      <w:r>
        <w:rPr>
          <w:rFonts w:ascii="宋体" w:hAnsi="宋体" w:eastAsia="宋体" w:cs="宋体"/>
          <w:b/>
          <w:bCs/>
          <w:spacing w:val="-11"/>
          <w:sz w:val="32"/>
          <w:szCs w:val="32"/>
        </w:rPr>
        <w:t>7.</w:t>
      </w:r>
      <w:r>
        <w:rPr>
          <w:rFonts w:ascii="宋体" w:hAnsi="宋体" w:eastAsia="宋体" w:cs="宋体"/>
          <w:spacing w:val="-89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32"/>
          <w:szCs w:val="32"/>
        </w:rPr>
        <w:t>审核报告</w:t>
      </w:r>
    </w:p>
    <w:p w14:paraId="710BDAE3">
      <w:pPr>
        <w:pStyle w:val="2"/>
        <w:spacing w:line="246" w:lineRule="auto"/>
      </w:pPr>
    </w:p>
    <w:p w14:paraId="638C3ED7">
      <w:pPr>
        <w:spacing w:before="78" w:line="362" w:lineRule="auto"/>
        <w:ind w:left="38" w:right="151" w:firstLine="437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spacing w:before="152" w:line="219" w:lineRule="auto"/>
        <w:ind w:left="42"/>
        <w:outlineLvl w:val="1"/>
        <w:rPr>
          <w:rFonts w:ascii="宋体" w:hAnsi="宋体" w:eastAsia="宋体" w:cs="宋体"/>
          <w:sz w:val="32"/>
          <w:szCs w:val="32"/>
        </w:rPr>
      </w:pPr>
      <w:bookmarkStart w:id="21" w:name="bookmark17"/>
      <w:bookmarkEnd w:id="21"/>
      <w:r>
        <w:rPr>
          <w:rFonts w:ascii="宋体" w:hAnsi="宋体" w:eastAsia="宋体" w:cs="宋体"/>
          <w:b/>
          <w:bCs/>
          <w:spacing w:val="1"/>
          <w:sz w:val="32"/>
          <w:szCs w:val="32"/>
        </w:rPr>
        <w:t>8.总结会议</w:t>
      </w:r>
    </w:p>
    <w:p w14:paraId="73C2BD49">
      <w:pPr>
        <w:pStyle w:val="2"/>
        <w:spacing w:line="246" w:lineRule="auto"/>
      </w:pPr>
    </w:p>
    <w:p w14:paraId="587B262B">
      <w:pPr>
        <w:spacing w:before="79" w:line="361" w:lineRule="auto"/>
        <w:ind w:left="39" w:right="61" w:firstLine="43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审核结束，内审管理者代表、质量中心和被审核部门负责人参加由审核组</w:t>
      </w:r>
      <w:r>
        <w:rPr>
          <w:rFonts w:ascii="宋体" w:hAnsi="宋体" w:eastAsia="宋体" w:cs="宋体"/>
          <w:spacing w:val="-4"/>
          <w:sz w:val="24"/>
          <w:szCs w:val="24"/>
        </w:rPr>
        <w:t>长组织召开的总结会议，审核组长宣读《内审报告》和《不符合项报告》，由副</w:t>
      </w:r>
      <w:r>
        <w:rPr>
          <w:rFonts w:ascii="宋体" w:hAnsi="宋体" w:eastAsia="宋体" w:cs="宋体"/>
          <w:sz w:val="24"/>
          <w:szCs w:val="24"/>
        </w:rPr>
        <w:t>总经理及质量中心经理提出要求。会议结束后，将</w:t>
      </w:r>
      <w:r>
        <w:rPr>
          <w:rFonts w:ascii="宋体" w:hAnsi="宋体" w:eastAsia="宋体" w:cs="宋体"/>
          <w:spacing w:val="-1"/>
          <w:sz w:val="24"/>
          <w:szCs w:val="24"/>
        </w:rPr>
        <w:t>《不符合项报告》发至相关</w:t>
      </w:r>
      <w:r>
        <w:rPr>
          <w:rFonts w:ascii="宋体" w:hAnsi="宋体" w:eastAsia="宋体" w:cs="宋体"/>
          <w:spacing w:val="-11"/>
          <w:sz w:val="24"/>
          <w:szCs w:val="24"/>
        </w:rPr>
        <w:t>部门。</w:t>
      </w:r>
    </w:p>
    <w:p w14:paraId="139BBFC2">
      <w:pPr>
        <w:spacing w:before="152" w:line="220" w:lineRule="auto"/>
        <w:ind w:left="42"/>
        <w:outlineLvl w:val="1"/>
        <w:rPr>
          <w:rFonts w:ascii="宋体" w:hAnsi="宋体" w:eastAsia="宋体" w:cs="宋体"/>
          <w:sz w:val="32"/>
          <w:szCs w:val="32"/>
        </w:rPr>
      </w:pPr>
      <w:bookmarkStart w:id="22" w:name="bookmark18"/>
      <w:bookmarkEnd w:id="22"/>
      <w:r>
        <w:rPr>
          <w:rFonts w:ascii="宋体" w:hAnsi="宋体" w:eastAsia="宋体" w:cs="宋体"/>
          <w:b/>
          <w:bCs/>
          <w:sz w:val="32"/>
          <w:szCs w:val="32"/>
        </w:rPr>
        <w:t>9.服务改进措施</w:t>
      </w:r>
    </w:p>
    <w:p w14:paraId="6F1CF2B7">
      <w:pPr>
        <w:pStyle w:val="2"/>
        <w:spacing w:line="246" w:lineRule="auto"/>
      </w:pPr>
    </w:p>
    <w:p w14:paraId="21C943FD">
      <w:pPr>
        <w:spacing w:before="79" w:line="361" w:lineRule="auto"/>
        <w:ind w:left="38" w:right="181" w:firstLine="425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</w:t>
      </w:r>
      <w:r>
        <w:rPr>
          <w:rFonts w:ascii="宋体" w:hAnsi="宋体" w:eastAsia="宋体" w:cs="宋体"/>
          <w:spacing w:val="-1"/>
          <w:sz w:val="24"/>
          <w:szCs w:val="24"/>
        </w:rPr>
        <w:t>人，经签字确认后，要分析</w:t>
      </w:r>
      <w:r>
        <w:rPr>
          <w:rFonts w:ascii="宋体" w:hAnsi="宋体" w:eastAsia="宋体" w:cs="宋体"/>
          <w:sz w:val="24"/>
          <w:szCs w:val="24"/>
        </w:rPr>
        <w:t>产生原因，提出改进措施计划，以及完成改进措施的</w:t>
      </w:r>
      <w:r>
        <w:rPr>
          <w:rFonts w:ascii="宋体" w:hAnsi="宋体" w:eastAsia="宋体" w:cs="宋体"/>
          <w:spacing w:val="-1"/>
          <w:sz w:val="24"/>
          <w:szCs w:val="24"/>
        </w:rPr>
        <w:t>时间，即开始按计划采取</w:t>
      </w:r>
      <w:r>
        <w:rPr>
          <w:rFonts w:ascii="宋体" w:hAnsi="宋体" w:eastAsia="宋体" w:cs="宋体"/>
          <w:spacing w:val="-5"/>
          <w:sz w:val="24"/>
          <w:szCs w:val="24"/>
        </w:rPr>
        <w:t>相应的改进措施。</w:t>
      </w:r>
    </w:p>
    <w:p w14:paraId="0368B66C">
      <w:pPr>
        <w:spacing w:before="154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23" w:name="bookmark19"/>
      <w:bookmarkEnd w:id="23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10.跟踪验证</w:t>
      </w:r>
    </w:p>
    <w:p w14:paraId="2171E833">
      <w:pPr>
        <w:pStyle w:val="2"/>
        <w:spacing w:line="245" w:lineRule="auto"/>
      </w:pPr>
    </w:p>
    <w:p w14:paraId="0ED68C06">
      <w:pPr>
        <w:spacing w:before="78" w:line="361" w:lineRule="auto"/>
        <w:ind w:left="37" w:right="181" w:firstLine="43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审核组对被审核部门采取的改进措施进行跟踪、验证其实施结果，直到措</w:t>
      </w:r>
      <w:r>
        <w:rPr>
          <w:rFonts w:ascii="宋体" w:hAnsi="宋体" w:eastAsia="宋体" w:cs="宋体"/>
          <w:sz w:val="24"/>
          <w:szCs w:val="24"/>
        </w:rPr>
        <w:t>施完全被落实。对验证无效的措施审核组有权责令其重</w:t>
      </w:r>
      <w:r>
        <w:rPr>
          <w:rFonts w:ascii="宋体" w:hAnsi="宋体" w:eastAsia="宋体" w:cs="宋体"/>
          <w:spacing w:val="-1"/>
          <w:sz w:val="24"/>
          <w:szCs w:val="24"/>
        </w:rPr>
        <w:t>新制定改进措施，审核</w:t>
      </w:r>
      <w:r>
        <w:rPr>
          <w:rFonts w:ascii="宋体" w:hAnsi="宋体" w:eastAsia="宋体" w:cs="宋体"/>
          <w:spacing w:val="-6"/>
          <w:sz w:val="24"/>
          <w:szCs w:val="24"/>
        </w:rPr>
        <w:t>组再次验证。</w:t>
      </w:r>
    </w:p>
    <w:p w14:paraId="1C78383F">
      <w:pPr>
        <w:spacing w:before="153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24" w:name="bookmark20"/>
      <w:bookmarkEnd w:id="24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11.内审记录</w:t>
      </w:r>
    </w:p>
    <w:p w14:paraId="0DB6AFCD">
      <w:pPr>
        <w:pStyle w:val="2"/>
        <w:spacing w:line="244" w:lineRule="auto"/>
      </w:pPr>
    </w:p>
    <w:p w14:paraId="2A0B6A70">
      <w:pPr>
        <w:spacing w:before="88" w:line="212" w:lineRule="auto"/>
        <w:ind w:left="901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spacing w:before="88" w:line="212" w:lineRule="auto"/>
        <w:ind w:left="901"/>
        <w:rPr>
          <w:rFonts w:ascii="宋体" w:hAnsi="宋体" w:eastAsia="宋体" w:cs="宋体"/>
          <w:sz w:val="24"/>
          <w:szCs w:val="24"/>
        </w:rPr>
      </w:pPr>
      <w:bookmarkStart w:id="25" w:name="_GoBack"/>
      <w:bookmarkEnd w:id="25"/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spacing w:before="192" w:line="212" w:lineRule="auto"/>
        <w:ind w:left="87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spacing w:before="192" w:line="212" w:lineRule="auto"/>
        <w:ind w:left="883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spacing w:before="192" w:line="212" w:lineRule="auto"/>
        <w:ind w:left="877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9" w:type="default"/>
      <w:footerReference r:id="rId10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5246B0">
    <w:pPr>
      <w:spacing w:line="174" w:lineRule="auto"/>
      <w:ind w:left="414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ABF9D">
    <w:pPr>
      <w:spacing w:before="47" w:line="220" w:lineRule="auto"/>
      <w:ind w:left="6930"/>
      <w:rPr>
        <w:rFonts w:ascii="宋体" w:hAnsi="宋体" w:eastAsia="宋体" w:cs="宋体"/>
        <w:sz w:val="18"/>
        <w:szCs w:val="18"/>
      </w:rPr>
    </w:pPr>
    <w:r>
      <w:pict>
        <v:shape id="_x0000_s4098" o:spid="_x0000_s4098" style="position:absolute;left:0pt;margin-left:88.4pt;margin-top:55.2pt;height:0.5pt;width:418.55pt;mso-position-horizontal-relative:page;mso-position-vertical-relative:page;z-index:251660288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4D31337"/>
    <w:rsid w:val="05962A91"/>
    <w:rsid w:val="082D0FA0"/>
    <w:rsid w:val="0D0E73B0"/>
    <w:rsid w:val="0DA77262"/>
    <w:rsid w:val="0DCC7572"/>
    <w:rsid w:val="10114265"/>
    <w:rsid w:val="111331E7"/>
    <w:rsid w:val="131E42A8"/>
    <w:rsid w:val="1384217A"/>
    <w:rsid w:val="1494463F"/>
    <w:rsid w:val="190A1374"/>
    <w:rsid w:val="192341E3"/>
    <w:rsid w:val="253B28B5"/>
    <w:rsid w:val="26D1527F"/>
    <w:rsid w:val="28153BB7"/>
    <w:rsid w:val="294A073A"/>
    <w:rsid w:val="2B886128"/>
    <w:rsid w:val="2EBB49EE"/>
    <w:rsid w:val="307B625B"/>
    <w:rsid w:val="30C9346B"/>
    <w:rsid w:val="30D455A5"/>
    <w:rsid w:val="32244DFC"/>
    <w:rsid w:val="34D16D92"/>
    <w:rsid w:val="35494B7A"/>
    <w:rsid w:val="36637EBD"/>
    <w:rsid w:val="36BE748E"/>
    <w:rsid w:val="39F33306"/>
    <w:rsid w:val="3B283845"/>
    <w:rsid w:val="3E481508"/>
    <w:rsid w:val="41EA1493"/>
    <w:rsid w:val="42C87186"/>
    <w:rsid w:val="49D767A1"/>
    <w:rsid w:val="4B6127C6"/>
    <w:rsid w:val="4D7762D0"/>
    <w:rsid w:val="500A342C"/>
    <w:rsid w:val="5EE40D51"/>
    <w:rsid w:val="61A94127"/>
    <w:rsid w:val="62053A53"/>
    <w:rsid w:val="62CC4571"/>
    <w:rsid w:val="64151D68"/>
    <w:rsid w:val="664803B2"/>
    <w:rsid w:val="66770C98"/>
    <w:rsid w:val="6E337B9A"/>
    <w:rsid w:val="72BF37AA"/>
    <w:rsid w:val="740C4C7A"/>
    <w:rsid w:val="75D27C98"/>
    <w:rsid w:val="77F73E31"/>
    <w:rsid w:val="7ADC4B38"/>
    <w:rsid w:val="7BDF73D3"/>
    <w:rsid w:val="7CAA54CB"/>
    <w:rsid w:val="7CFE1373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098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2296</Words>
  <Characters>2458</Characters>
  <TotalTime>3</TotalTime>
  <ScaleCrop>false</ScaleCrop>
  <LinksUpToDate>false</LinksUpToDate>
  <CharactersWithSpaces>2576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2025-08-21T21:28:07Z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