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C62DA2">
      <w:pPr>
        <w:pStyle w:val="2"/>
      </w:pPr>
    </w:p>
    <w:p w14:paraId="587ACE5C">
      <w:pPr>
        <w:pStyle w:val="2"/>
      </w:pPr>
    </w:p>
    <w:p w14:paraId="7F92A9B9">
      <w:pPr>
        <w:pStyle w:val="2"/>
      </w:pPr>
    </w:p>
    <w:p w14:paraId="27A4720F">
      <w:pPr>
        <w:pStyle w:val="2"/>
      </w:pPr>
    </w:p>
    <w:p w14:paraId="2B073100">
      <w:pPr>
        <w:pStyle w:val="2"/>
      </w:pPr>
    </w:p>
    <w:p w14:paraId="329E3C21">
      <w:pPr>
        <w:pStyle w:val="2"/>
      </w:pPr>
    </w:p>
    <w:p w14:paraId="5F139923">
      <w:pPr>
        <w:spacing w:before="176" w:line="212" w:lineRule="auto"/>
        <w:ind w:left="2146"/>
        <w:outlineLvl w:val="0"/>
        <w:rPr>
          <w:rFonts w:ascii="等线" w:hAnsi="等线" w:eastAsia="等线" w:cs="等线"/>
          <w:sz w:val="52"/>
          <w:szCs w:val="52"/>
        </w:rPr>
      </w:pPr>
      <w:r>
        <w:rPr>
          <w:rFonts w:ascii="等线" w:hAnsi="等线" w:eastAsia="等线" w:cs="等线"/>
          <w:b/>
          <w:bCs/>
          <w:spacing w:val="-7"/>
          <w:sz w:val="52"/>
          <w:szCs w:val="52"/>
        </w:rPr>
        <w:t>内部审核管理制度</w:t>
      </w:r>
    </w:p>
    <w:p w14:paraId="3D8B1896">
      <w:pPr>
        <w:pStyle w:val="2"/>
        <w:spacing w:line="254" w:lineRule="auto"/>
      </w:pPr>
    </w:p>
    <w:p w14:paraId="5C8C45FF">
      <w:pPr>
        <w:pStyle w:val="2"/>
        <w:spacing w:line="254" w:lineRule="auto"/>
      </w:pPr>
    </w:p>
    <w:p w14:paraId="419A02CE">
      <w:pPr>
        <w:pStyle w:val="2"/>
        <w:spacing w:line="254" w:lineRule="auto"/>
      </w:pPr>
    </w:p>
    <w:p w14:paraId="36A11A54">
      <w:pPr>
        <w:pStyle w:val="2"/>
        <w:spacing w:line="254" w:lineRule="auto"/>
      </w:pPr>
    </w:p>
    <w:p w14:paraId="1D301ED9">
      <w:pPr>
        <w:pStyle w:val="2"/>
        <w:spacing w:line="254" w:lineRule="auto"/>
      </w:pPr>
    </w:p>
    <w:p w14:paraId="308E332F">
      <w:pPr>
        <w:pStyle w:val="2"/>
        <w:spacing w:line="254" w:lineRule="auto"/>
      </w:pPr>
    </w:p>
    <w:p w14:paraId="047E9946">
      <w:pPr>
        <w:pStyle w:val="2"/>
        <w:spacing w:line="254" w:lineRule="auto"/>
      </w:pPr>
    </w:p>
    <w:p w14:paraId="09D93B2D">
      <w:pPr>
        <w:pStyle w:val="2"/>
        <w:spacing w:line="254" w:lineRule="auto"/>
      </w:pPr>
    </w:p>
    <w:p w14:paraId="17483B42">
      <w:pPr>
        <w:pStyle w:val="2"/>
        <w:spacing w:line="254" w:lineRule="auto"/>
      </w:pPr>
    </w:p>
    <w:p w14:paraId="72FAF695">
      <w:pPr>
        <w:pStyle w:val="2"/>
        <w:spacing w:line="254" w:lineRule="auto"/>
      </w:pPr>
    </w:p>
    <w:p w14:paraId="508893A8">
      <w:pPr>
        <w:pStyle w:val="2"/>
        <w:spacing w:line="254" w:lineRule="auto"/>
      </w:pPr>
    </w:p>
    <w:p w14:paraId="533C5F12">
      <w:pPr>
        <w:pStyle w:val="2"/>
        <w:spacing w:line="254" w:lineRule="auto"/>
      </w:pPr>
    </w:p>
    <w:p w14:paraId="7EA3F2C7">
      <w:pPr>
        <w:pStyle w:val="2"/>
        <w:spacing w:line="254" w:lineRule="auto"/>
      </w:pPr>
    </w:p>
    <w:p w14:paraId="5B3D520D">
      <w:pPr>
        <w:pStyle w:val="2"/>
        <w:spacing w:line="254" w:lineRule="auto"/>
      </w:pPr>
    </w:p>
    <w:p w14:paraId="77A96C1C">
      <w:pPr>
        <w:pStyle w:val="2"/>
        <w:spacing w:line="254" w:lineRule="auto"/>
      </w:pPr>
    </w:p>
    <w:p w14:paraId="34D0FC23">
      <w:pPr>
        <w:pStyle w:val="2"/>
        <w:spacing w:line="255" w:lineRule="auto"/>
      </w:pPr>
    </w:p>
    <w:p w14:paraId="3C6DFBD8">
      <w:pPr>
        <w:spacing w:line="1300" w:lineRule="exact"/>
        <w:ind w:firstLine="2007"/>
      </w:pPr>
      <w:r>
        <w:rPr>
          <w:position w:val="-26"/>
        </w:rPr>
        <w:drawing>
          <wp:inline distT="0" distB="0" distL="0" distR="0">
            <wp:extent cx="2743200" cy="82550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86BD">
      <w:pPr>
        <w:pStyle w:val="2"/>
        <w:spacing w:line="244" w:lineRule="auto"/>
      </w:pPr>
    </w:p>
    <w:p w14:paraId="7AC2B3FC">
      <w:pPr>
        <w:pStyle w:val="2"/>
        <w:spacing w:line="244" w:lineRule="auto"/>
      </w:pPr>
    </w:p>
    <w:p w14:paraId="64AE12BA">
      <w:pPr>
        <w:pStyle w:val="2"/>
        <w:spacing w:line="244" w:lineRule="auto"/>
      </w:pPr>
    </w:p>
    <w:p w14:paraId="573156DE">
      <w:pPr>
        <w:pStyle w:val="2"/>
        <w:spacing w:line="244" w:lineRule="auto"/>
      </w:pPr>
    </w:p>
    <w:p w14:paraId="16A2EBD8">
      <w:pPr>
        <w:pStyle w:val="2"/>
        <w:spacing w:line="245" w:lineRule="auto"/>
      </w:pPr>
    </w:p>
    <w:p w14:paraId="069708C3">
      <w:pPr>
        <w:pStyle w:val="2"/>
        <w:spacing w:line="245" w:lineRule="auto"/>
      </w:pPr>
    </w:p>
    <w:p w14:paraId="127C2105">
      <w:pPr>
        <w:pStyle w:val="2"/>
        <w:spacing w:line="245" w:lineRule="auto"/>
      </w:pPr>
    </w:p>
    <w:p w14:paraId="7FC1EB9E">
      <w:pPr>
        <w:pStyle w:val="2"/>
        <w:spacing w:line="245" w:lineRule="auto"/>
      </w:pPr>
    </w:p>
    <w:p w14:paraId="1F0F6E8C">
      <w:pPr>
        <w:pStyle w:val="2"/>
        <w:spacing w:line="245" w:lineRule="auto"/>
      </w:pPr>
    </w:p>
    <w:p w14:paraId="302BF74C">
      <w:pPr>
        <w:pStyle w:val="2"/>
        <w:spacing w:line="245" w:lineRule="auto"/>
      </w:pPr>
    </w:p>
    <w:p w14:paraId="5C9EB499">
      <w:pPr>
        <w:pStyle w:val="2"/>
        <w:spacing w:line="245" w:lineRule="auto"/>
      </w:pPr>
    </w:p>
    <w:p w14:paraId="171AA798">
      <w:pPr>
        <w:pStyle w:val="2"/>
        <w:spacing w:line="245" w:lineRule="auto"/>
      </w:pPr>
    </w:p>
    <w:p w14:paraId="42095E8F">
      <w:pPr>
        <w:pStyle w:val="2"/>
        <w:spacing w:line="245" w:lineRule="auto"/>
      </w:pPr>
    </w:p>
    <w:p w14:paraId="726D4F5C">
      <w:pPr>
        <w:pStyle w:val="2"/>
        <w:spacing w:line="245" w:lineRule="auto"/>
      </w:pPr>
    </w:p>
    <w:p w14:paraId="45DD47B9">
      <w:pPr>
        <w:pStyle w:val="2"/>
        <w:spacing w:line="245" w:lineRule="auto"/>
      </w:pPr>
    </w:p>
    <w:p w14:paraId="014AF883">
      <w:pPr>
        <w:pStyle w:val="2"/>
        <w:spacing w:line="245" w:lineRule="auto"/>
      </w:pPr>
    </w:p>
    <w:p w14:paraId="0B0E9BB1">
      <w:pPr>
        <w:pStyle w:val="2"/>
        <w:spacing w:line="245" w:lineRule="auto"/>
      </w:pPr>
    </w:p>
    <w:p w14:paraId="5D1DF621">
      <w:pPr>
        <w:pStyle w:val="2"/>
        <w:spacing w:line="245" w:lineRule="auto"/>
      </w:pPr>
    </w:p>
    <w:p w14:paraId="6A5B5D93">
      <w:pPr>
        <w:spacing w:before="117" w:line="219" w:lineRule="auto"/>
        <w:ind w:left="1661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2"/>
          <w:sz w:val="36"/>
          <w:szCs w:val="36"/>
        </w:rPr>
        <w:t>青岛慧海联创信息技术有限公司</w:t>
      </w:r>
    </w:p>
    <w:p w14:paraId="7C417750">
      <w:pPr>
        <w:spacing w:before="224" w:line="220" w:lineRule="auto"/>
        <w:ind w:left="2925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1"/>
          <w:sz w:val="36"/>
          <w:szCs w:val="36"/>
        </w:rPr>
        <w:t>2025年</w:t>
      </w:r>
      <w:r>
        <w:rPr>
          <w:rFonts w:ascii="宋体" w:hAnsi="宋体" w:eastAsia="宋体" w:cs="宋体"/>
          <w:spacing w:val="-49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1</w:t>
      </w:r>
      <w:r>
        <w:rPr>
          <w:rFonts w:ascii="宋体" w:hAnsi="宋体" w:eastAsia="宋体" w:cs="宋体"/>
          <w:spacing w:val="-67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月</w:t>
      </w:r>
      <w:r>
        <w:rPr>
          <w:rFonts w:ascii="宋体" w:hAnsi="宋体" w:eastAsia="宋体" w:cs="宋体"/>
          <w:spacing w:val="-78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4 日</w:t>
      </w:r>
    </w:p>
    <w:p w14:paraId="223CEC67">
      <w:pPr>
        <w:spacing w:line="220" w:lineRule="auto"/>
        <w:rPr>
          <w:rFonts w:ascii="宋体" w:hAnsi="宋体" w:eastAsia="宋体" w:cs="宋体"/>
          <w:sz w:val="36"/>
          <w:szCs w:val="36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7DDDC181">
      <w:pPr>
        <w:spacing w:before="55" w:line="220" w:lineRule="auto"/>
        <w:ind w:left="3828"/>
        <w:outlineLvl w:val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</w:p>
    <w:p w14:paraId="32446675">
      <w:pPr>
        <w:spacing w:line="117" w:lineRule="exact"/>
      </w:pPr>
    </w:p>
    <w:tbl>
      <w:tblPr>
        <w:tblStyle w:val="5"/>
        <w:tblW w:w="9145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3"/>
        <w:gridCol w:w="1696"/>
        <w:gridCol w:w="2341"/>
        <w:gridCol w:w="1982"/>
        <w:gridCol w:w="1563"/>
      </w:tblGrid>
      <w:tr w14:paraId="1FE517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563" w:type="dxa"/>
            <w:vAlign w:val="top"/>
          </w:tcPr>
          <w:p w14:paraId="4FEA5744">
            <w:pPr>
              <w:spacing w:before="199" w:line="220" w:lineRule="auto"/>
              <w:ind w:left="11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文档名称编号</w:t>
            </w:r>
          </w:p>
        </w:tc>
        <w:tc>
          <w:tcPr>
            <w:tcW w:w="7582" w:type="dxa"/>
            <w:gridSpan w:val="4"/>
            <w:vAlign w:val="top"/>
          </w:tcPr>
          <w:p w14:paraId="3B365B62">
            <w:pPr>
              <w:spacing w:before="199" w:line="220" w:lineRule="auto"/>
              <w:ind w:left="133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内部审核管理制度（HHLC-ITSS-NBSHGL）</w:t>
            </w:r>
          </w:p>
        </w:tc>
      </w:tr>
      <w:tr w14:paraId="278751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563" w:type="dxa"/>
            <w:vAlign w:val="top"/>
          </w:tcPr>
          <w:p w14:paraId="0416D553">
            <w:pPr>
              <w:spacing w:before="196" w:line="220" w:lineRule="auto"/>
              <w:ind w:left="11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编制单位</w:t>
            </w:r>
          </w:p>
        </w:tc>
        <w:tc>
          <w:tcPr>
            <w:tcW w:w="7582" w:type="dxa"/>
            <w:gridSpan w:val="4"/>
            <w:vAlign w:val="top"/>
          </w:tcPr>
          <w:p w14:paraId="78BE502E">
            <w:pPr>
              <w:spacing w:before="197" w:line="219" w:lineRule="auto"/>
              <w:ind w:left="10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青岛慧海联创信息技术有限公司</w:t>
            </w:r>
          </w:p>
        </w:tc>
      </w:tr>
      <w:tr w14:paraId="0EC75D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563" w:type="dxa"/>
            <w:vAlign w:val="top"/>
          </w:tcPr>
          <w:p w14:paraId="3D6F9A0F">
            <w:pPr>
              <w:spacing w:before="197" w:line="220" w:lineRule="auto"/>
              <w:ind w:left="11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文档密级</w:t>
            </w:r>
          </w:p>
        </w:tc>
        <w:tc>
          <w:tcPr>
            <w:tcW w:w="7582" w:type="dxa"/>
            <w:gridSpan w:val="4"/>
            <w:vAlign w:val="top"/>
          </w:tcPr>
          <w:p w14:paraId="1EEFFB67">
            <w:pPr>
              <w:spacing w:before="197" w:line="220" w:lineRule="auto"/>
              <w:ind w:left="10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秘密</w:t>
            </w:r>
          </w:p>
        </w:tc>
      </w:tr>
      <w:tr w14:paraId="343BA1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563" w:type="dxa"/>
            <w:vAlign w:val="top"/>
          </w:tcPr>
          <w:p w14:paraId="414B65E0">
            <w:pPr>
              <w:spacing w:before="199" w:line="219" w:lineRule="auto"/>
              <w:ind w:left="36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文档版本</w:t>
            </w:r>
          </w:p>
        </w:tc>
        <w:tc>
          <w:tcPr>
            <w:tcW w:w="1696" w:type="dxa"/>
            <w:vAlign w:val="top"/>
          </w:tcPr>
          <w:p w14:paraId="6E33E95E">
            <w:pPr>
              <w:spacing w:before="199" w:line="219" w:lineRule="auto"/>
              <w:ind w:left="43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版本日期</w:t>
            </w:r>
          </w:p>
        </w:tc>
        <w:tc>
          <w:tcPr>
            <w:tcW w:w="2341" w:type="dxa"/>
            <w:vAlign w:val="top"/>
          </w:tcPr>
          <w:p w14:paraId="67C3ECFD">
            <w:pPr>
              <w:spacing w:before="199" w:line="219" w:lineRule="auto"/>
              <w:ind w:left="75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版本说明</w:t>
            </w:r>
          </w:p>
        </w:tc>
        <w:tc>
          <w:tcPr>
            <w:tcW w:w="1982" w:type="dxa"/>
            <w:vAlign w:val="top"/>
          </w:tcPr>
          <w:p w14:paraId="1DFF7E23">
            <w:pPr>
              <w:spacing w:before="199" w:line="220" w:lineRule="auto"/>
              <w:ind w:left="78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作者</w:t>
            </w:r>
          </w:p>
        </w:tc>
        <w:tc>
          <w:tcPr>
            <w:tcW w:w="1563" w:type="dxa"/>
            <w:vAlign w:val="top"/>
          </w:tcPr>
          <w:p w14:paraId="14F72AD1">
            <w:pPr>
              <w:spacing w:before="199" w:line="220" w:lineRule="auto"/>
              <w:ind w:left="58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审核</w:t>
            </w:r>
          </w:p>
        </w:tc>
      </w:tr>
      <w:tr w14:paraId="6720D5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563" w:type="dxa"/>
            <w:vAlign w:val="top"/>
          </w:tcPr>
          <w:p w14:paraId="6C7E90A8">
            <w:pPr>
              <w:spacing w:before="163" w:line="239" w:lineRule="auto"/>
              <w:ind w:left="56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V1.0</w:t>
            </w:r>
          </w:p>
        </w:tc>
        <w:tc>
          <w:tcPr>
            <w:tcW w:w="1696" w:type="dxa"/>
            <w:vAlign w:val="top"/>
          </w:tcPr>
          <w:p w14:paraId="13E4BDD7">
            <w:pPr>
              <w:spacing w:before="163"/>
              <w:ind w:left="43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2025-1-4</w:t>
            </w:r>
          </w:p>
        </w:tc>
        <w:tc>
          <w:tcPr>
            <w:tcW w:w="2341" w:type="dxa"/>
            <w:vAlign w:val="top"/>
          </w:tcPr>
          <w:p w14:paraId="43D38BC1">
            <w:pPr>
              <w:spacing w:before="133" w:line="219" w:lineRule="auto"/>
              <w:ind w:left="75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发布版本</w:t>
            </w:r>
          </w:p>
        </w:tc>
        <w:tc>
          <w:tcPr>
            <w:tcW w:w="1982" w:type="dxa"/>
            <w:vAlign w:val="top"/>
          </w:tcPr>
          <w:p w14:paraId="004AFA97">
            <w:pPr>
              <w:spacing w:before="133" w:line="220" w:lineRule="auto"/>
              <w:ind w:left="68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王予婷</w:t>
            </w:r>
          </w:p>
        </w:tc>
        <w:tc>
          <w:tcPr>
            <w:tcW w:w="1563" w:type="dxa"/>
            <w:vAlign w:val="top"/>
          </w:tcPr>
          <w:p w14:paraId="750CE235">
            <w:pPr>
              <w:spacing w:before="134" w:line="220" w:lineRule="auto"/>
              <w:ind w:left="48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宫海亭</w:t>
            </w:r>
          </w:p>
        </w:tc>
      </w:tr>
      <w:tr w14:paraId="728342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563" w:type="dxa"/>
            <w:vAlign w:val="top"/>
          </w:tcPr>
          <w:p w14:paraId="6BD964D4">
            <w:pPr>
              <w:pStyle w:val="6"/>
            </w:pPr>
          </w:p>
        </w:tc>
        <w:tc>
          <w:tcPr>
            <w:tcW w:w="1696" w:type="dxa"/>
            <w:vAlign w:val="top"/>
          </w:tcPr>
          <w:p w14:paraId="40CF0585">
            <w:pPr>
              <w:pStyle w:val="6"/>
            </w:pPr>
          </w:p>
        </w:tc>
        <w:tc>
          <w:tcPr>
            <w:tcW w:w="2341" w:type="dxa"/>
            <w:vAlign w:val="top"/>
          </w:tcPr>
          <w:p w14:paraId="2F814B45">
            <w:pPr>
              <w:pStyle w:val="6"/>
            </w:pPr>
          </w:p>
        </w:tc>
        <w:tc>
          <w:tcPr>
            <w:tcW w:w="1982" w:type="dxa"/>
            <w:vAlign w:val="top"/>
          </w:tcPr>
          <w:p w14:paraId="1BEE2508">
            <w:pPr>
              <w:pStyle w:val="6"/>
            </w:pPr>
          </w:p>
        </w:tc>
        <w:tc>
          <w:tcPr>
            <w:tcW w:w="1563" w:type="dxa"/>
            <w:vAlign w:val="top"/>
          </w:tcPr>
          <w:p w14:paraId="4B08F409">
            <w:pPr>
              <w:pStyle w:val="6"/>
            </w:pPr>
          </w:p>
        </w:tc>
      </w:tr>
      <w:tr w14:paraId="0792FD8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563" w:type="dxa"/>
            <w:vAlign w:val="top"/>
          </w:tcPr>
          <w:p w14:paraId="484CBCF8">
            <w:pPr>
              <w:pStyle w:val="6"/>
            </w:pPr>
          </w:p>
        </w:tc>
        <w:tc>
          <w:tcPr>
            <w:tcW w:w="1696" w:type="dxa"/>
            <w:vAlign w:val="top"/>
          </w:tcPr>
          <w:p w14:paraId="6C9BDC1B">
            <w:pPr>
              <w:pStyle w:val="6"/>
            </w:pPr>
          </w:p>
        </w:tc>
        <w:tc>
          <w:tcPr>
            <w:tcW w:w="2341" w:type="dxa"/>
            <w:vAlign w:val="top"/>
          </w:tcPr>
          <w:p w14:paraId="7BF87BDC">
            <w:pPr>
              <w:pStyle w:val="6"/>
            </w:pPr>
          </w:p>
        </w:tc>
        <w:tc>
          <w:tcPr>
            <w:tcW w:w="1982" w:type="dxa"/>
            <w:vAlign w:val="top"/>
          </w:tcPr>
          <w:p w14:paraId="1AF1FBD2">
            <w:pPr>
              <w:pStyle w:val="6"/>
            </w:pPr>
          </w:p>
        </w:tc>
        <w:tc>
          <w:tcPr>
            <w:tcW w:w="1563" w:type="dxa"/>
            <w:vAlign w:val="top"/>
          </w:tcPr>
          <w:p w14:paraId="520178AD">
            <w:pPr>
              <w:pStyle w:val="6"/>
            </w:pPr>
          </w:p>
        </w:tc>
      </w:tr>
      <w:tr w14:paraId="606E2FD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563" w:type="dxa"/>
            <w:vAlign w:val="top"/>
          </w:tcPr>
          <w:p w14:paraId="325FC052">
            <w:pPr>
              <w:pStyle w:val="6"/>
            </w:pPr>
          </w:p>
        </w:tc>
        <w:tc>
          <w:tcPr>
            <w:tcW w:w="1696" w:type="dxa"/>
            <w:vAlign w:val="top"/>
          </w:tcPr>
          <w:p w14:paraId="39E36A27">
            <w:pPr>
              <w:pStyle w:val="6"/>
            </w:pPr>
          </w:p>
        </w:tc>
        <w:tc>
          <w:tcPr>
            <w:tcW w:w="2341" w:type="dxa"/>
            <w:vAlign w:val="top"/>
          </w:tcPr>
          <w:p w14:paraId="40EB01BA">
            <w:pPr>
              <w:pStyle w:val="6"/>
            </w:pPr>
          </w:p>
        </w:tc>
        <w:tc>
          <w:tcPr>
            <w:tcW w:w="1982" w:type="dxa"/>
            <w:vAlign w:val="top"/>
          </w:tcPr>
          <w:p w14:paraId="57C98289">
            <w:pPr>
              <w:pStyle w:val="6"/>
            </w:pPr>
          </w:p>
        </w:tc>
        <w:tc>
          <w:tcPr>
            <w:tcW w:w="1563" w:type="dxa"/>
            <w:vAlign w:val="top"/>
          </w:tcPr>
          <w:p w14:paraId="1613CAA6">
            <w:pPr>
              <w:pStyle w:val="6"/>
            </w:pPr>
          </w:p>
        </w:tc>
      </w:tr>
      <w:tr w14:paraId="7BD27A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1563" w:type="dxa"/>
            <w:vAlign w:val="top"/>
          </w:tcPr>
          <w:p w14:paraId="48F01E04">
            <w:pPr>
              <w:pStyle w:val="6"/>
            </w:pPr>
          </w:p>
        </w:tc>
        <w:tc>
          <w:tcPr>
            <w:tcW w:w="1696" w:type="dxa"/>
            <w:vAlign w:val="top"/>
          </w:tcPr>
          <w:p w14:paraId="51FEEFA5">
            <w:pPr>
              <w:pStyle w:val="6"/>
            </w:pPr>
          </w:p>
        </w:tc>
        <w:tc>
          <w:tcPr>
            <w:tcW w:w="2341" w:type="dxa"/>
            <w:vAlign w:val="top"/>
          </w:tcPr>
          <w:p w14:paraId="5DCA99C3">
            <w:pPr>
              <w:pStyle w:val="6"/>
            </w:pPr>
          </w:p>
        </w:tc>
        <w:tc>
          <w:tcPr>
            <w:tcW w:w="1982" w:type="dxa"/>
            <w:vAlign w:val="top"/>
          </w:tcPr>
          <w:p w14:paraId="7F67D887">
            <w:pPr>
              <w:pStyle w:val="6"/>
            </w:pPr>
          </w:p>
        </w:tc>
        <w:tc>
          <w:tcPr>
            <w:tcW w:w="1563" w:type="dxa"/>
            <w:vAlign w:val="top"/>
          </w:tcPr>
          <w:p w14:paraId="1EA0A431">
            <w:pPr>
              <w:pStyle w:val="6"/>
            </w:pPr>
          </w:p>
        </w:tc>
      </w:tr>
      <w:tr w14:paraId="75231C0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563" w:type="dxa"/>
            <w:vAlign w:val="top"/>
          </w:tcPr>
          <w:p w14:paraId="70DAF951">
            <w:pPr>
              <w:pStyle w:val="6"/>
            </w:pPr>
          </w:p>
        </w:tc>
        <w:tc>
          <w:tcPr>
            <w:tcW w:w="1696" w:type="dxa"/>
            <w:vAlign w:val="top"/>
          </w:tcPr>
          <w:p w14:paraId="7F6A5F9B">
            <w:pPr>
              <w:pStyle w:val="6"/>
            </w:pPr>
          </w:p>
        </w:tc>
        <w:tc>
          <w:tcPr>
            <w:tcW w:w="2341" w:type="dxa"/>
            <w:vAlign w:val="top"/>
          </w:tcPr>
          <w:p w14:paraId="25C4F797">
            <w:pPr>
              <w:pStyle w:val="6"/>
            </w:pPr>
          </w:p>
        </w:tc>
        <w:tc>
          <w:tcPr>
            <w:tcW w:w="1982" w:type="dxa"/>
            <w:vAlign w:val="top"/>
          </w:tcPr>
          <w:p w14:paraId="42A1CB50">
            <w:pPr>
              <w:pStyle w:val="6"/>
            </w:pPr>
          </w:p>
        </w:tc>
        <w:tc>
          <w:tcPr>
            <w:tcW w:w="1563" w:type="dxa"/>
            <w:vAlign w:val="top"/>
          </w:tcPr>
          <w:p w14:paraId="4B64712B">
            <w:pPr>
              <w:pStyle w:val="6"/>
            </w:pPr>
          </w:p>
        </w:tc>
      </w:tr>
    </w:tbl>
    <w:p w14:paraId="09FD32E8">
      <w:pPr>
        <w:pStyle w:val="2"/>
      </w:pPr>
    </w:p>
    <w:p w14:paraId="08F42FA6">
      <w:pPr>
        <w:sectPr>
          <w:pgSz w:w="11907" w:h="16840"/>
          <w:pgMar w:top="1253" w:right="1173" w:bottom="0" w:left="1578" w:header="0" w:footer="0" w:gutter="0"/>
          <w:cols w:space="720" w:num="1"/>
        </w:sectPr>
      </w:pPr>
    </w:p>
    <w:p w14:paraId="61748F8B">
      <w:pPr>
        <w:pStyle w:val="2"/>
        <w:spacing w:line="250" w:lineRule="auto"/>
      </w:pPr>
    </w:p>
    <w:p w14:paraId="7D43FBAE">
      <w:pPr>
        <w:pStyle w:val="2"/>
        <w:spacing w:line="250" w:lineRule="auto"/>
      </w:pPr>
    </w:p>
    <w:p w14:paraId="04DDEC7E">
      <w:pPr>
        <w:pStyle w:val="2"/>
        <w:spacing w:line="251" w:lineRule="auto"/>
      </w:pPr>
    </w:p>
    <w:p w14:paraId="64BEE16F">
      <w:pPr>
        <w:pStyle w:val="2"/>
        <w:spacing w:line="251" w:lineRule="auto"/>
      </w:pPr>
    </w:p>
    <w:p w14:paraId="22F23317">
      <w:pPr>
        <w:pStyle w:val="2"/>
        <w:spacing w:line="251" w:lineRule="auto"/>
      </w:pPr>
    </w:p>
    <w:p w14:paraId="615B92A9">
      <w:pPr>
        <w:pStyle w:val="2"/>
        <w:spacing w:line="251" w:lineRule="auto"/>
      </w:pPr>
    </w:p>
    <w:p w14:paraId="644954BC">
      <w:pPr>
        <w:pStyle w:val="2"/>
        <w:spacing w:line="251" w:lineRule="auto"/>
      </w:pPr>
    </w:p>
    <w:p w14:paraId="6E713B60">
      <w:pPr>
        <w:pStyle w:val="2"/>
        <w:spacing w:line="251" w:lineRule="auto"/>
      </w:pPr>
    </w:p>
    <w:sdt>
      <w:sdtPr>
        <w:rPr>
          <w:rFonts w:ascii="宋体" w:hAnsi="宋体" w:eastAsia="宋体" w:cs="宋体"/>
          <w:sz w:val="21"/>
          <w:szCs w:val="21"/>
        </w:rPr>
        <w:id w:val="147477567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21"/>
          <w:szCs w:val="21"/>
        </w:rPr>
      </w:sdtEndPr>
      <w:sdtContent>
        <w:p w14:paraId="16EF9E48">
          <w:pPr>
            <w:spacing w:before="69" w:line="222" w:lineRule="auto"/>
            <w:ind w:left="3971"/>
            <w:rPr>
              <w:rFonts w:ascii="宋体" w:hAnsi="宋体" w:eastAsia="宋体" w:cs="宋体"/>
              <w:sz w:val="21"/>
              <w:szCs w:val="21"/>
            </w:rPr>
          </w:pPr>
          <w:bookmarkStart w:id="0" w:name="bookmark1"/>
          <w:bookmarkEnd w:id="0"/>
          <w:r>
            <w:rPr>
              <w:rFonts w:ascii="宋体" w:hAnsi="宋体" w:eastAsia="宋体" w:cs="宋体"/>
              <w:b/>
              <w:bCs/>
              <w:spacing w:val="-27"/>
              <w:sz w:val="21"/>
              <w:szCs w:val="21"/>
            </w:rPr>
            <w:t>目</w:t>
          </w:r>
          <w:r>
            <w:rPr>
              <w:rFonts w:ascii="宋体" w:hAnsi="宋体" w:eastAsia="宋体" w:cs="宋体"/>
              <w:spacing w:val="9"/>
              <w:sz w:val="21"/>
              <w:szCs w:val="21"/>
            </w:rPr>
            <w:t xml:space="preserve"> </w:t>
          </w:r>
          <w:r>
            <w:rPr>
              <w:rFonts w:ascii="宋体" w:hAnsi="宋体" w:eastAsia="宋体" w:cs="宋体"/>
              <w:b/>
              <w:bCs/>
              <w:spacing w:val="-27"/>
              <w:sz w:val="21"/>
              <w:szCs w:val="21"/>
            </w:rPr>
            <w:t>录</w:t>
          </w:r>
        </w:p>
        <w:p w14:paraId="10AE801D">
          <w:pPr>
            <w:tabs>
              <w:tab w:val="right" w:leader="dot" w:pos="8330"/>
            </w:tabs>
            <w:spacing w:before="203" w:line="222" w:lineRule="auto"/>
            <w:ind w:left="40"/>
            <w:rPr>
              <w:rFonts w:ascii="宋体" w:hAnsi="宋体" w:eastAsia="宋体" w:cs="宋体"/>
              <w:sz w:val="21"/>
              <w:szCs w:val="21"/>
            </w:rPr>
          </w:pPr>
          <w:r>
            <w:fldChar w:fldCharType="begin"/>
          </w:r>
          <w:r>
            <w:instrText xml:space="preserve"> HYPERLINK \l "bookmark2"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7"/>
              <w:sz w:val="21"/>
              <w:szCs w:val="21"/>
            </w:rPr>
            <w:t>一、目的</w:t>
          </w:r>
          <w:r>
            <w:rPr>
              <w:rFonts w:ascii="宋体" w:hAnsi="宋体" w:eastAsia="宋体" w:cs="宋体"/>
              <w:sz w:val="21"/>
              <w:szCs w:val="21"/>
            </w:rPr>
            <w:tab/>
          </w:r>
          <w:r>
            <w:rPr>
              <w:rFonts w:ascii="宋体" w:hAnsi="宋体" w:eastAsia="宋体" w:cs="宋体"/>
              <w:sz w:val="21"/>
              <w:szCs w:val="21"/>
            </w:rPr>
            <w:t>2</w:t>
          </w:r>
          <w:r>
            <w:rPr>
              <w:rFonts w:ascii="宋体" w:hAnsi="宋体" w:eastAsia="宋体" w:cs="宋体"/>
              <w:sz w:val="21"/>
              <w:szCs w:val="21"/>
            </w:rPr>
            <w:fldChar w:fldCharType="end"/>
          </w:r>
        </w:p>
        <w:p w14:paraId="6D369BC3">
          <w:pPr>
            <w:tabs>
              <w:tab w:val="right" w:leader="dot" w:pos="8330"/>
            </w:tabs>
            <w:spacing w:before="179" w:line="220" w:lineRule="auto"/>
            <w:ind w:left="40"/>
            <w:rPr>
              <w:rFonts w:ascii="宋体" w:hAnsi="宋体" w:eastAsia="宋体" w:cs="宋体"/>
              <w:sz w:val="21"/>
              <w:szCs w:val="21"/>
            </w:rPr>
          </w:pPr>
          <w:r>
            <w:fldChar w:fldCharType="begin"/>
          </w:r>
          <w:r>
            <w:instrText xml:space="preserve"> HYPERLINK \l "bookmark3"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sz w:val="21"/>
              <w:szCs w:val="21"/>
            </w:rPr>
            <w:t>二、适用范围</w:t>
          </w:r>
          <w:r>
            <w:rPr>
              <w:rFonts w:ascii="宋体" w:hAnsi="宋体" w:eastAsia="宋体" w:cs="宋体"/>
              <w:sz w:val="21"/>
              <w:szCs w:val="21"/>
            </w:rPr>
            <w:tab/>
          </w:r>
          <w:r>
            <w:rPr>
              <w:rFonts w:ascii="宋体" w:hAnsi="宋体" w:eastAsia="宋体" w:cs="宋体"/>
              <w:spacing w:val="1"/>
              <w:sz w:val="21"/>
              <w:szCs w:val="21"/>
            </w:rPr>
            <w:t>2</w:t>
          </w:r>
          <w:r>
            <w:rPr>
              <w:rFonts w:ascii="宋体" w:hAnsi="宋体" w:eastAsia="宋体" w:cs="宋体"/>
              <w:spacing w:val="1"/>
              <w:sz w:val="21"/>
              <w:szCs w:val="21"/>
            </w:rPr>
            <w:fldChar w:fldCharType="end"/>
          </w:r>
        </w:p>
        <w:p w14:paraId="740EE120">
          <w:pPr>
            <w:tabs>
              <w:tab w:val="right" w:leader="dot" w:pos="8330"/>
            </w:tabs>
            <w:spacing w:before="181" w:line="221" w:lineRule="auto"/>
            <w:ind w:left="37"/>
            <w:rPr>
              <w:rFonts w:ascii="宋体" w:hAnsi="宋体" w:eastAsia="宋体" w:cs="宋体"/>
              <w:sz w:val="21"/>
              <w:szCs w:val="21"/>
            </w:rPr>
          </w:pPr>
          <w:r>
            <w:fldChar w:fldCharType="begin"/>
          </w:r>
          <w:r>
            <w:instrText xml:space="preserve"> HYPERLINK \l "bookmark4"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3"/>
              <w:sz w:val="21"/>
              <w:szCs w:val="21"/>
            </w:rPr>
            <w:t>三、职责</w:t>
          </w:r>
          <w:r>
            <w:rPr>
              <w:rFonts w:ascii="宋体" w:hAnsi="宋体" w:eastAsia="宋体" w:cs="宋体"/>
              <w:sz w:val="21"/>
              <w:szCs w:val="21"/>
            </w:rPr>
            <w:tab/>
          </w:r>
          <w:r>
            <w:rPr>
              <w:rFonts w:ascii="宋体" w:hAnsi="宋体" w:eastAsia="宋体" w:cs="宋体"/>
              <w:spacing w:val="1"/>
              <w:sz w:val="21"/>
              <w:szCs w:val="21"/>
            </w:rPr>
            <w:t>2</w:t>
          </w:r>
          <w:r>
            <w:rPr>
              <w:rFonts w:ascii="宋体" w:hAnsi="宋体" w:eastAsia="宋体" w:cs="宋体"/>
              <w:spacing w:val="1"/>
              <w:sz w:val="21"/>
              <w:szCs w:val="21"/>
            </w:rPr>
            <w:fldChar w:fldCharType="end"/>
          </w:r>
        </w:p>
        <w:p w14:paraId="1D20897C">
          <w:pPr>
            <w:tabs>
              <w:tab w:val="right" w:leader="dot" w:pos="8330"/>
            </w:tabs>
            <w:spacing w:before="181" w:line="219" w:lineRule="auto"/>
            <w:ind w:left="262"/>
            <w:rPr>
              <w:rFonts w:ascii="宋体" w:hAnsi="宋体" w:eastAsia="宋体" w:cs="宋体"/>
              <w:sz w:val="21"/>
              <w:szCs w:val="21"/>
            </w:rPr>
          </w:pPr>
          <w:r>
            <w:fldChar w:fldCharType="begin"/>
          </w:r>
          <w:r>
            <w:instrText xml:space="preserve"> HYPERLINK \l "bookmark5"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4"/>
              <w:sz w:val="21"/>
              <w:szCs w:val="21"/>
            </w:rPr>
            <w:t>1.质量中心</w:t>
          </w:r>
          <w:r>
            <w:rPr>
              <w:rFonts w:ascii="宋体" w:hAnsi="宋体" w:eastAsia="宋体" w:cs="宋体"/>
              <w:sz w:val="21"/>
              <w:szCs w:val="21"/>
            </w:rPr>
            <w:tab/>
          </w:r>
          <w:r>
            <w:rPr>
              <w:rFonts w:ascii="宋体" w:hAnsi="宋体" w:eastAsia="宋体" w:cs="宋体"/>
              <w:spacing w:val="1"/>
              <w:sz w:val="21"/>
              <w:szCs w:val="21"/>
            </w:rPr>
            <w:t>2</w:t>
          </w:r>
          <w:r>
            <w:rPr>
              <w:rFonts w:ascii="宋体" w:hAnsi="宋体" w:eastAsia="宋体" w:cs="宋体"/>
              <w:spacing w:val="1"/>
              <w:sz w:val="21"/>
              <w:szCs w:val="21"/>
            </w:rPr>
            <w:fldChar w:fldCharType="end"/>
          </w:r>
        </w:p>
        <w:p w14:paraId="61092DC3">
          <w:pPr>
            <w:tabs>
              <w:tab w:val="right" w:leader="dot" w:pos="8330"/>
            </w:tabs>
            <w:spacing w:before="62" w:line="219" w:lineRule="auto"/>
            <w:ind w:left="249"/>
            <w:rPr>
              <w:rFonts w:ascii="宋体" w:hAnsi="宋体" w:eastAsia="宋体" w:cs="宋体"/>
              <w:sz w:val="21"/>
              <w:szCs w:val="21"/>
            </w:rPr>
          </w:pPr>
          <w:r>
            <w:fldChar w:fldCharType="begin"/>
          </w:r>
          <w:r>
            <w:instrText xml:space="preserve"> HYPERLINK \l "bookmark6"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sz w:val="21"/>
              <w:szCs w:val="21"/>
            </w:rPr>
            <w:t>2.其他相关部门</w:t>
          </w:r>
          <w:r>
            <w:rPr>
              <w:rFonts w:ascii="宋体" w:hAnsi="宋体" w:eastAsia="宋体" w:cs="宋体"/>
              <w:sz w:val="21"/>
              <w:szCs w:val="21"/>
            </w:rPr>
            <w:tab/>
          </w:r>
          <w:r>
            <w:rPr>
              <w:rFonts w:ascii="宋体" w:hAnsi="宋体" w:eastAsia="宋体" w:cs="宋体"/>
              <w:spacing w:val="1"/>
              <w:sz w:val="21"/>
              <w:szCs w:val="21"/>
            </w:rPr>
            <w:t>2</w:t>
          </w:r>
          <w:r>
            <w:rPr>
              <w:rFonts w:ascii="宋体" w:hAnsi="宋体" w:eastAsia="宋体" w:cs="宋体"/>
              <w:spacing w:val="1"/>
              <w:sz w:val="21"/>
              <w:szCs w:val="21"/>
            </w:rPr>
            <w:fldChar w:fldCharType="end"/>
          </w:r>
        </w:p>
        <w:p w14:paraId="7E622939">
          <w:pPr>
            <w:tabs>
              <w:tab w:val="right" w:leader="dot" w:pos="8330"/>
            </w:tabs>
            <w:spacing w:before="63" w:line="219" w:lineRule="auto"/>
            <w:ind w:left="251"/>
            <w:rPr>
              <w:rFonts w:ascii="宋体" w:hAnsi="宋体" w:eastAsia="宋体" w:cs="宋体"/>
              <w:sz w:val="21"/>
              <w:szCs w:val="21"/>
            </w:rPr>
          </w:pPr>
          <w:r>
            <w:fldChar w:fldCharType="begin"/>
          </w:r>
          <w:r>
            <w:instrText xml:space="preserve"> HYPERLINK \l "bookmark7"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3"/>
              <w:sz w:val="21"/>
              <w:szCs w:val="21"/>
            </w:rPr>
            <w:t>3.工作程序</w:t>
          </w:r>
          <w:r>
            <w:rPr>
              <w:rFonts w:ascii="宋体" w:hAnsi="宋体" w:eastAsia="宋体" w:cs="宋体"/>
              <w:sz w:val="21"/>
              <w:szCs w:val="21"/>
            </w:rPr>
            <w:tab/>
          </w:r>
          <w:r>
            <w:rPr>
              <w:rFonts w:ascii="宋体" w:hAnsi="宋体" w:eastAsia="宋体" w:cs="宋体"/>
              <w:spacing w:val="1"/>
              <w:sz w:val="21"/>
              <w:szCs w:val="21"/>
            </w:rPr>
            <w:t>2</w:t>
          </w:r>
          <w:r>
            <w:rPr>
              <w:rFonts w:ascii="宋体" w:hAnsi="宋体" w:eastAsia="宋体" w:cs="宋体"/>
              <w:spacing w:val="1"/>
              <w:sz w:val="21"/>
              <w:szCs w:val="21"/>
            </w:rPr>
            <w:fldChar w:fldCharType="end"/>
          </w:r>
        </w:p>
        <w:p w14:paraId="23784BBC">
          <w:pPr>
            <w:tabs>
              <w:tab w:val="right" w:leader="dot" w:pos="8365"/>
            </w:tabs>
            <w:spacing w:before="62" w:line="210" w:lineRule="auto"/>
            <w:ind w:left="484"/>
            <w:rPr>
              <w:rFonts w:ascii="宋体" w:hAnsi="宋体" w:eastAsia="宋体" w:cs="宋体"/>
              <w:sz w:val="22"/>
              <w:szCs w:val="22"/>
            </w:rPr>
          </w:pPr>
          <w:r>
            <w:fldChar w:fldCharType="begin"/>
          </w:r>
          <w:r>
            <w:instrText xml:space="preserve"> HYPERLINK \l "bookmark8" </w:instrText>
          </w:r>
          <w:r>
            <w:fldChar w:fldCharType="separate"/>
          </w:r>
          <w:r>
            <w:rPr>
              <w:rFonts w:ascii="宋体" w:hAnsi="宋体" w:eastAsia="宋体" w:cs="宋体"/>
              <w:i/>
              <w:iCs/>
              <w:spacing w:val="-14"/>
              <w:sz w:val="22"/>
              <w:szCs w:val="22"/>
            </w:rPr>
            <w:t>3.1</w:t>
          </w:r>
          <w:r>
            <w:rPr>
              <w:rFonts w:ascii="宋体" w:hAnsi="宋体" w:eastAsia="宋体" w:cs="宋体"/>
              <w:spacing w:val="-31"/>
              <w:sz w:val="22"/>
              <w:szCs w:val="22"/>
            </w:rPr>
            <w:t xml:space="preserve"> </w:t>
          </w:r>
          <w:r>
            <w:rPr>
              <w:rFonts w:ascii="宋体" w:hAnsi="宋体" w:eastAsia="宋体" w:cs="宋体"/>
              <w:i/>
              <w:iCs/>
              <w:spacing w:val="-14"/>
              <w:sz w:val="22"/>
              <w:szCs w:val="22"/>
            </w:rPr>
            <w:t>审核的频次</w:t>
          </w:r>
          <w:r>
            <w:rPr>
              <w:rFonts w:ascii="宋体" w:hAnsi="宋体" w:eastAsia="宋体" w:cs="宋体"/>
              <w:spacing w:val="58"/>
              <w:sz w:val="22"/>
              <w:szCs w:val="22"/>
            </w:rPr>
            <w:t xml:space="preserve"> </w:t>
          </w:r>
          <w:r>
            <w:rPr>
              <w:rFonts w:ascii="宋体" w:hAnsi="宋体" w:eastAsia="宋体" w:cs="宋体"/>
              <w:sz w:val="22"/>
              <w:szCs w:val="22"/>
            </w:rPr>
            <w:tab/>
          </w:r>
          <w:r>
            <w:rPr>
              <w:rFonts w:ascii="宋体" w:hAnsi="宋体" w:eastAsia="宋体" w:cs="宋体"/>
              <w:sz w:val="22"/>
              <w:szCs w:val="22"/>
            </w:rPr>
            <w:fldChar w:fldCharType="end"/>
          </w:r>
          <w:r>
            <w:rPr>
              <w:rFonts w:ascii="宋体" w:hAnsi="宋体" w:eastAsia="宋体" w:cs="宋体"/>
              <w:i/>
              <w:iCs/>
              <w:spacing w:val="66"/>
              <w:w w:val="158"/>
              <w:sz w:val="22"/>
              <w:szCs w:val="22"/>
            </w:rPr>
            <w:t>2</w:t>
          </w:r>
        </w:p>
        <w:p w14:paraId="2738C604">
          <w:pPr>
            <w:tabs>
              <w:tab w:val="right" w:leader="dot" w:pos="8365"/>
            </w:tabs>
            <w:spacing w:before="62" w:line="210" w:lineRule="auto"/>
            <w:ind w:left="484"/>
            <w:rPr>
              <w:rFonts w:ascii="宋体" w:hAnsi="宋体" w:eastAsia="宋体" w:cs="宋体"/>
              <w:sz w:val="22"/>
              <w:szCs w:val="22"/>
            </w:rPr>
          </w:pPr>
          <w:r>
            <w:fldChar w:fldCharType="begin"/>
          </w:r>
          <w:r>
            <w:instrText xml:space="preserve"> HYPERLINK \l "bookmark9" </w:instrText>
          </w:r>
          <w:r>
            <w:fldChar w:fldCharType="separate"/>
          </w:r>
          <w:r>
            <w:rPr>
              <w:rFonts w:ascii="宋体" w:hAnsi="宋体" w:eastAsia="宋体" w:cs="宋体"/>
              <w:i/>
              <w:iCs/>
              <w:spacing w:val="-14"/>
              <w:sz w:val="22"/>
              <w:szCs w:val="22"/>
            </w:rPr>
            <w:t>3.2</w:t>
          </w:r>
          <w:r>
            <w:rPr>
              <w:rFonts w:ascii="宋体" w:hAnsi="宋体" w:eastAsia="宋体" w:cs="宋体"/>
              <w:spacing w:val="-31"/>
              <w:sz w:val="22"/>
              <w:szCs w:val="22"/>
            </w:rPr>
            <w:t xml:space="preserve"> </w:t>
          </w:r>
          <w:r>
            <w:rPr>
              <w:rFonts w:ascii="宋体" w:hAnsi="宋体" w:eastAsia="宋体" w:cs="宋体"/>
              <w:i/>
              <w:iCs/>
              <w:spacing w:val="-14"/>
              <w:sz w:val="22"/>
              <w:szCs w:val="22"/>
            </w:rPr>
            <w:t>审核的策划</w:t>
          </w:r>
          <w:r>
            <w:rPr>
              <w:rFonts w:ascii="宋体" w:hAnsi="宋体" w:eastAsia="宋体" w:cs="宋体"/>
              <w:spacing w:val="58"/>
              <w:sz w:val="22"/>
              <w:szCs w:val="22"/>
            </w:rPr>
            <w:t xml:space="preserve"> </w:t>
          </w:r>
          <w:r>
            <w:rPr>
              <w:rFonts w:ascii="宋体" w:hAnsi="宋体" w:eastAsia="宋体" w:cs="宋体"/>
              <w:sz w:val="22"/>
              <w:szCs w:val="22"/>
            </w:rPr>
            <w:tab/>
          </w:r>
          <w:r>
            <w:rPr>
              <w:rFonts w:ascii="宋体" w:hAnsi="宋体" w:eastAsia="宋体" w:cs="宋体"/>
              <w:sz w:val="22"/>
              <w:szCs w:val="22"/>
            </w:rPr>
            <w:fldChar w:fldCharType="end"/>
          </w:r>
          <w:r>
            <w:rPr>
              <w:rFonts w:ascii="宋体" w:hAnsi="宋体" w:eastAsia="宋体" w:cs="宋体"/>
              <w:i/>
              <w:iCs/>
              <w:spacing w:val="66"/>
              <w:w w:val="158"/>
              <w:sz w:val="22"/>
              <w:szCs w:val="22"/>
            </w:rPr>
            <w:t>2</w:t>
          </w:r>
        </w:p>
        <w:p w14:paraId="63E60750">
          <w:pPr>
            <w:tabs>
              <w:tab w:val="right" w:leader="dot" w:pos="8365"/>
            </w:tabs>
            <w:spacing w:before="61" w:line="210" w:lineRule="auto"/>
            <w:ind w:left="484"/>
            <w:rPr>
              <w:rFonts w:ascii="宋体" w:hAnsi="宋体" w:eastAsia="宋体" w:cs="宋体"/>
              <w:sz w:val="22"/>
              <w:szCs w:val="22"/>
            </w:rPr>
          </w:pPr>
          <w:r>
            <w:fldChar w:fldCharType="begin"/>
          </w:r>
          <w:r>
            <w:instrText xml:space="preserve"> HYPERLINK \l "bookmark10" </w:instrText>
          </w:r>
          <w:r>
            <w:fldChar w:fldCharType="separate"/>
          </w:r>
          <w:r>
            <w:rPr>
              <w:rFonts w:ascii="宋体" w:hAnsi="宋体" w:eastAsia="宋体" w:cs="宋体"/>
              <w:i/>
              <w:iCs/>
              <w:spacing w:val="-13"/>
              <w:sz w:val="22"/>
              <w:szCs w:val="22"/>
            </w:rPr>
            <w:t>3.3</w:t>
          </w:r>
          <w:r>
            <w:rPr>
              <w:rFonts w:ascii="宋体" w:hAnsi="宋体" w:eastAsia="宋体" w:cs="宋体"/>
              <w:spacing w:val="-38"/>
              <w:sz w:val="22"/>
              <w:szCs w:val="22"/>
            </w:rPr>
            <w:t xml:space="preserve"> </w:t>
          </w:r>
          <w:r>
            <w:rPr>
              <w:rFonts w:ascii="宋体" w:hAnsi="宋体" w:eastAsia="宋体" w:cs="宋体"/>
              <w:i/>
              <w:iCs/>
              <w:spacing w:val="-13"/>
              <w:sz w:val="22"/>
              <w:szCs w:val="22"/>
            </w:rPr>
            <w:t>审核组</w:t>
          </w:r>
          <w:r>
            <w:rPr>
              <w:rFonts w:ascii="宋体" w:hAnsi="宋体" w:eastAsia="宋体" w:cs="宋体"/>
              <w:spacing w:val="59"/>
              <w:sz w:val="22"/>
              <w:szCs w:val="22"/>
            </w:rPr>
            <w:t xml:space="preserve"> </w:t>
          </w:r>
          <w:r>
            <w:rPr>
              <w:rFonts w:ascii="宋体" w:hAnsi="宋体" w:eastAsia="宋体" w:cs="宋体"/>
              <w:sz w:val="22"/>
              <w:szCs w:val="22"/>
            </w:rPr>
            <w:tab/>
          </w:r>
          <w:r>
            <w:rPr>
              <w:rFonts w:ascii="宋体" w:hAnsi="宋体" w:eastAsia="宋体" w:cs="宋体"/>
              <w:sz w:val="22"/>
              <w:szCs w:val="22"/>
            </w:rPr>
            <w:fldChar w:fldCharType="end"/>
          </w:r>
          <w:r>
            <w:rPr>
              <w:rFonts w:ascii="宋体" w:hAnsi="宋体" w:eastAsia="宋体" w:cs="宋体"/>
              <w:i/>
              <w:iCs/>
              <w:spacing w:val="66"/>
              <w:w w:val="164"/>
              <w:sz w:val="22"/>
              <w:szCs w:val="22"/>
            </w:rPr>
            <w:t>2</w:t>
          </w:r>
        </w:p>
        <w:p w14:paraId="7C8F16E5">
          <w:pPr>
            <w:tabs>
              <w:tab w:val="right" w:leader="dot" w:pos="8365"/>
            </w:tabs>
            <w:spacing w:before="62" w:line="210" w:lineRule="auto"/>
            <w:ind w:left="484"/>
            <w:rPr>
              <w:rFonts w:ascii="宋体" w:hAnsi="宋体" w:eastAsia="宋体" w:cs="宋体"/>
              <w:sz w:val="22"/>
              <w:szCs w:val="22"/>
            </w:rPr>
          </w:pPr>
          <w:r>
            <w:fldChar w:fldCharType="begin"/>
          </w:r>
          <w:r>
            <w:instrText xml:space="preserve"> HYPERLINK \l "bookmark11" </w:instrText>
          </w:r>
          <w:r>
            <w:fldChar w:fldCharType="separate"/>
          </w:r>
          <w:r>
            <w:rPr>
              <w:rFonts w:ascii="宋体" w:hAnsi="宋体" w:eastAsia="宋体" w:cs="宋体"/>
              <w:i/>
              <w:iCs/>
              <w:spacing w:val="-14"/>
              <w:sz w:val="22"/>
              <w:szCs w:val="22"/>
            </w:rPr>
            <w:t>3.4</w:t>
          </w:r>
          <w:r>
            <w:rPr>
              <w:rFonts w:ascii="宋体" w:hAnsi="宋体" w:eastAsia="宋体" w:cs="宋体"/>
              <w:spacing w:val="-31"/>
              <w:sz w:val="22"/>
              <w:szCs w:val="22"/>
            </w:rPr>
            <w:t xml:space="preserve"> </w:t>
          </w:r>
          <w:r>
            <w:rPr>
              <w:rFonts w:ascii="宋体" w:hAnsi="宋体" w:eastAsia="宋体" w:cs="宋体"/>
              <w:i/>
              <w:iCs/>
              <w:spacing w:val="-14"/>
              <w:sz w:val="22"/>
              <w:szCs w:val="22"/>
            </w:rPr>
            <w:t>审核的依据</w:t>
          </w:r>
          <w:r>
            <w:rPr>
              <w:rFonts w:ascii="宋体" w:hAnsi="宋体" w:eastAsia="宋体" w:cs="宋体"/>
              <w:spacing w:val="58"/>
              <w:sz w:val="22"/>
              <w:szCs w:val="22"/>
            </w:rPr>
            <w:t xml:space="preserve"> </w:t>
          </w:r>
          <w:r>
            <w:rPr>
              <w:rFonts w:ascii="宋体" w:hAnsi="宋体" w:eastAsia="宋体" w:cs="宋体"/>
              <w:sz w:val="22"/>
              <w:szCs w:val="22"/>
            </w:rPr>
            <w:tab/>
          </w:r>
          <w:r>
            <w:rPr>
              <w:rFonts w:ascii="宋体" w:hAnsi="宋体" w:eastAsia="宋体" w:cs="宋体"/>
              <w:sz w:val="22"/>
              <w:szCs w:val="22"/>
            </w:rPr>
            <w:fldChar w:fldCharType="end"/>
          </w:r>
          <w:r>
            <w:rPr>
              <w:rFonts w:ascii="宋体" w:hAnsi="宋体" w:eastAsia="宋体" w:cs="宋体"/>
              <w:i/>
              <w:iCs/>
              <w:spacing w:val="75"/>
              <w:w w:val="150"/>
              <w:sz w:val="22"/>
              <w:szCs w:val="22"/>
            </w:rPr>
            <w:t>3</w:t>
          </w:r>
        </w:p>
        <w:p w14:paraId="6FF6F98C">
          <w:pPr>
            <w:tabs>
              <w:tab w:val="right" w:leader="dot" w:pos="8365"/>
            </w:tabs>
            <w:spacing w:before="62" w:line="210" w:lineRule="auto"/>
            <w:ind w:left="484"/>
            <w:rPr>
              <w:rFonts w:ascii="宋体" w:hAnsi="宋体" w:eastAsia="宋体" w:cs="宋体"/>
              <w:sz w:val="22"/>
              <w:szCs w:val="22"/>
            </w:rPr>
          </w:pPr>
          <w:r>
            <w:fldChar w:fldCharType="begin"/>
          </w:r>
          <w:r>
            <w:instrText xml:space="preserve"> HYPERLINK \l "bookmark12" </w:instrText>
          </w:r>
          <w:r>
            <w:fldChar w:fldCharType="separate"/>
          </w:r>
          <w:r>
            <w:rPr>
              <w:rFonts w:ascii="宋体" w:hAnsi="宋体" w:eastAsia="宋体" w:cs="宋体"/>
              <w:i/>
              <w:iCs/>
              <w:spacing w:val="-14"/>
              <w:sz w:val="22"/>
              <w:szCs w:val="22"/>
            </w:rPr>
            <w:t>3.5</w:t>
          </w:r>
          <w:r>
            <w:rPr>
              <w:rFonts w:ascii="宋体" w:hAnsi="宋体" w:eastAsia="宋体" w:cs="宋体"/>
              <w:spacing w:val="-31"/>
              <w:sz w:val="22"/>
              <w:szCs w:val="22"/>
            </w:rPr>
            <w:t xml:space="preserve"> </w:t>
          </w:r>
          <w:r>
            <w:rPr>
              <w:rFonts w:ascii="宋体" w:hAnsi="宋体" w:eastAsia="宋体" w:cs="宋体"/>
              <w:i/>
              <w:iCs/>
              <w:spacing w:val="-14"/>
              <w:sz w:val="22"/>
              <w:szCs w:val="22"/>
            </w:rPr>
            <w:t>审核的计划</w:t>
          </w:r>
          <w:r>
            <w:rPr>
              <w:rFonts w:ascii="宋体" w:hAnsi="宋体" w:eastAsia="宋体" w:cs="宋体"/>
              <w:spacing w:val="58"/>
              <w:sz w:val="22"/>
              <w:szCs w:val="22"/>
            </w:rPr>
            <w:t xml:space="preserve"> </w:t>
          </w:r>
          <w:r>
            <w:rPr>
              <w:rFonts w:ascii="宋体" w:hAnsi="宋体" w:eastAsia="宋体" w:cs="宋体"/>
              <w:sz w:val="22"/>
              <w:szCs w:val="22"/>
            </w:rPr>
            <w:tab/>
          </w:r>
          <w:r>
            <w:rPr>
              <w:rFonts w:ascii="宋体" w:hAnsi="宋体" w:eastAsia="宋体" w:cs="宋体"/>
              <w:sz w:val="22"/>
              <w:szCs w:val="22"/>
            </w:rPr>
            <w:fldChar w:fldCharType="end"/>
          </w:r>
          <w:r>
            <w:rPr>
              <w:rFonts w:ascii="宋体" w:hAnsi="宋体" w:eastAsia="宋体" w:cs="宋体"/>
              <w:i/>
              <w:iCs/>
              <w:spacing w:val="75"/>
              <w:w w:val="150"/>
              <w:sz w:val="22"/>
              <w:szCs w:val="22"/>
            </w:rPr>
            <w:t>3</w:t>
          </w:r>
        </w:p>
        <w:p w14:paraId="5A0414CA">
          <w:pPr>
            <w:tabs>
              <w:tab w:val="right" w:leader="dot" w:pos="8330"/>
            </w:tabs>
            <w:spacing w:before="63" w:line="219" w:lineRule="auto"/>
            <w:ind w:left="246"/>
            <w:rPr>
              <w:rFonts w:ascii="宋体" w:hAnsi="宋体" w:eastAsia="宋体" w:cs="宋体"/>
              <w:sz w:val="21"/>
              <w:szCs w:val="21"/>
            </w:rPr>
          </w:pPr>
          <w:r>
            <w:fldChar w:fldCharType="begin"/>
          </w:r>
          <w:r>
            <w:instrText xml:space="preserve"> HYPERLINK \l "bookmark13"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sz w:val="21"/>
              <w:szCs w:val="21"/>
            </w:rPr>
            <w:t>4.审核的准备</w:t>
          </w:r>
          <w:r>
            <w:rPr>
              <w:rFonts w:ascii="宋体" w:hAnsi="宋体" w:eastAsia="宋体" w:cs="宋体"/>
              <w:sz w:val="21"/>
              <w:szCs w:val="21"/>
            </w:rPr>
            <w:tab/>
          </w:r>
          <w:r>
            <w:rPr>
              <w:rFonts w:ascii="宋体" w:hAnsi="宋体" w:eastAsia="宋体" w:cs="宋体"/>
              <w:spacing w:val="1"/>
              <w:sz w:val="21"/>
              <w:szCs w:val="21"/>
            </w:rPr>
            <w:t>3</w:t>
          </w:r>
          <w:r>
            <w:rPr>
              <w:rFonts w:ascii="宋体" w:hAnsi="宋体" w:eastAsia="宋体" w:cs="宋体"/>
              <w:spacing w:val="1"/>
              <w:sz w:val="21"/>
              <w:szCs w:val="21"/>
            </w:rPr>
            <w:fldChar w:fldCharType="end"/>
          </w:r>
        </w:p>
        <w:p w14:paraId="31DBEC0B">
          <w:pPr>
            <w:tabs>
              <w:tab w:val="right" w:leader="dot" w:pos="8330"/>
            </w:tabs>
            <w:spacing w:before="63" w:line="219" w:lineRule="auto"/>
            <w:ind w:left="251"/>
            <w:rPr>
              <w:rFonts w:ascii="宋体" w:hAnsi="宋体" w:eastAsia="宋体" w:cs="宋体"/>
              <w:sz w:val="21"/>
              <w:szCs w:val="21"/>
            </w:rPr>
          </w:pPr>
          <w:r>
            <w:fldChar w:fldCharType="begin"/>
          </w:r>
          <w:r>
            <w:instrText xml:space="preserve"> HYPERLINK \l "bookmark14"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sz w:val="21"/>
              <w:szCs w:val="21"/>
            </w:rPr>
            <w:t>5.审核的实施</w:t>
          </w:r>
          <w:r>
            <w:rPr>
              <w:rFonts w:ascii="宋体" w:hAnsi="宋体" w:eastAsia="宋体" w:cs="宋体"/>
              <w:sz w:val="21"/>
              <w:szCs w:val="21"/>
            </w:rPr>
            <w:tab/>
          </w:r>
          <w:r>
            <w:rPr>
              <w:rFonts w:ascii="宋体" w:hAnsi="宋体" w:eastAsia="宋体" w:cs="宋体"/>
              <w:spacing w:val="1"/>
              <w:sz w:val="21"/>
              <w:szCs w:val="21"/>
            </w:rPr>
            <w:t>3</w:t>
          </w:r>
          <w:r>
            <w:rPr>
              <w:rFonts w:ascii="宋体" w:hAnsi="宋体" w:eastAsia="宋体" w:cs="宋体"/>
              <w:spacing w:val="1"/>
              <w:sz w:val="21"/>
              <w:szCs w:val="21"/>
            </w:rPr>
            <w:fldChar w:fldCharType="end"/>
          </w:r>
        </w:p>
        <w:p w14:paraId="4E3FFED9">
          <w:pPr>
            <w:tabs>
              <w:tab w:val="right" w:leader="dot" w:pos="8330"/>
            </w:tabs>
            <w:spacing w:before="62" w:line="218" w:lineRule="auto"/>
            <w:ind w:left="248"/>
            <w:rPr>
              <w:rFonts w:ascii="宋体" w:hAnsi="宋体" w:eastAsia="宋体" w:cs="宋体"/>
              <w:sz w:val="21"/>
              <w:szCs w:val="21"/>
            </w:rPr>
          </w:pPr>
          <w:r>
            <w:fldChar w:fldCharType="begin"/>
          </w:r>
          <w:r>
            <w:instrText xml:space="preserve"> HYPERLINK \l "bookmark15"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sz w:val="21"/>
              <w:szCs w:val="21"/>
            </w:rPr>
            <w:t>6.不符合项报告</w:t>
          </w:r>
          <w:r>
            <w:rPr>
              <w:rFonts w:ascii="宋体" w:hAnsi="宋体" w:eastAsia="宋体" w:cs="宋体"/>
              <w:sz w:val="21"/>
              <w:szCs w:val="21"/>
            </w:rPr>
            <w:tab/>
          </w:r>
          <w:r>
            <w:rPr>
              <w:rFonts w:ascii="宋体" w:hAnsi="宋体" w:eastAsia="宋体" w:cs="宋体"/>
              <w:spacing w:val="1"/>
              <w:sz w:val="21"/>
              <w:szCs w:val="21"/>
            </w:rPr>
            <w:t>4</w:t>
          </w:r>
          <w:r>
            <w:rPr>
              <w:rFonts w:ascii="宋体" w:hAnsi="宋体" w:eastAsia="宋体" w:cs="宋体"/>
              <w:spacing w:val="1"/>
              <w:sz w:val="21"/>
              <w:szCs w:val="21"/>
            </w:rPr>
            <w:fldChar w:fldCharType="end"/>
          </w:r>
        </w:p>
        <w:p w14:paraId="522E07E5">
          <w:pPr>
            <w:tabs>
              <w:tab w:val="right" w:leader="dot" w:pos="8330"/>
            </w:tabs>
            <w:spacing w:before="64" w:line="218" w:lineRule="auto"/>
            <w:ind w:left="252"/>
            <w:rPr>
              <w:rFonts w:ascii="宋体" w:hAnsi="宋体" w:eastAsia="宋体" w:cs="宋体"/>
              <w:sz w:val="21"/>
              <w:szCs w:val="21"/>
            </w:rPr>
          </w:pPr>
          <w:r>
            <w:fldChar w:fldCharType="begin"/>
          </w:r>
          <w:r>
            <w:instrText xml:space="preserve"> HYPERLINK \l "bookmark16"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3"/>
              <w:sz w:val="21"/>
              <w:szCs w:val="21"/>
            </w:rPr>
            <w:t>7.审核报告</w:t>
          </w:r>
          <w:r>
            <w:rPr>
              <w:rFonts w:ascii="宋体" w:hAnsi="宋体" w:eastAsia="宋体" w:cs="宋体"/>
              <w:sz w:val="21"/>
              <w:szCs w:val="21"/>
            </w:rPr>
            <w:tab/>
          </w:r>
          <w:r>
            <w:rPr>
              <w:rFonts w:ascii="宋体" w:hAnsi="宋体" w:eastAsia="宋体" w:cs="宋体"/>
              <w:spacing w:val="1"/>
              <w:sz w:val="21"/>
              <w:szCs w:val="21"/>
            </w:rPr>
            <w:t>5</w:t>
          </w:r>
          <w:r>
            <w:rPr>
              <w:rFonts w:ascii="宋体" w:hAnsi="宋体" w:eastAsia="宋体" w:cs="宋体"/>
              <w:spacing w:val="1"/>
              <w:sz w:val="21"/>
              <w:szCs w:val="21"/>
            </w:rPr>
            <w:fldChar w:fldCharType="end"/>
          </w:r>
        </w:p>
        <w:p w14:paraId="50EAA68E">
          <w:pPr>
            <w:tabs>
              <w:tab w:val="right" w:leader="dot" w:pos="8330"/>
            </w:tabs>
            <w:spacing w:before="64" w:line="219" w:lineRule="auto"/>
            <w:ind w:left="248"/>
            <w:rPr>
              <w:rFonts w:ascii="宋体" w:hAnsi="宋体" w:eastAsia="宋体" w:cs="宋体"/>
              <w:sz w:val="21"/>
              <w:szCs w:val="21"/>
            </w:rPr>
          </w:pPr>
          <w:r>
            <w:fldChar w:fldCharType="begin"/>
          </w:r>
          <w:r>
            <w:instrText xml:space="preserve"> HYPERLINK \l "bookmark17"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sz w:val="21"/>
              <w:szCs w:val="21"/>
            </w:rPr>
            <w:t>8.总结会议</w:t>
          </w:r>
          <w:r>
            <w:rPr>
              <w:rFonts w:ascii="宋体" w:hAnsi="宋体" w:eastAsia="宋体" w:cs="宋体"/>
              <w:sz w:val="21"/>
              <w:szCs w:val="21"/>
            </w:rPr>
            <w:tab/>
          </w:r>
          <w:r>
            <w:rPr>
              <w:rFonts w:ascii="宋体" w:hAnsi="宋体" w:eastAsia="宋体" w:cs="宋体"/>
              <w:spacing w:val="1"/>
              <w:sz w:val="21"/>
              <w:szCs w:val="21"/>
            </w:rPr>
            <w:t>5</w:t>
          </w:r>
          <w:r>
            <w:rPr>
              <w:rFonts w:ascii="宋体" w:hAnsi="宋体" w:eastAsia="宋体" w:cs="宋体"/>
              <w:spacing w:val="1"/>
              <w:sz w:val="21"/>
              <w:szCs w:val="21"/>
            </w:rPr>
            <w:fldChar w:fldCharType="end"/>
          </w:r>
        </w:p>
        <w:p w14:paraId="3C3D4E54">
          <w:pPr>
            <w:tabs>
              <w:tab w:val="right" w:leader="dot" w:pos="8330"/>
            </w:tabs>
            <w:spacing w:before="63" w:line="219" w:lineRule="auto"/>
            <w:ind w:left="248"/>
            <w:rPr>
              <w:rFonts w:ascii="宋体" w:hAnsi="宋体" w:eastAsia="宋体" w:cs="宋体"/>
              <w:sz w:val="21"/>
              <w:szCs w:val="21"/>
            </w:rPr>
          </w:pPr>
          <w:r>
            <w:fldChar w:fldCharType="begin"/>
          </w:r>
          <w:r>
            <w:instrText xml:space="preserve"> HYPERLINK \l "bookmark18"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sz w:val="21"/>
              <w:szCs w:val="21"/>
            </w:rPr>
            <w:t>9.服务改进措施</w:t>
          </w:r>
          <w:r>
            <w:rPr>
              <w:rFonts w:ascii="宋体" w:hAnsi="宋体" w:eastAsia="宋体" w:cs="宋体"/>
              <w:sz w:val="21"/>
              <w:szCs w:val="21"/>
            </w:rPr>
            <w:tab/>
          </w:r>
          <w:r>
            <w:rPr>
              <w:rFonts w:ascii="宋体" w:hAnsi="宋体" w:eastAsia="宋体" w:cs="宋体"/>
              <w:spacing w:val="1"/>
              <w:sz w:val="21"/>
              <w:szCs w:val="21"/>
            </w:rPr>
            <w:t>5</w:t>
          </w:r>
          <w:r>
            <w:rPr>
              <w:rFonts w:ascii="宋体" w:hAnsi="宋体" w:eastAsia="宋体" w:cs="宋体"/>
              <w:spacing w:val="1"/>
              <w:sz w:val="21"/>
              <w:szCs w:val="21"/>
            </w:rPr>
            <w:fldChar w:fldCharType="end"/>
          </w:r>
        </w:p>
        <w:p w14:paraId="44A18F75">
          <w:pPr>
            <w:tabs>
              <w:tab w:val="right" w:leader="dot" w:pos="8330"/>
            </w:tabs>
            <w:spacing w:before="63" w:line="219" w:lineRule="auto"/>
            <w:ind w:left="262"/>
            <w:rPr>
              <w:rFonts w:ascii="宋体" w:hAnsi="宋体" w:eastAsia="宋体" w:cs="宋体"/>
              <w:sz w:val="21"/>
              <w:szCs w:val="21"/>
            </w:rPr>
          </w:pPr>
          <w:r>
            <w:fldChar w:fldCharType="begin"/>
          </w:r>
          <w:r>
            <w:instrText xml:space="preserve"> HYPERLINK \l "bookmark19"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4"/>
              <w:sz w:val="21"/>
              <w:szCs w:val="21"/>
            </w:rPr>
            <w:t>10.跟踪验证</w:t>
          </w:r>
          <w:r>
            <w:rPr>
              <w:rFonts w:ascii="宋体" w:hAnsi="宋体" w:eastAsia="宋体" w:cs="宋体"/>
              <w:sz w:val="21"/>
              <w:szCs w:val="21"/>
            </w:rPr>
            <w:tab/>
          </w:r>
          <w:r>
            <w:rPr>
              <w:rFonts w:ascii="宋体" w:hAnsi="宋体" w:eastAsia="宋体" w:cs="宋体"/>
              <w:spacing w:val="1"/>
              <w:sz w:val="21"/>
              <w:szCs w:val="21"/>
            </w:rPr>
            <w:t>5</w:t>
          </w:r>
          <w:r>
            <w:rPr>
              <w:rFonts w:ascii="宋体" w:hAnsi="宋体" w:eastAsia="宋体" w:cs="宋体"/>
              <w:spacing w:val="1"/>
              <w:sz w:val="21"/>
              <w:szCs w:val="21"/>
            </w:rPr>
            <w:fldChar w:fldCharType="end"/>
          </w:r>
        </w:p>
        <w:p w14:paraId="7191B57F">
          <w:pPr>
            <w:tabs>
              <w:tab w:val="right" w:leader="dot" w:pos="8330"/>
            </w:tabs>
            <w:spacing w:before="62" w:line="220" w:lineRule="auto"/>
            <w:ind w:left="262"/>
            <w:rPr>
              <w:rFonts w:ascii="宋体" w:hAnsi="宋体" w:eastAsia="宋体" w:cs="宋体"/>
              <w:sz w:val="21"/>
              <w:szCs w:val="21"/>
            </w:rPr>
          </w:pPr>
          <w:r>
            <w:fldChar w:fldCharType="begin"/>
          </w:r>
          <w:r>
            <w:instrText xml:space="preserve"> HYPERLINK \l "bookmark20"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4"/>
              <w:sz w:val="21"/>
              <w:szCs w:val="21"/>
            </w:rPr>
            <w:t>11.内审记录</w:t>
          </w:r>
          <w:r>
            <w:rPr>
              <w:rFonts w:ascii="宋体" w:hAnsi="宋体" w:eastAsia="宋体" w:cs="宋体"/>
              <w:sz w:val="21"/>
              <w:szCs w:val="21"/>
            </w:rPr>
            <w:tab/>
          </w:r>
          <w:r>
            <w:rPr>
              <w:rFonts w:ascii="宋体" w:hAnsi="宋体" w:eastAsia="宋体" w:cs="宋体"/>
              <w:spacing w:val="1"/>
              <w:sz w:val="21"/>
              <w:szCs w:val="21"/>
            </w:rPr>
            <w:t>5</w:t>
          </w:r>
          <w:r>
            <w:rPr>
              <w:rFonts w:ascii="宋体" w:hAnsi="宋体" w:eastAsia="宋体" w:cs="宋体"/>
              <w:spacing w:val="1"/>
              <w:sz w:val="21"/>
              <w:szCs w:val="21"/>
            </w:rPr>
            <w:fldChar w:fldCharType="end"/>
          </w:r>
        </w:p>
      </w:sdtContent>
    </w:sdt>
    <w:p w14:paraId="6A3FD4E4">
      <w:pPr>
        <w:spacing w:line="220" w:lineRule="auto"/>
        <w:rPr>
          <w:rFonts w:ascii="宋体" w:hAnsi="宋体" w:eastAsia="宋体" w:cs="宋体"/>
          <w:sz w:val="21"/>
          <w:szCs w:val="21"/>
        </w:rPr>
        <w:sectPr>
          <w:headerReference r:id="rId5" w:type="default"/>
          <w:footerReference r:id="rId6" w:type="default"/>
          <w:pgSz w:w="11907" w:h="16840"/>
          <w:pgMar w:top="1162" w:right="1768" w:bottom="1359" w:left="1768" w:header="830" w:footer="1198" w:gutter="0"/>
          <w:cols w:space="720" w:num="1"/>
        </w:sectPr>
      </w:pPr>
    </w:p>
    <w:p w14:paraId="0281562B">
      <w:pPr>
        <w:pStyle w:val="2"/>
        <w:spacing w:line="266" w:lineRule="auto"/>
      </w:pPr>
    </w:p>
    <w:p w14:paraId="7BED64D1">
      <w:pPr>
        <w:pStyle w:val="2"/>
        <w:spacing w:line="266" w:lineRule="auto"/>
      </w:pPr>
    </w:p>
    <w:p w14:paraId="312D121E">
      <w:pPr>
        <w:pStyle w:val="2"/>
        <w:spacing w:line="266" w:lineRule="auto"/>
      </w:pPr>
    </w:p>
    <w:p w14:paraId="53781CB4">
      <w:pPr>
        <w:pStyle w:val="2"/>
        <w:spacing w:line="266" w:lineRule="auto"/>
      </w:pPr>
    </w:p>
    <w:p w14:paraId="774E1466">
      <w:pPr>
        <w:pStyle w:val="2"/>
        <w:spacing w:line="266" w:lineRule="auto"/>
      </w:pPr>
    </w:p>
    <w:p w14:paraId="234DC04A">
      <w:pPr>
        <w:pStyle w:val="2"/>
        <w:spacing w:line="266" w:lineRule="auto"/>
      </w:pPr>
    </w:p>
    <w:p w14:paraId="47371A45">
      <w:pPr>
        <w:pStyle w:val="2"/>
        <w:spacing w:line="266" w:lineRule="auto"/>
      </w:pPr>
    </w:p>
    <w:p w14:paraId="55427C37">
      <w:pPr>
        <w:pStyle w:val="2"/>
        <w:spacing w:line="266" w:lineRule="auto"/>
      </w:pPr>
    </w:p>
    <w:p w14:paraId="4298A2A4">
      <w:pPr>
        <w:spacing w:before="130" w:line="222" w:lineRule="auto"/>
        <w:ind w:left="50"/>
        <w:outlineLvl w:val="0"/>
        <w:rPr>
          <w:rFonts w:ascii="宋体" w:hAnsi="宋体" w:eastAsia="宋体" w:cs="宋体"/>
          <w:sz w:val="40"/>
          <w:szCs w:val="40"/>
        </w:rPr>
      </w:pPr>
      <w:bookmarkStart w:id="1" w:name="bookmark2"/>
      <w:bookmarkEnd w:id="1"/>
      <w:r>
        <w:rPr>
          <w:rFonts w:ascii="宋体" w:hAnsi="宋体" w:eastAsia="宋体" w:cs="宋体"/>
          <w:b/>
          <w:bCs/>
          <w:spacing w:val="-15"/>
          <w:sz w:val="40"/>
          <w:szCs w:val="40"/>
        </w:rPr>
        <w:t>一、目的</w:t>
      </w:r>
    </w:p>
    <w:p w14:paraId="5A7752CE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确定青岛慧海联创信息技术有限公司的 ITSS 运维服务质量管理体系是否满足规定要求，以及是否得到有效实施和保持。</w:t>
      </w:r>
    </w:p>
    <w:p w14:paraId="18A19BF9">
      <w:pPr>
        <w:spacing w:line="220" w:lineRule="auto"/>
        <w:ind w:left="50"/>
        <w:outlineLvl w:val="0"/>
        <w:rPr>
          <w:rFonts w:ascii="宋体" w:hAnsi="宋体" w:eastAsia="宋体" w:cs="宋体"/>
          <w:sz w:val="40"/>
          <w:szCs w:val="40"/>
        </w:rPr>
      </w:pPr>
      <w:bookmarkStart w:id="2" w:name="bookmark3"/>
      <w:bookmarkEnd w:id="2"/>
      <w:r>
        <w:rPr>
          <w:rFonts w:ascii="宋体" w:hAnsi="宋体" w:eastAsia="宋体" w:cs="宋体"/>
          <w:b/>
          <w:bCs/>
          <w:spacing w:val="-8"/>
          <w:sz w:val="40"/>
          <w:szCs w:val="40"/>
        </w:rPr>
        <w:t>二、适用范围</w:t>
      </w:r>
    </w:p>
    <w:p w14:paraId="139F590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适用于青岛慧海联创信息技术有限公司的运维服务管理体系的内审。</w:t>
      </w:r>
    </w:p>
    <w:p w14:paraId="769AC42C">
      <w:pPr>
        <w:spacing w:before="182" w:line="221" w:lineRule="auto"/>
        <w:ind w:left="44"/>
        <w:outlineLvl w:val="0"/>
        <w:rPr>
          <w:rFonts w:ascii="宋体" w:hAnsi="宋体" w:eastAsia="宋体" w:cs="宋体"/>
          <w:sz w:val="40"/>
          <w:szCs w:val="40"/>
        </w:rPr>
      </w:pPr>
      <w:bookmarkStart w:id="3" w:name="bookmark5"/>
      <w:bookmarkEnd w:id="3"/>
      <w:bookmarkStart w:id="4" w:name="bookmark4"/>
      <w:bookmarkEnd w:id="4"/>
      <w:r>
        <w:rPr>
          <w:rFonts w:ascii="宋体" w:hAnsi="宋体" w:eastAsia="宋体" w:cs="宋体"/>
          <w:b/>
          <w:bCs/>
          <w:spacing w:val="-6"/>
          <w:sz w:val="40"/>
          <w:szCs w:val="40"/>
        </w:rPr>
        <w:t>三、职责</w:t>
      </w:r>
    </w:p>
    <w:p w14:paraId="29F42105">
      <w:pPr>
        <w:spacing w:before="305" w:line="220" w:lineRule="auto"/>
        <w:ind w:left="65"/>
        <w:outlineLvl w:val="1"/>
        <w:rPr>
          <w:rFonts w:ascii="宋体" w:hAnsi="宋体" w:eastAsia="宋体" w:cs="宋体"/>
          <w:sz w:val="32"/>
          <w:szCs w:val="32"/>
        </w:rPr>
      </w:pPr>
      <w:bookmarkStart w:id="5" w:name="bookmark21"/>
      <w:bookmarkEnd w:id="5"/>
      <w:r>
        <w:rPr>
          <w:rFonts w:ascii="宋体" w:hAnsi="宋体" w:eastAsia="宋体" w:cs="宋体"/>
          <w:b/>
          <w:bCs/>
          <w:spacing w:val="-3"/>
          <w:sz w:val="32"/>
          <w:szCs w:val="32"/>
        </w:rPr>
        <w:t>1.质量中心</w:t>
      </w:r>
    </w:p>
    <w:p w14:paraId="4CA57469">
      <w:pPr>
        <w:pStyle w:val="2"/>
        <w:spacing w:line="244" w:lineRule="auto"/>
      </w:pPr>
    </w:p>
    <w:p w14:paraId="029F6EE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1)质量中心负责制订《内审计划》，由主管审批，质量中心负责组织内审活动，组建审核组。</w:t>
      </w:r>
    </w:p>
    <w:p w14:paraId="6D6D581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2)质量中心经理或其他指定人员担任审核组长，负责组织编制内部质量体系审核检查表，并组织内审的实施，负责不符合项的跟踪验证。</w:t>
      </w:r>
    </w:p>
    <w:p w14:paraId="53CBD795">
      <w:pPr>
        <w:spacing w:before="340" w:line="220" w:lineRule="auto"/>
        <w:ind w:left="45"/>
        <w:outlineLvl w:val="1"/>
        <w:rPr>
          <w:rFonts w:ascii="宋体" w:hAnsi="宋体" w:eastAsia="宋体" w:cs="宋体"/>
          <w:sz w:val="32"/>
          <w:szCs w:val="32"/>
        </w:rPr>
      </w:pPr>
      <w:bookmarkStart w:id="6" w:name="bookmark6"/>
      <w:bookmarkEnd w:id="6"/>
      <w:r>
        <w:rPr>
          <w:rFonts w:ascii="宋体" w:hAnsi="宋体" w:eastAsia="宋体" w:cs="宋体"/>
          <w:b/>
          <w:bCs/>
          <w:spacing w:val="-1"/>
          <w:sz w:val="32"/>
          <w:szCs w:val="32"/>
        </w:rPr>
        <w:t>2.其他相关部门</w:t>
      </w:r>
    </w:p>
    <w:p w14:paraId="687A1FBB">
      <w:pPr>
        <w:pStyle w:val="2"/>
        <w:spacing w:line="244" w:lineRule="auto"/>
      </w:pPr>
    </w:p>
    <w:p w14:paraId="3AADE79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1)</w:t>
      </w:r>
      <w:r>
        <w:rPr>
          <w:rFonts w:ascii="宋体" w:hAnsi="宋体" w:eastAsia="宋体" w:cs="宋体"/>
          <w:spacing w:val="-1"/>
          <w:sz w:val="24"/>
          <w:szCs w:val="24"/>
        </w:rPr>
        <w:t>各受审核的部门配合审核工作的实施。</w:t>
      </w:r>
    </w:p>
    <w:p w14:paraId="23852080">
      <w:pPr>
        <w:spacing w:before="341" w:line="220" w:lineRule="auto"/>
        <w:ind w:left="47"/>
        <w:outlineLvl w:val="1"/>
      </w:pPr>
      <w:bookmarkStart w:id="7" w:name="bookmark8"/>
      <w:bookmarkEnd w:id="7"/>
      <w:bookmarkStart w:id="8" w:name="bookmark9"/>
      <w:bookmarkEnd w:id="8"/>
      <w:bookmarkStart w:id="9" w:name="bookmark7"/>
      <w:bookmarkEnd w:id="9"/>
      <w:r>
        <w:rPr>
          <w:rFonts w:ascii="宋体" w:hAnsi="宋体" w:eastAsia="宋体" w:cs="宋体"/>
          <w:b/>
          <w:bCs/>
          <w:sz w:val="32"/>
          <w:szCs w:val="32"/>
        </w:rPr>
        <w:t>3.工作程序</w:t>
      </w:r>
    </w:p>
    <w:p w14:paraId="4C504C94">
      <w:pPr>
        <w:spacing w:before="98" w:line="220" w:lineRule="auto"/>
        <w:ind w:left="41"/>
        <w:outlineLvl w:val="2"/>
        <w:rPr>
          <w:rFonts w:hint="eastAsia" w:ascii="宋体" w:hAnsi="宋体" w:eastAsia="宋体" w:cs="宋体"/>
          <w:b/>
          <w:bCs/>
          <w:sz w:val="30"/>
          <w:szCs w:val="30"/>
        </w:rPr>
      </w:pPr>
      <w:bookmarkStart w:id="10" w:name="bookmark22"/>
      <w:bookmarkEnd w:id="10"/>
      <w:r>
        <w:rPr>
          <w:rFonts w:hint="eastAsia" w:ascii="宋体" w:hAnsi="宋体" w:eastAsia="宋体" w:cs="宋体"/>
          <w:b/>
          <w:bCs/>
          <w:spacing w:val="-5"/>
          <w:sz w:val="30"/>
          <w:szCs w:val="30"/>
        </w:rPr>
        <w:t>3.1</w:t>
      </w:r>
      <w:r>
        <w:rPr>
          <w:rFonts w:hint="eastAsia" w:ascii="宋体" w:hAnsi="宋体" w:eastAsia="宋体" w:cs="宋体"/>
          <w:b/>
          <w:bCs/>
          <w:spacing w:val="32"/>
          <w:sz w:val="30"/>
          <w:szCs w:val="30"/>
        </w:rPr>
        <w:t xml:space="preserve"> </w:t>
      </w:r>
      <w:r>
        <w:rPr>
          <w:rFonts w:hint="eastAsia" w:ascii="宋体" w:hAnsi="宋体" w:eastAsia="宋体" w:cs="宋体"/>
          <w:b/>
          <w:bCs/>
          <w:spacing w:val="-5"/>
          <w:sz w:val="30"/>
          <w:szCs w:val="30"/>
        </w:rPr>
        <w:t>审核的频次</w:t>
      </w:r>
    </w:p>
    <w:p w14:paraId="53F003A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1)完整的内审时间间隔不超过 1 年。</w:t>
      </w:r>
    </w:p>
    <w:p w14:paraId="57B732D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2)需要时经副总批准后，可增加部分或完整质量体系的审核。</w:t>
      </w:r>
    </w:p>
    <w:p w14:paraId="42208F5A">
      <w:pPr>
        <w:spacing w:before="99" w:line="220" w:lineRule="auto"/>
        <w:ind w:left="41"/>
        <w:outlineLvl w:val="2"/>
        <w:rPr>
          <w:rFonts w:hint="eastAsia" w:ascii="宋体" w:hAnsi="宋体" w:eastAsia="宋体" w:cs="宋体"/>
          <w:b/>
          <w:bCs/>
          <w:sz w:val="30"/>
          <w:szCs w:val="30"/>
        </w:rPr>
      </w:pPr>
      <w:bookmarkStart w:id="11" w:name="bookmark23"/>
      <w:bookmarkEnd w:id="11"/>
      <w:r>
        <w:rPr>
          <w:rFonts w:hint="eastAsia" w:ascii="宋体" w:hAnsi="宋体" w:eastAsia="宋体" w:cs="宋体"/>
          <w:b/>
          <w:bCs/>
          <w:spacing w:val="-5"/>
          <w:sz w:val="30"/>
          <w:szCs w:val="30"/>
        </w:rPr>
        <w:t>3.2</w:t>
      </w:r>
      <w:r>
        <w:rPr>
          <w:rFonts w:hint="eastAsia" w:ascii="宋体" w:hAnsi="宋体" w:eastAsia="宋体" w:cs="宋体"/>
          <w:b/>
          <w:bCs/>
          <w:spacing w:val="32"/>
          <w:sz w:val="30"/>
          <w:szCs w:val="30"/>
        </w:rPr>
        <w:t xml:space="preserve"> </w:t>
      </w:r>
      <w:r>
        <w:rPr>
          <w:rFonts w:hint="eastAsia" w:ascii="宋体" w:hAnsi="宋体" w:eastAsia="宋体" w:cs="宋体"/>
          <w:b/>
          <w:bCs/>
          <w:spacing w:val="-5"/>
          <w:sz w:val="30"/>
          <w:szCs w:val="30"/>
        </w:rPr>
        <w:t>审核的策划</w:t>
      </w:r>
    </w:p>
    <w:p w14:paraId="4992CF5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1)</w:t>
      </w:r>
      <w:r>
        <w:rPr>
          <w:rFonts w:ascii="宋体" w:hAnsi="宋体" w:eastAsia="宋体" w:cs="宋体"/>
          <w:spacing w:val="-1"/>
          <w:sz w:val="24"/>
          <w:szCs w:val="24"/>
        </w:rPr>
        <w:t>质量中心经理负责将下一次内审的《内审计划》 并发至各部门，在内审前进行策划。</w:t>
      </w:r>
    </w:p>
    <w:p w14:paraId="395E0F6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2)</w:t>
      </w:r>
      <w:r>
        <w:rPr>
          <w:rFonts w:ascii="宋体" w:hAnsi="宋体" w:eastAsia="宋体" w:cs="宋体"/>
          <w:spacing w:val="-1"/>
          <w:sz w:val="24"/>
          <w:szCs w:val="24"/>
        </w:rPr>
        <w:t>策划时应考虑审核过程和区域的状况和重要性以及以往的审核结果。</w:t>
      </w:r>
    </w:p>
    <w:p w14:paraId="51B16ED2">
      <w:pPr>
        <w:spacing w:before="98" w:line="220" w:lineRule="auto"/>
        <w:ind w:left="41"/>
        <w:rPr>
          <w:rFonts w:hint="eastAsia" w:ascii="宋体" w:hAnsi="宋体" w:eastAsia="宋体" w:cs="宋体"/>
          <w:b/>
          <w:bCs/>
          <w:sz w:val="30"/>
          <w:szCs w:val="30"/>
        </w:rPr>
      </w:pPr>
      <w:bookmarkStart w:id="12" w:name="bookmark10"/>
      <w:bookmarkEnd w:id="12"/>
      <w:r>
        <w:rPr>
          <w:rFonts w:hint="eastAsia" w:ascii="宋体" w:hAnsi="宋体" w:eastAsia="宋体" w:cs="宋体"/>
          <w:b/>
          <w:bCs/>
          <w:spacing w:val="-6"/>
          <w:sz w:val="30"/>
          <w:szCs w:val="30"/>
        </w:rPr>
        <w:t>3.3</w:t>
      </w:r>
      <w:r>
        <w:rPr>
          <w:rFonts w:hint="eastAsia" w:ascii="宋体" w:hAnsi="宋体" w:eastAsia="宋体" w:cs="宋体"/>
          <w:b/>
          <w:bCs/>
          <w:spacing w:val="31"/>
          <w:sz w:val="30"/>
          <w:szCs w:val="30"/>
        </w:rPr>
        <w:t xml:space="preserve"> </w:t>
      </w:r>
      <w:r>
        <w:rPr>
          <w:rFonts w:hint="eastAsia" w:ascii="宋体" w:hAnsi="宋体" w:eastAsia="宋体" w:cs="宋体"/>
          <w:b/>
          <w:bCs/>
          <w:spacing w:val="-6"/>
          <w:sz w:val="30"/>
          <w:szCs w:val="30"/>
        </w:rPr>
        <w:t>审核组</w:t>
      </w:r>
    </w:p>
    <w:p w14:paraId="1F67A89B">
      <w:pPr>
        <w:spacing w:line="220" w:lineRule="auto"/>
        <w:ind w:left="32"/>
        <w:rPr>
          <w:rFonts w:ascii="Times New Roman" w:hAnsi="Times New Roman" w:eastAsia="Times New Roman" w:cs="Times New Roman"/>
          <w:b/>
          <w:bCs/>
          <w:spacing w:val="-4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pacing w:val="-4"/>
          <w:sz w:val="24"/>
          <w:szCs w:val="24"/>
        </w:rPr>
        <w:t>3.3.1 审核组成员</w:t>
      </w:r>
    </w:p>
    <w:p w14:paraId="3485931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审核组长由质量中心经理或指定人员担任，根据审核特点从本公司的内审</w:t>
      </w:r>
      <w:r>
        <w:rPr>
          <w:rFonts w:ascii="宋体" w:hAnsi="宋体" w:eastAsia="宋体" w:cs="宋体"/>
          <w:spacing w:val="-2"/>
          <w:sz w:val="24"/>
          <w:szCs w:val="24"/>
        </w:rPr>
        <w:t>员中选定若干名组成审核组。审核组长对最终的审核结论和审核报告负责。</w:t>
      </w:r>
    </w:p>
    <w:p w14:paraId="530FDF79">
      <w:pPr>
        <w:spacing w:line="220" w:lineRule="auto"/>
        <w:ind w:left="32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pacing w:val="-4"/>
          <w:sz w:val="24"/>
          <w:szCs w:val="24"/>
        </w:rPr>
        <w:t>3.3.2</w:t>
      </w:r>
      <w:r>
        <w:rPr>
          <w:rFonts w:ascii="Times New Roman" w:hAnsi="Times New Roman" w:eastAsia="Times New Roman" w:cs="Times New Roman"/>
          <w:b/>
          <w:bCs/>
          <w:spacing w:val="27"/>
          <w:w w:val="101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24"/>
          <w:szCs w:val="24"/>
        </w:rPr>
        <w:t>审核人员要求</w:t>
      </w:r>
    </w:p>
    <w:p w14:paraId="4C67A0B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在选择内审员时应考虑下列条件：</w:t>
      </w:r>
    </w:p>
    <w:p w14:paraId="741DCAD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1)审核员应是经培训合格的公司内审员。</w:t>
      </w:r>
    </w:p>
    <w:p w14:paraId="7477394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2)应了解受审核部门运维体系运行情况和业务特点。</w:t>
      </w:r>
    </w:p>
    <w:p w14:paraId="2E1BC4D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3)当本公司的内审能力不足时，可聘请外部专家协助审核。</w:t>
      </w:r>
    </w:p>
    <w:p w14:paraId="0488B4C2">
      <w:pPr>
        <w:spacing w:before="98" w:line="219" w:lineRule="auto"/>
        <w:ind w:left="41"/>
        <w:outlineLvl w:val="2"/>
      </w:pPr>
      <w:bookmarkStart w:id="13" w:name="bookmark11"/>
      <w:bookmarkEnd w:id="13"/>
      <w:r>
        <w:rPr>
          <w:rFonts w:ascii="Times New Roman" w:hAnsi="Times New Roman" w:eastAsia="Times New Roman" w:cs="Times New Roman"/>
          <w:spacing w:val="-5"/>
          <w:sz w:val="30"/>
          <w:szCs w:val="30"/>
        </w:rPr>
        <w:t>3</w:t>
      </w:r>
      <w:r>
        <w:rPr>
          <w:rFonts w:hint="eastAsia" w:ascii="宋体" w:hAnsi="宋体" w:eastAsia="宋体" w:cs="宋体"/>
          <w:b/>
          <w:bCs/>
          <w:spacing w:val="-6"/>
          <w:sz w:val="30"/>
          <w:szCs w:val="30"/>
        </w:rPr>
        <w:t>.4 审核依据</w:t>
      </w:r>
    </w:p>
    <w:p w14:paraId="26BCE7DF">
      <w:pPr>
        <w:spacing w:line="362" w:lineRule="auto"/>
        <w:ind w:left="51" w:right="112" w:hanging="16"/>
        <w:rPr>
          <w:rFonts w:ascii="宋体" w:hAnsi="宋体" w:eastAsia="宋体" w:cs="宋体"/>
          <w:spacing w:val="-1"/>
          <w:sz w:val="24"/>
          <w:szCs w:val="24"/>
        </w:rPr>
      </w:pPr>
      <w:bookmarkStart w:id="25" w:name="_GoBack"/>
      <w:bookmarkEnd w:id="25"/>
      <w:r>
        <w:rPr>
          <w:rFonts w:ascii="宋体" w:hAnsi="宋体" w:eastAsia="宋体" w:cs="宋体"/>
          <w:spacing w:val="-1"/>
          <w:sz w:val="24"/>
          <w:szCs w:val="24"/>
        </w:rPr>
        <w:t>GB/T28827.1-20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2</w:t>
      </w:r>
      <w:r>
        <w:rPr>
          <w:rFonts w:ascii="宋体" w:hAnsi="宋体" w:eastAsia="宋体" w:cs="宋体"/>
          <w:spacing w:val="-1"/>
          <w:sz w:val="24"/>
          <w:szCs w:val="24"/>
        </w:rPr>
        <w:t>2《信息技术服务</w:t>
      </w:r>
      <w:r>
        <w:rPr>
          <w:rFonts w:ascii="宋体" w:hAnsi="宋体" w:eastAsia="宋体" w:cs="宋体"/>
          <w:sz w:val="24"/>
          <w:szCs w:val="24"/>
        </w:rPr>
        <w:t xml:space="preserve">  运行维护</w:t>
      </w:r>
      <w:r>
        <w:rPr>
          <w:rFonts w:ascii="宋体" w:hAnsi="宋体" w:eastAsia="宋体" w:cs="宋体"/>
          <w:spacing w:val="29"/>
          <w:sz w:val="24"/>
          <w:szCs w:val="24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第</w:t>
      </w:r>
      <w:r>
        <w:rPr>
          <w:rFonts w:ascii="宋体" w:hAnsi="宋体" w:eastAsia="宋体" w:cs="宋体"/>
          <w:spacing w:val="-45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ascii="宋体" w:hAnsi="宋体" w:eastAsia="宋体" w:cs="宋体"/>
          <w:spacing w:val="-48"/>
          <w:sz w:val="24"/>
          <w:szCs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部分：</w:t>
      </w:r>
      <w:r>
        <w:rPr>
          <w:rFonts w:hint="eastAsia" w:ascii="宋体" w:hAnsi="宋体" w:eastAsia="宋体" w:cs="宋体"/>
          <w:spacing w:val="-18"/>
          <w:sz w:val="24"/>
          <w:szCs w:val="24"/>
          <w:lang w:val="en-US" w:eastAsia="zh-CN"/>
        </w:rPr>
        <w:t>通用要求</w:t>
      </w:r>
      <w:r>
        <w:rPr>
          <w:rFonts w:ascii="宋体" w:hAnsi="宋体" w:eastAsia="宋体" w:cs="宋体"/>
          <w:sz w:val="24"/>
          <w:szCs w:val="24"/>
        </w:rPr>
        <w:t>》</w:t>
      </w:r>
    </w:p>
    <w:p w14:paraId="55E9FE3D">
      <w:pPr>
        <w:spacing w:line="362" w:lineRule="auto"/>
        <w:ind w:left="51" w:right="112" w:hanging="16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GB/T28827.1-20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1</w:t>
      </w:r>
      <w:r>
        <w:rPr>
          <w:rFonts w:ascii="宋体" w:hAnsi="宋体" w:eastAsia="宋体" w:cs="宋体"/>
          <w:spacing w:val="-1"/>
          <w:sz w:val="24"/>
          <w:szCs w:val="24"/>
        </w:rPr>
        <w:t>2《信息技术服务</w:t>
      </w:r>
      <w:r>
        <w:rPr>
          <w:rFonts w:ascii="宋体" w:hAnsi="宋体" w:eastAsia="宋体" w:cs="宋体"/>
          <w:sz w:val="24"/>
          <w:szCs w:val="24"/>
        </w:rPr>
        <w:t xml:space="preserve">  运行维护</w:t>
      </w:r>
      <w:r>
        <w:rPr>
          <w:rFonts w:ascii="宋体" w:hAnsi="宋体" w:eastAsia="宋体" w:cs="宋体"/>
          <w:spacing w:val="29"/>
          <w:sz w:val="24"/>
          <w:szCs w:val="24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第</w:t>
      </w:r>
      <w:r>
        <w:rPr>
          <w:rFonts w:ascii="宋体" w:hAnsi="宋体" w:eastAsia="宋体" w:cs="宋体"/>
          <w:spacing w:val="-45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ascii="宋体" w:hAnsi="宋体" w:eastAsia="宋体" w:cs="宋体"/>
          <w:spacing w:val="-48"/>
          <w:sz w:val="24"/>
          <w:szCs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部分：</w:t>
      </w:r>
      <w:r>
        <w:rPr>
          <w:rFonts w:ascii="宋体" w:hAnsi="宋体" w:eastAsia="宋体" w:cs="宋体"/>
          <w:spacing w:val="-18"/>
          <w:sz w:val="24"/>
          <w:szCs w:val="24"/>
        </w:rPr>
        <w:t>交付规范</w:t>
      </w:r>
      <w:r>
        <w:rPr>
          <w:rFonts w:ascii="宋体" w:hAnsi="宋体" w:eastAsia="宋体" w:cs="宋体"/>
          <w:sz w:val="24"/>
          <w:szCs w:val="24"/>
        </w:rPr>
        <w:t>》</w:t>
      </w:r>
    </w:p>
    <w:p w14:paraId="123CE0E1">
      <w:pPr>
        <w:spacing w:line="362" w:lineRule="auto"/>
        <w:ind w:left="51" w:right="112" w:hanging="16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GB/T28827.3-2012《信息技术服务  运行维护</w:t>
      </w:r>
      <w:r>
        <w:rPr>
          <w:rFonts w:ascii="宋体" w:hAnsi="宋体" w:eastAsia="宋体" w:cs="宋体"/>
          <w:spacing w:val="29"/>
          <w:sz w:val="24"/>
          <w:szCs w:val="24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第</w:t>
      </w:r>
      <w:r>
        <w:rPr>
          <w:rFonts w:ascii="宋体" w:hAnsi="宋体" w:eastAsia="宋体" w:cs="宋体"/>
          <w:spacing w:val="-45"/>
          <w:sz w:val="24"/>
          <w:szCs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3</w:t>
      </w:r>
      <w:r>
        <w:rPr>
          <w:rFonts w:ascii="宋体" w:hAnsi="宋体" w:eastAsia="宋体" w:cs="宋体"/>
          <w:spacing w:val="-48"/>
          <w:sz w:val="24"/>
          <w:szCs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部分：应急响应规范》及</w:t>
      </w:r>
      <w:r>
        <w:rPr>
          <w:rFonts w:ascii="宋体" w:hAnsi="宋体" w:eastAsia="宋体" w:cs="宋体"/>
          <w:spacing w:val="-3"/>
          <w:sz w:val="24"/>
          <w:szCs w:val="24"/>
        </w:rPr>
        <w:t>ITSS.1-2015《信息技术服务 运行维护服务</w:t>
      </w:r>
      <w:r>
        <w:rPr>
          <w:rFonts w:ascii="宋体" w:hAnsi="宋体" w:eastAsia="宋体" w:cs="宋体"/>
          <w:spacing w:val="-4"/>
          <w:sz w:val="24"/>
          <w:szCs w:val="24"/>
        </w:rPr>
        <w:t>能力成熟度模型》。</w:t>
      </w:r>
    </w:p>
    <w:p w14:paraId="57105EEF">
      <w:pPr>
        <w:spacing w:before="303" w:line="220" w:lineRule="auto"/>
        <w:ind w:left="41"/>
        <w:outlineLvl w:val="2"/>
        <w:rPr>
          <w:rFonts w:ascii="宋体" w:hAnsi="宋体" w:eastAsia="宋体" w:cs="宋体"/>
          <w:sz w:val="30"/>
          <w:szCs w:val="30"/>
        </w:rPr>
      </w:pPr>
      <w:bookmarkStart w:id="14" w:name="bookmark12"/>
      <w:bookmarkEnd w:id="14"/>
      <w:r>
        <w:rPr>
          <w:rFonts w:ascii="Times New Roman" w:hAnsi="Times New Roman" w:eastAsia="Times New Roman" w:cs="Times New Roman"/>
          <w:spacing w:val="-5"/>
          <w:sz w:val="30"/>
          <w:szCs w:val="30"/>
        </w:rPr>
        <w:t>3.5</w:t>
      </w:r>
      <w:r>
        <w:rPr>
          <w:rFonts w:ascii="Times New Roman" w:hAnsi="Times New Roman" w:eastAsia="Times New Roman" w:cs="Times New Roman"/>
          <w:spacing w:val="32"/>
          <w:sz w:val="30"/>
          <w:szCs w:val="30"/>
        </w:rPr>
        <w:t xml:space="preserve"> </w:t>
      </w:r>
      <w:r>
        <w:rPr>
          <w:rFonts w:ascii="宋体" w:hAnsi="宋体" w:eastAsia="宋体" w:cs="宋体"/>
          <w:spacing w:val="-5"/>
          <w:sz w:val="30"/>
          <w:szCs w:val="30"/>
        </w:rPr>
        <w:t>审核的计划</w:t>
      </w:r>
    </w:p>
    <w:p w14:paraId="327E4B55">
      <w:pPr>
        <w:pStyle w:val="2"/>
        <w:spacing w:line="396" w:lineRule="auto"/>
      </w:pPr>
    </w:p>
    <w:p w14:paraId="3D2A15D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4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审核组长与审核组其它成员一起制定《内审计划》和编写《内审检查表》，</w:t>
      </w:r>
    </w:p>
    <w:p w14:paraId="08045E0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4" w:firstLineChars="200"/>
        <w:jc w:val="both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《内审计划》应确保审核员不能审核其所在的部门，《内审检查表》应充分考虑</w:t>
      </w:r>
      <w:r>
        <w:rPr>
          <w:rFonts w:ascii="宋体" w:hAnsi="宋体" w:eastAsia="宋体" w:cs="宋体"/>
          <w:sz w:val="24"/>
          <w:szCs w:val="24"/>
        </w:rPr>
        <w:t>抽样的代表性、审核深度和上次审核纠正措施实施情况</w:t>
      </w:r>
      <w:r>
        <w:rPr>
          <w:rFonts w:ascii="宋体" w:hAnsi="宋体" w:eastAsia="宋体" w:cs="宋体"/>
          <w:spacing w:val="-1"/>
          <w:sz w:val="24"/>
          <w:szCs w:val="24"/>
        </w:rPr>
        <w:t>，并且审核前通知被审</w:t>
      </w:r>
      <w:r>
        <w:rPr>
          <w:rFonts w:ascii="宋体" w:hAnsi="宋体" w:eastAsia="宋体" w:cs="宋体"/>
          <w:spacing w:val="-9"/>
          <w:sz w:val="24"/>
          <w:szCs w:val="24"/>
        </w:rPr>
        <w:t>核部门。</w:t>
      </w:r>
    </w:p>
    <w:p w14:paraId="714F074D">
      <w:pPr>
        <w:spacing w:before="154" w:line="220" w:lineRule="auto"/>
        <w:ind w:left="40"/>
        <w:outlineLvl w:val="1"/>
        <w:rPr>
          <w:rFonts w:ascii="宋体" w:hAnsi="宋体" w:eastAsia="宋体" w:cs="宋体"/>
          <w:sz w:val="32"/>
          <w:szCs w:val="32"/>
        </w:rPr>
      </w:pPr>
      <w:bookmarkStart w:id="15" w:name="bookmark13"/>
      <w:bookmarkEnd w:id="15"/>
      <w:bookmarkStart w:id="16" w:name="bookmark1"/>
      <w:bookmarkEnd w:id="16"/>
      <w:bookmarkStart w:id="17" w:name="bookmark1"/>
      <w:bookmarkEnd w:id="17"/>
      <w:r>
        <w:rPr>
          <w:rFonts w:ascii="宋体" w:hAnsi="宋体" w:eastAsia="宋体" w:cs="宋体"/>
          <w:b/>
          <w:bCs/>
          <w:spacing w:val="-9"/>
          <w:sz w:val="32"/>
          <w:szCs w:val="32"/>
        </w:rPr>
        <w:t>4.</w:t>
      </w:r>
      <w:r>
        <w:rPr>
          <w:rFonts w:ascii="宋体" w:hAnsi="宋体" w:eastAsia="宋体" w:cs="宋体"/>
          <w:spacing w:val="-87"/>
          <w:sz w:val="32"/>
          <w:szCs w:val="3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32"/>
          <w:szCs w:val="32"/>
        </w:rPr>
        <w:t>审核的准备</w:t>
      </w:r>
    </w:p>
    <w:p w14:paraId="41BCC100">
      <w:pPr>
        <w:pStyle w:val="2"/>
        <w:spacing w:line="242" w:lineRule="auto"/>
      </w:pPr>
    </w:p>
    <w:p w14:paraId="127CD3B1">
      <w:pPr>
        <w:spacing w:before="126" w:line="220" w:lineRule="auto"/>
        <w:ind w:left="4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审核组长将相关记录，如《不符合项报告》，《审核检查表》等发放给审核组成员，各审核员根据自己被分配的任务、范围、日程等来计划具体审核细节和时间分配等。</w:t>
      </w:r>
      <w:bookmarkStart w:id="18" w:name="bookmark14"/>
      <w:bookmarkEnd w:id="18"/>
    </w:p>
    <w:p w14:paraId="7B8A944A">
      <w:pPr>
        <w:spacing w:before="126" w:line="220" w:lineRule="auto"/>
        <w:ind w:left="47"/>
        <w:rPr>
          <w:rFonts w:ascii="宋体" w:hAnsi="宋体" w:eastAsia="宋体" w:cs="宋体"/>
          <w:sz w:val="32"/>
          <w:szCs w:val="32"/>
        </w:rPr>
      </w:pPr>
      <w:r>
        <w:rPr>
          <w:rFonts w:ascii="宋体" w:hAnsi="宋体" w:eastAsia="宋体" w:cs="宋体"/>
          <w:b/>
          <w:bCs/>
          <w:spacing w:val="-10"/>
          <w:sz w:val="32"/>
          <w:szCs w:val="32"/>
        </w:rPr>
        <w:t>5.</w:t>
      </w:r>
      <w:r>
        <w:rPr>
          <w:rFonts w:ascii="宋体" w:hAnsi="宋体" w:eastAsia="宋体" w:cs="宋体"/>
          <w:spacing w:val="-88"/>
          <w:sz w:val="32"/>
          <w:szCs w:val="32"/>
        </w:rPr>
        <w:t xml:space="preserve"> </w:t>
      </w:r>
      <w:r>
        <w:rPr>
          <w:rFonts w:ascii="宋体" w:hAnsi="宋体" w:eastAsia="宋体" w:cs="宋体"/>
          <w:b/>
          <w:bCs/>
          <w:spacing w:val="-10"/>
          <w:sz w:val="32"/>
          <w:szCs w:val="32"/>
        </w:rPr>
        <w:t>审核的实施</w:t>
      </w:r>
    </w:p>
    <w:p w14:paraId="3F0B74F2">
      <w:pPr>
        <w:pStyle w:val="2"/>
        <w:spacing w:line="244" w:lineRule="auto"/>
      </w:pPr>
    </w:p>
    <w:p w14:paraId="50EE79D4">
      <w:pPr>
        <w:spacing w:before="78" w:line="313" w:lineRule="auto"/>
        <w:ind w:left="461" w:right="241" w:hanging="404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1)    </w:t>
      </w:r>
      <w:r>
        <w:rPr>
          <w:rFonts w:ascii="宋体" w:hAnsi="宋体" w:eastAsia="宋体" w:cs="宋体"/>
          <w:spacing w:val="-1"/>
          <w:sz w:val="24"/>
          <w:szCs w:val="24"/>
        </w:rPr>
        <w:t>由审核组长主持，被审核部门负责人、审核组</w:t>
      </w:r>
      <w:r>
        <w:rPr>
          <w:rFonts w:ascii="宋体" w:hAnsi="宋体" w:eastAsia="宋体" w:cs="宋体"/>
          <w:spacing w:val="-2"/>
          <w:sz w:val="24"/>
          <w:szCs w:val="24"/>
        </w:rPr>
        <w:t>成员、主管副总裁参加的首</w:t>
      </w:r>
      <w:r>
        <w:rPr>
          <w:rFonts w:ascii="宋体" w:hAnsi="宋体" w:eastAsia="宋体" w:cs="宋体"/>
          <w:spacing w:val="-1"/>
          <w:sz w:val="24"/>
          <w:szCs w:val="24"/>
        </w:rPr>
        <w:t>次会议。审核组长介绍审核计划，审核的依据、目的、范围及方法，审核</w:t>
      </w:r>
      <w:r>
        <w:rPr>
          <w:rFonts w:ascii="宋体" w:hAnsi="宋体" w:eastAsia="宋体" w:cs="宋体"/>
          <w:spacing w:val="-5"/>
          <w:sz w:val="24"/>
          <w:szCs w:val="24"/>
        </w:rPr>
        <w:t>组成员及审核日程等。</w:t>
      </w:r>
    </w:p>
    <w:p w14:paraId="230909B8">
      <w:pPr>
        <w:spacing w:before="183" w:line="313" w:lineRule="auto"/>
        <w:ind w:left="457" w:right="241" w:hanging="423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2)    </w:t>
      </w:r>
      <w:r>
        <w:rPr>
          <w:rFonts w:ascii="宋体" w:hAnsi="宋体" w:eastAsia="宋体" w:cs="宋体"/>
          <w:spacing w:val="-1"/>
          <w:sz w:val="24"/>
          <w:szCs w:val="24"/>
        </w:rPr>
        <w:t>审核组按审核计划实施审核，充分利用检查表，采取与有关人员面谈、观</w:t>
      </w:r>
      <w:r>
        <w:rPr>
          <w:rFonts w:ascii="宋体" w:hAnsi="宋体" w:eastAsia="宋体" w:cs="宋体"/>
          <w:sz w:val="24"/>
          <w:szCs w:val="24"/>
        </w:rPr>
        <w:t>察现场及岗位工作人员操作、查阅各种记录的方式</w:t>
      </w:r>
      <w:r>
        <w:rPr>
          <w:rFonts w:ascii="宋体" w:hAnsi="宋体" w:eastAsia="宋体" w:cs="宋体"/>
          <w:spacing w:val="-1"/>
          <w:sz w:val="24"/>
          <w:szCs w:val="24"/>
        </w:rPr>
        <w:t>进行审核，收集客观证</w:t>
      </w:r>
      <w:r>
        <w:rPr>
          <w:rFonts w:ascii="宋体" w:hAnsi="宋体" w:eastAsia="宋体" w:cs="宋体"/>
          <w:spacing w:val="-11"/>
          <w:sz w:val="24"/>
          <w:szCs w:val="24"/>
        </w:rPr>
        <w:t>据。</w:t>
      </w:r>
    </w:p>
    <w:p w14:paraId="113BDF5C">
      <w:pPr>
        <w:spacing w:before="171" w:line="316" w:lineRule="auto"/>
        <w:ind w:left="457" w:right="241" w:hanging="40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20"/>
          <w:sz w:val="24"/>
          <w:szCs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面谈：审核人员根据检查表与被审核部门的负</w:t>
      </w:r>
      <w:r>
        <w:rPr>
          <w:rFonts w:ascii="宋体" w:hAnsi="宋体" w:eastAsia="宋体" w:cs="宋体"/>
          <w:spacing w:val="-1"/>
          <w:sz w:val="24"/>
          <w:szCs w:val="24"/>
        </w:rPr>
        <w:t>责人或当事人进行面谈、提</w:t>
      </w:r>
      <w:r>
        <w:rPr>
          <w:rFonts w:ascii="宋体" w:hAnsi="宋体" w:eastAsia="宋体" w:cs="宋体"/>
          <w:sz w:val="24"/>
          <w:szCs w:val="24"/>
        </w:rPr>
        <w:t>问。部门负责人或当事人的讲话可作为证据，陪同</w:t>
      </w:r>
      <w:r>
        <w:rPr>
          <w:rFonts w:ascii="宋体" w:hAnsi="宋体" w:eastAsia="宋体" w:cs="宋体"/>
          <w:spacing w:val="-1"/>
          <w:sz w:val="24"/>
          <w:szCs w:val="24"/>
        </w:rPr>
        <w:t>人员的讲话不能作为证</w:t>
      </w:r>
      <w:r>
        <w:rPr>
          <w:rFonts w:ascii="宋体" w:hAnsi="宋体" w:eastAsia="宋体" w:cs="宋体"/>
          <w:spacing w:val="-11"/>
          <w:sz w:val="24"/>
          <w:szCs w:val="24"/>
        </w:rPr>
        <w:t>据。</w:t>
      </w:r>
    </w:p>
    <w:p w14:paraId="7BDAFB37">
      <w:pPr>
        <w:spacing w:before="173" w:line="220" w:lineRule="auto"/>
        <w:ind w:left="4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25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观察现场：察看作业现场的环境、操作等是否符合要求。</w:t>
      </w:r>
    </w:p>
    <w:p w14:paraId="1DA73573">
      <w:pPr>
        <w:spacing w:before="183" w:line="293" w:lineRule="auto"/>
        <w:ind w:left="457" w:right="241" w:hanging="40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0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1"/>
          <w:sz w:val="24"/>
          <w:szCs w:val="24"/>
        </w:rPr>
        <w:t>查文件和记录：向被审核部门负责人或当事人索取相关文件和记录，检查</w:t>
      </w:r>
      <w:r>
        <w:rPr>
          <w:rFonts w:ascii="宋体" w:hAnsi="宋体" w:eastAsia="宋体" w:cs="宋体"/>
          <w:spacing w:val="-3"/>
          <w:sz w:val="24"/>
          <w:szCs w:val="24"/>
        </w:rPr>
        <w:t>记录的完整性、真实性和一致性。</w:t>
      </w:r>
    </w:p>
    <w:p w14:paraId="3A36070D">
      <w:pPr>
        <w:spacing w:before="184" w:line="313" w:lineRule="auto"/>
        <w:ind w:left="458" w:right="241" w:hanging="420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3)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 xml:space="preserve">   </w:t>
      </w:r>
      <w:r>
        <w:rPr>
          <w:rFonts w:ascii="宋体" w:hAnsi="宋体" w:eastAsia="宋体" w:cs="宋体"/>
          <w:spacing w:val="-1"/>
          <w:sz w:val="24"/>
          <w:szCs w:val="24"/>
        </w:rPr>
        <w:t>各审核员对发现的不合格项填写在《内审检查表》中，同时让现场操作者</w:t>
      </w:r>
      <w:r>
        <w:rPr>
          <w:rFonts w:ascii="宋体" w:hAnsi="宋体" w:eastAsia="宋体" w:cs="宋体"/>
          <w:sz w:val="24"/>
          <w:szCs w:val="24"/>
        </w:rPr>
        <w:t>和负责人确认，以保证不符合项能完全被理解</w:t>
      </w:r>
      <w:r>
        <w:rPr>
          <w:rFonts w:ascii="宋体" w:hAnsi="宋体" w:eastAsia="宋体" w:cs="宋体"/>
          <w:spacing w:val="-1"/>
          <w:sz w:val="24"/>
          <w:szCs w:val="24"/>
        </w:rPr>
        <w:t>，记录应尽可能详细，以确</w:t>
      </w:r>
      <w:r>
        <w:rPr>
          <w:rFonts w:ascii="宋体" w:hAnsi="宋体" w:eastAsia="宋体" w:cs="宋体"/>
          <w:spacing w:val="-4"/>
          <w:sz w:val="24"/>
          <w:szCs w:val="24"/>
        </w:rPr>
        <w:t>保审核结果的可追溯性。</w:t>
      </w:r>
    </w:p>
    <w:p w14:paraId="67CCC54D">
      <w:pPr>
        <w:spacing w:before="183" w:line="289" w:lineRule="auto"/>
        <w:ind w:left="459" w:right="241" w:hanging="427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4)</w:t>
      </w:r>
      <w:r>
        <w:rPr>
          <w:rFonts w:ascii="Times New Roman" w:hAnsi="Times New Roman" w:eastAsia="Times New Roman" w:cs="Times New Roman"/>
          <w:spacing w:val="23"/>
          <w:sz w:val="24"/>
          <w:szCs w:val="24"/>
        </w:rPr>
        <w:t xml:space="preserve">   </w:t>
      </w:r>
      <w:r>
        <w:rPr>
          <w:rFonts w:ascii="宋体" w:hAnsi="宋体" w:eastAsia="宋体" w:cs="宋体"/>
          <w:spacing w:val="-1"/>
          <w:sz w:val="24"/>
          <w:szCs w:val="24"/>
        </w:rPr>
        <w:t>不符合项分为严重不符合和一般不符合两类。对于未构成不符合项的问题</w:t>
      </w:r>
      <w:r>
        <w:rPr>
          <w:rFonts w:ascii="宋体" w:hAnsi="宋体" w:eastAsia="宋体" w:cs="宋体"/>
          <w:spacing w:val="-4"/>
          <w:sz w:val="24"/>
          <w:szCs w:val="24"/>
        </w:rPr>
        <w:t>可以作为观察项书面提出。</w:t>
      </w:r>
    </w:p>
    <w:p w14:paraId="79D21A9D">
      <w:pPr>
        <w:spacing w:before="174" w:line="325" w:lineRule="auto"/>
        <w:ind w:left="459" w:right="28" w:hanging="41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2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严重不符合项：凡是审核中发现明显不符合</w:t>
      </w:r>
      <w:r>
        <w:rPr>
          <w:rFonts w:ascii="宋体" w:hAnsi="宋体" w:eastAsia="宋体" w:cs="宋体"/>
          <w:spacing w:val="-5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ITSS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能力成熟度三级要</w:t>
      </w:r>
      <w:r>
        <w:rPr>
          <w:rFonts w:ascii="宋体" w:hAnsi="宋体" w:eastAsia="宋体" w:cs="宋体"/>
          <w:spacing w:val="-2"/>
          <w:sz w:val="24"/>
          <w:szCs w:val="24"/>
        </w:rPr>
        <w:t>求标准</w:t>
      </w:r>
      <w:r>
        <w:rPr>
          <w:rFonts w:ascii="宋体" w:hAnsi="宋体" w:eastAsia="宋体" w:cs="宋体"/>
          <w:spacing w:val="-1"/>
          <w:sz w:val="24"/>
          <w:szCs w:val="24"/>
        </w:rPr>
        <w:t>规定的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;</w:t>
      </w:r>
      <w:r>
        <w:rPr>
          <w:rFonts w:ascii="Times New Roman" w:hAnsi="Times New Roman" w:eastAsia="Times New Roman" w:cs="Times New Roman"/>
          <w:spacing w:val="25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1"/>
          <w:sz w:val="24"/>
          <w:szCs w:val="24"/>
        </w:rPr>
        <w:t>违反法律法规而造成严重质量事故的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;   </w:t>
      </w:r>
      <w:r>
        <w:rPr>
          <w:rFonts w:ascii="宋体" w:hAnsi="宋体" w:eastAsia="宋体" w:cs="宋体"/>
          <w:spacing w:val="-1"/>
          <w:sz w:val="24"/>
          <w:szCs w:val="24"/>
        </w:rPr>
        <w:t>多次出现同一</w:t>
      </w:r>
      <w:r>
        <w:rPr>
          <w:rFonts w:ascii="宋体" w:hAnsi="宋体" w:eastAsia="宋体" w:cs="宋体"/>
          <w:spacing w:val="-2"/>
          <w:sz w:val="24"/>
          <w:szCs w:val="24"/>
        </w:rPr>
        <w:t>类一般不符合</w:t>
      </w:r>
      <w:r>
        <w:rPr>
          <w:rFonts w:ascii="宋体" w:hAnsi="宋体" w:eastAsia="宋体" w:cs="宋体"/>
          <w:spacing w:val="-1"/>
          <w:sz w:val="24"/>
          <w:szCs w:val="24"/>
        </w:rPr>
        <w:t>项而造成运维服务管理体系失效的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;</w:t>
      </w:r>
      <w:r>
        <w:rPr>
          <w:rFonts w:ascii="Times New Roman" w:hAnsi="Times New Roman" w:eastAsia="Times New Roman" w:cs="Times New Roman"/>
          <w:spacing w:val="24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1"/>
          <w:sz w:val="24"/>
          <w:szCs w:val="24"/>
        </w:rPr>
        <w:t>对以前提出的不符合项采取纠正措施无</w:t>
      </w:r>
      <w:r>
        <w:rPr>
          <w:rFonts w:ascii="宋体" w:hAnsi="宋体" w:eastAsia="宋体" w:cs="宋体"/>
          <w:spacing w:val="-4"/>
          <w:sz w:val="24"/>
          <w:szCs w:val="24"/>
        </w:rPr>
        <w:t>效的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>;</w:t>
      </w:r>
      <w:r>
        <w:rPr>
          <w:rFonts w:ascii="Times New Roman" w:hAnsi="Times New Roman" w:eastAsia="Times New Roman" w:cs="Times New Roman"/>
          <w:spacing w:val="20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4"/>
          <w:sz w:val="24"/>
          <w:szCs w:val="24"/>
        </w:rPr>
        <w:t>以上违反任一条均判定为严重不符合项。</w:t>
      </w:r>
    </w:p>
    <w:p w14:paraId="012A1E14">
      <w:pPr>
        <w:spacing w:before="183" w:line="293" w:lineRule="auto"/>
        <w:ind w:left="477" w:right="28" w:hanging="42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6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1"/>
          <w:sz w:val="24"/>
          <w:szCs w:val="24"/>
        </w:rPr>
        <w:t>一般不符合项：</w:t>
      </w:r>
      <w:r>
        <w:rPr>
          <w:rFonts w:ascii="宋体" w:hAnsi="宋体" w:eastAsia="宋体" w:cs="宋体"/>
          <w:spacing w:val="10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对偶尔人为造成的不符合项且易于纠正，不造成严重后果</w:t>
      </w:r>
      <w:r>
        <w:rPr>
          <w:rFonts w:ascii="宋体" w:hAnsi="宋体" w:eastAsia="宋体" w:cs="宋体"/>
          <w:spacing w:val="-2"/>
          <w:sz w:val="24"/>
          <w:szCs w:val="24"/>
        </w:rPr>
        <w:t>的，不造成质量管理体系失效的不符合项，判定为一般不符合</w:t>
      </w:r>
      <w:r>
        <w:rPr>
          <w:rFonts w:ascii="宋体" w:hAnsi="宋体" w:eastAsia="宋体" w:cs="宋体"/>
          <w:spacing w:val="-3"/>
          <w:sz w:val="24"/>
          <w:szCs w:val="24"/>
        </w:rPr>
        <w:t>项。</w:t>
      </w:r>
    </w:p>
    <w:p w14:paraId="08EBFC5B">
      <w:pPr>
        <w:spacing w:before="172" w:line="316" w:lineRule="auto"/>
        <w:ind w:left="460" w:right="241" w:hanging="41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19"/>
          <w:sz w:val="24"/>
          <w:szCs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观察项：对个别轻微不符合文件的规定要求，并</w:t>
      </w:r>
      <w:r>
        <w:rPr>
          <w:rFonts w:ascii="宋体" w:hAnsi="宋体" w:eastAsia="宋体" w:cs="宋体"/>
          <w:spacing w:val="-1"/>
          <w:sz w:val="24"/>
          <w:szCs w:val="24"/>
        </w:rPr>
        <w:t>可在当时完成纠正的，尚</w:t>
      </w:r>
      <w:r>
        <w:rPr>
          <w:rFonts w:ascii="宋体" w:hAnsi="宋体" w:eastAsia="宋体" w:cs="宋体"/>
          <w:sz w:val="24"/>
          <w:szCs w:val="24"/>
        </w:rPr>
        <w:t>无确切证据说明其有不良发展趋势的问题，</w:t>
      </w:r>
      <w:r>
        <w:rPr>
          <w:rFonts w:ascii="宋体" w:hAnsi="宋体" w:eastAsia="宋体" w:cs="宋体"/>
          <w:spacing w:val="-1"/>
          <w:sz w:val="24"/>
          <w:szCs w:val="24"/>
        </w:rPr>
        <w:t>可视为观察项。观察项不视为</w:t>
      </w:r>
      <w:r>
        <w:rPr>
          <w:rFonts w:ascii="宋体" w:hAnsi="宋体" w:eastAsia="宋体" w:cs="宋体"/>
          <w:spacing w:val="-3"/>
          <w:sz w:val="24"/>
          <w:szCs w:val="24"/>
        </w:rPr>
        <w:t>不符合项，但应引起受审核部门的注意。</w:t>
      </w:r>
    </w:p>
    <w:p w14:paraId="68725B1E">
      <w:pPr>
        <w:spacing w:before="341" w:line="218" w:lineRule="auto"/>
        <w:ind w:left="44"/>
        <w:outlineLvl w:val="1"/>
        <w:rPr>
          <w:rFonts w:ascii="宋体" w:hAnsi="宋体" w:eastAsia="宋体" w:cs="宋体"/>
          <w:sz w:val="32"/>
          <w:szCs w:val="32"/>
        </w:rPr>
      </w:pPr>
      <w:bookmarkStart w:id="19" w:name="bookmark15"/>
      <w:bookmarkEnd w:id="19"/>
      <w:r>
        <w:rPr>
          <w:rFonts w:ascii="宋体" w:hAnsi="宋体" w:eastAsia="宋体" w:cs="宋体"/>
          <w:b/>
          <w:bCs/>
          <w:sz w:val="32"/>
          <w:szCs w:val="32"/>
        </w:rPr>
        <w:t>6.不符合项报告</w:t>
      </w:r>
    </w:p>
    <w:p w14:paraId="3A7DB0BA">
      <w:pPr>
        <w:pStyle w:val="2"/>
        <w:spacing w:line="247" w:lineRule="auto"/>
      </w:pPr>
    </w:p>
    <w:p w14:paraId="1EA9C137">
      <w:pPr>
        <w:spacing w:before="172" w:line="316" w:lineRule="auto"/>
        <w:ind w:left="460" w:right="241" w:hanging="41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审核完毕，审核组整理审核记录，并将审核结果在组织内沟通，取得一致意见，最后由审核组长决定是否作为不符合项提出并判定严重程度，由审核组成员填写《不符合项报告》。</w:t>
      </w:r>
    </w:p>
    <w:p w14:paraId="6F6BE318">
      <w:pPr>
        <w:spacing w:before="172" w:line="316" w:lineRule="auto"/>
        <w:ind w:left="460" w:right="241" w:hanging="41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填写的不符合项报告有以下项要求：</w:t>
      </w:r>
    </w:p>
    <w:p w14:paraId="02EEE911">
      <w:pPr>
        <w:spacing w:before="172" w:line="316" w:lineRule="auto"/>
        <w:ind w:left="460" w:right="241" w:hanging="41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1)   填写的不符合事实陈述要全面、清楚、正确、精练地用文字表达出来。</w:t>
      </w:r>
    </w:p>
    <w:p w14:paraId="685D5DD5">
      <w:pPr>
        <w:spacing w:before="172" w:line="316" w:lineRule="auto"/>
        <w:ind w:left="460" w:right="241" w:hanging="41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2)   写明判为不合格的理由，为什么判为不合格。</w:t>
      </w:r>
    </w:p>
    <w:p w14:paraId="5003134B">
      <w:pPr>
        <w:spacing w:before="172" w:line="316" w:lineRule="auto"/>
        <w:ind w:left="460" w:right="241" w:hanging="41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3)   不符合标准或相关文件的哪一条要判断正确。</w:t>
      </w:r>
    </w:p>
    <w:p w14:paraId="36219D46">
      <w:pPr>
        <w:spacing w:before="172" w:line="316" w:lineRule="auto"/>
        <w:ind w:left="460" w:right="241" w:hanging="41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4)   不符合的类型和程度要在报告中表达清楚。</w:t>
      </w:r>
    </w:p>
    <w:p w14:paraId="6592BFB4">
      <w:pPr>
        <w:pStyle w:val="2"/>
        <w:spacing w:line="245" w:lineRule="auto"/>
      </w:pPr>
    </w:p>
    <w:p w14:paraId="0498DC45">
      <w:pPr>
        <w:spacing w:before="105" w:line="218" w:lineRule="auto"/>
        <w:ind w:left="49"/>
        <w:outlineLvl w:val="1"/>
        <w:rPr>
          <w:rFonts w:ascii="宋体" w:hAnsi="宋体" w:eastAsia="宋体" w:cs="宋体"/>
          <w:sz w:val="32"/>
          <w:szCs w:val="32"/>
        </w:rPr>
      </w:pPr>
      <w:bookmarkStart w:id="20" w:name="bookmark16"/>
      <w:bookmarkEnd w:id="20"/>
      <w:r>
        <w:rPr>
          <w:rFonts w:ascii="宋体" w:hAnsi="宋体" w:eastAsia="宋体" w:cs="宋体"/>
          <w:b/>
          <w:bCs/>
          <w:spacing w:val="-11"/>
          <w:sz w:val="32"/>
          <w:szCs w:val="32"/>
        </w:rPr>
        <w:t>7.</w:t>
      </w:r>
      <w:r>
        <w:rPr>
          <w:rFonts w:ascii="宋体" w:hAnsi="宋体" w:eastAsia="宋体" w:cs="宋体"/>
          <w:spacing w:val="-89"/>
          <w:sz w:val="32"/>
          <w:szCs w:val="32"/>
        </w:rPr>
        <w:t xml:space="preserve"> </w:t>
      </w:r>
      <w:r>
        <w:rPr>
          <w:rFonts w:ascii="宋体" w:hAnsi="宋体" w:eastAsia="宋体" w:cs="宋体"/>
          <w:b/>
          <w:bCs/>
          <w:spacing w:val="-11"/>
          <w:sz w:val="32"/>
          <w:szCs w:val="32"/>
        </w:rPr>
        <w:t>审核报告</w:t>
      </w:r>
    </w:p>
    <w:p w14:paraId="710BDAE3">
      <w:pPr>
        <w:pStyle w:val="2"/>
        <w:spacing w:line="246" w:lineRule="auto"/>
      </w:pPr>
    </w:p>
    <w:p w14:paraId="638C3ED7">
      <w:pPr>
        <w:spacing w:before="78" w:line="362" w:lineRule="auto"/>
        <w:ind w:left="38" w:right="151" w:firstLine="437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5"/>
          <w:sz w:val="24"/>
          <w:szCs w:val="24"/>
        </w:rPr>
        <w:t>审核组长在审核结束后编写《内审报告》，审</w:t>
      </w:r>
      <w:r>
        <w:rPr>
          <w:rFonts w:ascii="宋体" w:hAnsi="宋体" w:eastAsia="宋体" w:cs="宋体"/>
          <w:spacing w:val="-6"/>
          <w:sz w:val="24"/>
          <w:szCs w:val="24"/>
        </w:rPr>
        <w:t>核组长对审核报告的准确性、</w:t>
      </w:r>
      <w:r>
        <w:rPr>
          <w:rFonts w:ascii="宋体" w:hAnsi="宋体" w:eastAsia="宋体" w:cs="宋体"/>
          <w:sz w:val="24"/>
          <w:szCs w:val="24"/>
        </w:rPr>
        <w:t>客观性和完整性负责。审核报告应附有《不符合项报</w:t>
      </w:r>
      <w:r>
        <w:rPr>
          <w:rFonts w:ascii="宋体" w:hAnsi="宋体" w:eastAsia="宋体" w:cs="宋体"/>
          <w:spacing w:val="-1"/>
          <w:sz w:val="24"/>
          <w:szCs w:val="24"/>
        </w:rPr>
        <w:t>告》等必要的客观证据材</w:t>
      </w:r>
      <w:r>
        <w:rPr>
          <w:rFonts w:ascii="宋体" w:hAnsi="宋体" w:eastAsia="宋体" w:cs="宋体"/>
          <w:spacing w:val="-12"/>
          <w:sz w:val="24"/>
          <w:szCs w:val="24"/>
        </w:rPr>
        <w:t>料。</w:t>
      </w:r>
    </w:p>
    <w:p w14:paraId="36E5DD5F">
      <w:pPr>
        <w:spacing w:before="152" w:line="219" w:lineRule="auto"/>
        <w:ind w:left="42"/>
        <w:outlineLvl w:val="1"/>
        <w:rPr>
          <w:rFonts w:ascii="宋体" w:hAnsi="宋体" w:eastAsia="宋体" w:cs="宋体"/>
          <w:sz w:val="32"/>
          <w:szCs w:val="32"/>
        </w:rPr>
      </w:pPr>
      <w:bookmarkStart w:id="21" w:name="bookmark17"/>
      <w:bookmarkEnd w:id="21"/>
      <w:r>
        <w:rPr>
          <w:rFonts w:ascii="宋体" w:hAnsi="宋体" w:eastAsia="宋体" w:cs="宋体"/>
          <w:b/>
          <w:bCs/>
          <w:spacing w:val="1"/>
          <w:sz w:val="32"/>
          <w:szCs w:val="32"/>
        </w:rPr>
        <w:t>8.总结会议</w:t>
      </w:r>
    </w:p>
    <w:p w14:paraId="73C2BD49">
      <w:pPr>
        <w:pStyle w:val="2"/>
        <w:spacing w:line="246" w:lineRule="auto"/>
      </w:pPr>
    </w:p>
    <w:p w14:paraId="587B262B">
      <w:pPr>
        <w:spacing w:before="79" w:line="361" w:lineRule="auto"/>
        <w:ind w:left="39" w:right="61" w:firstLine="436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审核结束，内审管理者代表、质量中心和被审核部门负责人参加由审核组</w:t>
      </w:r>
      <w:r>
        <w:rPr>
          <w:rFonts w:ascii="宋体" w:hAnsi="宋体" w:eastAsia="宋体" w:cs="宋体"/>
          <w:spacing w:val="-4"/>
          <w:sz w:val="24"/>
          <w:szCs w:val="24"/>
        </w:rPr>
        <w:t>长组织召开的总结会议，审核组长宣读《内审报告》和《不符合项报告》，由副</w:t>
      </w:r>
      <w:r>
        <w:rPr>
          <w:rFonts w:ascii="宋体" w:hAnsi="宋体" w:eastAsia="宋体" w:cs="宋体"/>
          <w:sz w:val="24"/>
          <w:szCs w:val="24"/>
        </w:rPr>
        <w:t>总经理及质量中心经理提出要求。会议结束后，将</w:t>
      </w:r>
      <w:r>
        <w:rPr>
          <w:rFonts w:ascii="宋体" w:hAnsi="宋体" w:eastAsia="宋体" w:cs="宋体"/>
          <w:spacing w:val="-1"/>
          <w:sz w:val="24"/>
          <w:szCs w:val="24"/>
        </w:rPr>
        <w:t>《不符合项报告》发至相关</w:t>
      </w:r>
      <w:r>
        <w:rPr>
          <w:rFonts w:ascii="宋体" w:hAnsi="宋体" w:eastAsia="宋体" w:cs="宋体"/>
          <w:spacing w:val="-11"/>
          <w:sz w:val="24"/>
          <w:szCs w:val="24"/>
        </w:rPr>
        <w:t>部门。</w:t>
      </w:r>
    </w:p>
    <w:p w14:paraId="139BBFC2">
      <w:pPr>
        <w:spacing w:before="152" w:line="220" w:lineRule="auto"/>
        <w:ind w:left="42"/>
        <w:outlineLvl w:val="1"/>
        <w:rPr>
          <w:rFonts w:ascii="宋体" w:hAnsi="宋体" w:eastAsia="宋体" w:cs="宋体"/>
          <w:sz w:val="32"/>
          <w:szCs w:val="32"/>
        </w:rPr>
      </w:pPr>
      <w:bookmarkStart w:id="22" w:name="bookmark18"/>
      <w:bookmarkEnd w:id="22"/>
      <w:r>
        <w:rPr>
          <w:rFonts w:ascii="宋体" w:hAnsi="宋体" w:eastAsia="宋体" w:cs="宋体"/>
          <w:b/>
          <w:bCs/>
          <w:sz w:val="32"/>
          <w:szCs w:val="32"/>
        </w:rPr>
        <w:t>9.服务改进措施</w:t>
      </w:r>
    </w:p>
    <w:p w14:paraId="6F1CF2B7">
      <w:pPr>
        <w:pStyle w:val="2"/>
        <w:spacing w:line="246" w:lineRule="auto"/>
      </w:pPr>
    </w:p>
    <w:p w14:paraId="21C943FD">
      <w:pPr>
        <w:spacing w:before="79" w:line="361" w:lineRule="auto"/>
        <w:ind w:left="38" w:right="181" w:firstLine="425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《不符合项报告》分别传递给被审核部门负责</w:t>
      </w:r>
      <w:r>
        <w:rPr>
          <w:rFonts w:ascii="宋体" w:hAnsi="宋体" w:eastAsia="宋体" w:cs="宋体"/>
          <w:spacing w:val="-1"/>
          <w:sz w:val="24"/>
          <w:szCs w:val="24"/>
        </w:rPr>
        <w:t>人，经签字确认后，要分析</w:t>
      </w:r>
      <w:r>
        <w:rPr>
          <w:rFonts w:ascii="宋体" w:hAnsi="宋体" w:eastAsia="宋体" w:cs="宋体"/>
          <w:sz w:val="24"/>
          <w:szCs w:val="24"/>
        </w:rPr>
        <w:t>产生原因，提出改进措施计划，以及完成改进措施的</w:t>
      </w:r>
      <w:r>
        <w:rPr>
          <w:rFonts w:ascii="宋体" w:hAnsi="宋体" w:eastAsia="宋体" w:cs="宋体"/>
          <w:spacing w:val="-1"/>
          <w:sz w:val="24"/>
          <w:szCs w:val="24"/>
        </w:rPr>
        <w:t>时间，即开始按计划采取</w:t>
      </w:r>
      <w:r>
        <w:rPr>
          <w:rFonts w:ascii="宋体" w:hAnsi="宋体" w:eastAsia="宋体" w:cs="宋体"/>
          <w:spacing w:val="-5"/>
          <w:sz w:val="24"/>
          <w:szCs w:val="24"/>
        </w:rPr>
        <w:t>相应的改进措施。</w:t>
      </w:r>
    </w:p>
    <w:p w14:paraId="0368B66C">
      <w:pPr>
        <w:spacing w:before="154" w:line="220" w:lineRule="auto"/>
        <w:ind w:left="65"/>
        <w:outlineLvl w:val="1"/>
        <w:rPr>
          <w:rFonts w:ascii="宋体" w:hAnsi="宋体" w:eastAsia="宋体" w:cs="宋体"/>
          <w:sz w:val="32"/>
          <w:szCs w:val="32"/>
        </w:rPr>
      </w:pPr>
      <w:bookmarkStart w:id="23" w:name="bookmark19"/>
      <w:bookmarkEnd w:id="23"/>
      <w:r>
        <w:rPr>
          <w:rFonts w:ascii="宋体" w:hAnsi="宋体" w:eastAsia="宋体" w:cs="宋体"/>
          <w:b/>
          <w:bCs/>
          <w:spacing w:val="-9"/>
          <w:sz w:val="32"/>
          <w:szCs w:val="32"/>
        </w:rPr>
        <w:t>10.跟踪验证</w:t>
      </w:r>
    </w:p>
    <w:p w14:paraId="2171E833">
      <w:pPr>
        <w:pStyle w:val="2"/>
        <w:spacing w:line="245" w:lineRule="auto"/>
      </w:pPr>
    </w:p>
    <w:p w14:paraId="0ED68C06">
      <w:pPr>
        <w:spacing w:before="78" w:line="361" w:lineRule="auto"/>
        <w:ind w:left="37" w:right="181" w:firstLine="438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审核组对被审核部门采取的改进措施进行跟踪、验证其实施结果，直到措</w:t>
      </w:r>
      <w:r>
        <w:rPr>
          <w:rFonts w:ascii="宋体" w:hAnsi="宋体" w:eastAsia="宋体" w:cs="宋体"/>
          <w:sz w:val="24"/>
          <w:szCs w:val="24"/>
        </w:rPr>
        <w:t>施完全被落实。对验证无效的措施审核组有权责令其重</w:t>
      </w:r>
      <w:r>
        <w:rPr>
          <w:rFonts w:ascii="宋体" w:hAnsi="宋体" w:eastAsia="宋体" w:cs="宋体"/>
          <w:spacing w:val="-1"/>
          <w:sz w:val="24"/>
          <w:szCs w:val="24"/>
        </w:rPr>
        <w:t>新制定改进措施，审核</w:t>
      </w:r>
      <w:r>
        <w:rPr>
          <w:rFonts w:ascii="宋体" w:hAnsi="宋体" w:eastAsia="宋体" w:cs="宋体"/>
          <w:spacing w:val="-6"/>
          <w:sz w:val="24"/>
          <w:szCs w:val="24"/>
        </w:rPr>
        <w:t>组再次验证。</w:t>
      </w:r>
    </w:p>
    <w:p w14:paraId="1C78383F">
      <w:pPr>
        <w:spacing w:before="153" w:line="220" w:lineRule="auto"/>
        <w:ind w:left="65"/>
        <w:outlineLvl w:val="1"/>
        <w:rPr>
          <w:rFonts w:ascii="宋体" w:hAnsi="宋体" w:eastAsia="宋体" w:cs="宋体"/>
          <w:sz w:val="32"/>
          <w:szCs w:val="32"/>
        </w:rPr>
      </w:pPr>
      <w:bookmarkStart w:id="24" w:name="bookmark20"/>
      <w:bookmarkEnd w:id="24"/>
      <w:r>
        <w:rPr>
          <w:rFonts w:ascii="宋体" w:hAnsi="宋体" w:eastAsia="宋体" w:cs="宋体"/>
          <w:b/>
          <w:bCs/>
          <w:spacing w:val="-9"/>
          <w:sz w:val="32"/>
          <w:szCs w:val="32"/>
        </w:rPr>
        <w:t>11.内审记录</w:t>
      </w:r>
    </w:p>
    <w:p w14:paraId="0DB6AFCD">
      <w:pPr>
        <w:pStyle w:val="2"/>
        <w:spacing w:line="244" w:lineRule="auto"/>
      </w:pPr>
    </w:p>
    <w:p w14:paraId="2A0B6A70">
      <w:pPr>
        <w:spacing w:before="88" w:line="212" w:lineRule="auto"/>
        <w:ind w:left="901"/>
        <w:rPr>
          <w:rFonts w:ascii="宋体" w:hAnsi="宋体" w:eastAsia="宋体" w:cs="宋体"/>
          <w:spacing w:val="-4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质量中心负责保存内审的档案，包括：</w:t>
      </w:r>
    </w:p>
    <w:p w14:paraId="1F0BAAD2">
      <w:pPr>
        <w:spacing w:before="88" w:line="212" w:lineRule="auto"/>
        <w:ind w:left="901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>1)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   </w:t>
      </w:r>
      <w:r>
        <w:rPr>
          <w:rFonts w:ascii="宋体" w:hAnsi="宋体" w:eastAsia="宋体" w:cs="宋体"/>
          <w:spacing w:val="-4"/>
          <w:sz w:val="24"/>
          <w:szCs w:val="24"/>
        </w:rPr>
        <w:t>《内审计划》</w:t>
      </w:r>
    </w:p>
    <w:p w14:paraId="52B47837">
      <w:pPr>
        <w:spacing w:before="192" w:line="212" w:lineRule="auto"/>
        <w:ind w:left="878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2)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   </w:t>
      </w:r>
      <w:r>
        <w:rPr>
          <w:rFonts w:ascii="宋体" w:hAnsi="宋体" w:eastAsia="宋体" w:cs="宋体"/>
          <w:spacing w:val="-1"/>
          <w:sz w:val="24"/>
          <w:szCs w:val="24"/>
        </w:rPr>
        <w:t>《内审检查表》</w:t>
      </w:r>
    </w:p>
    <w:p w14:paraId="3A576C30">
      <w:pPr>
        <w:spacing w:before="192" w:line="212" w:lineRule="auto"/>
        <w:ind w:left="883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3)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  </w:t>
      </w:r>
      <w:r>
        <w:rPr>
          <w:rFonts w:ascii="宋体" w:hAnsi="宋体" w:eastAsia="宋体" w:cs="宋体"/>
          <w:spacing w:val="-2"/>
          <w:sz w:val="24"/>
          <w:szCs w:val="24"/>
        </w:rPr>
        <w:t>《内审报告》</w:t>
      </w:r>
    </w:p>
    <w:p w14:paraId="070E9C1B">
      <w:pPr>
        <w:spacing w:before="192" w:line="212" w:lineRule="auto"/>
        <w:ind w:left="877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4)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  </w:t>
      </w:r>
      <w:r>
        <w:rPr>
          <w:rFonts w:ascii="宋体" w:hAnsi="宋体" w:eastAsia="宋体" w:cs="宋体"/>
          <w:spacing w:val="-1"/>
          <w:sz w:val="24"/>
          <w:szCs w:val="24"/>
        </w:rPr>
        <w:t>《不符合项报告》</w:t>
      </w:r>
    </w:p>
    <w:sectPr>
      <w:headerReference r:id="rId7" w:type="default"/>
      <w:footerReference r:id="rId8" w:type="default"/>
      <w:pgSz w:w="11907" w:h="16840"/>
      <w:pgMar w:top="1162" w:right="1768" w:bottom="1359" w:left="1768" w:header="830" w:footer="1199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41E5B04">
    <w:pPr>
      <w:spacing w:line="174" w:lineRule="auto"/>
      <w:ind w:left="4161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1318F5D">
    <w:pPr>
      <w:spacing w:line="174" w:lineRule="auto"/>
      <w:ind w:left="4148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18C579">
    <w:pPr>
      <w:spacing w:before="47" w:line="220" w:lineRule="auto"/>
      <w:ind w:right="25"/>
      <w:jc w:val="right"/>
      <w:rPr>
        <w:rFonts w:ascii="宋体" w:hAnsi="宋体" w:eastAsia="宋体" w:cs="宋体"/>
        <w:sz w:val="18"/>
        <w:szCs w:val="18"/>
      </w:rPr>
    </w:pPr>
    <w:r>
      <w:pict>
        <v:shape id="_x0000_s4097" o:spid="_x0000_s4097" style="position:absolute;left:0pt;margin-left:88.4pt;margin-top:55.2pt;height:0.5pt;width:418.55pt;mso-position-horizontal-relative:page;mso-position-vertical-relative:page;z-index:251659264;mso-width-relative:page;mso-height-relative:page;" filled="f" stroked="t" coordsize="8370,10" o:allowincell="f" path="m0,5l8370,5e">
          <v:fill on="f" focussize="0,0"/>
          <v:stroke weight="0.5pt" color="#000000" miterlimit="10" joinstyle="miter"/>
          <v:imagedata o:title=""/>
          <o:lock v:ext="edit"/>
        </v:shape>
      </w:pict>
    </w:r>
    <w:r>
      <w:rPr>
        <w:rFonts w:ascii="宋体" w:hAnsi="宋体" w:eastAsia="宋体" w:cs="宋体"/>
        <w:spacing w:val="-4"/>
        <w:sz w:val="18"/>
        <w:szCs w:val="18"/>
      </w:rPr>
      <w:t>内部审核管理制度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3ED6AC">
    <w:pPr>
      <w:spacing w:before="47" w:line="220" w:lineRule="auto"/>
      <w:ind w:right="25"/>
      <w:jc w:val="right"/>
      <w:rPr>
        <w:rFonts w:ascii="宋体" w:hAnsi="宋体" w:eastAsia="宋体" w:cs="宋体"/>
        <w:sz w:val="18"/>
        <w:szCs w:val="18"/>
      </w:rPr>
    </w:pPr>
    <w:r>
      <w:pict>
        <v:shape id="_x0000_s4100" o:spid="_x0000_s4100" style="position:absolute;left:0pt;margin-left:88.4pt;margin-top:55.2pt;height:0.5pt;width:418.55pt;mso-position-horizontal-relative:page;mso-position-vertical-relative:page;z-index:251659264;mso-width-relative:page;mso-height-relative:page;" filled="f" stroked="t" coordsize="8370,10" o:allowincell="f" path="m0,5l8370,5e">
          <v:fill on="f" focussize="0,0"/>
          <v:stroke weight="0.5pt" color="#000000" miterlimit="10" joinstyle="miter"/>
          <v:imagedata o:title=""/>
          <o:lock v:ext="edit"/>
        </v:shape>
      </w:pict>
    </w:r>
    <w:r>
      <w:rPr>
        <w:rFonts w:ascii="宋体" w:hAnsi="宋体" w:eastAsia="宋体" w:cs="宋体"/>
        <w:spacing w:val="-4"/>
        <w:sz w:val="18"/>
        <w:szCs w:val="18"/>
      </w:rPr>
      <w:t>内部审核管理制度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documentProtection w:enforcement="0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103164E"/>
    <w:rsid w:val="04D31337"/>
    <w:rsid w:val="05962A91"/>
    <w:rsid w:val="082D0FA0"/>
    <w:rsid w:val="0D0E73B0"/>
    <w:rsid w:val="0DA77262"/>
    <w:rsid w:val="0DCC7572"/>
    <w:rsid w:val="10114265"/>
    <w:rsid w:val="111331E7"/>
    <w:rsid w:val="13113756"/>
    <w:rsid w:val="131E42A8"/>
    <w:rsid w:val="1384217A"/>
    <w:rsid w:val="1494463F"/>
    <w:rsid w:val="190A1374"/>
    <w:rsid w:val="192341E3"/>
    <w:rsid w:val="19D420D8"/>
    <w:rsid w:val="253B28B5"/>
    <w:rsid w:val="26D1527F"/>
    <w:rsid w:val="28153BB7"/>
    <w:rsid w:val="294A073A"/>
    <w:rsid w:val="2B886128"/>
    <w:rsid w:val="2DF22B23"/>
    <w:rsid w:val="2EBB49EE"/>
    <w:rsid w:val="307B625B"/>
    <w:rsid w:val="30C9346B"/>
    <w:rsid w:val="30D455A5"/>
    <w:rsid w:val="32244DFC"/>
    <w:rsid w:val="34D16D92"/>
    <w:rsid w:val="35494B7A"/>
    <w:rsid w:val="36637EBD"/>
    <w:rsid w:val="36BE748E"/>
    <w:rsid w:val="39F33306"/>
    <w:rsid w:val="3B283845"/>
    <w:rsid w:val="3E481508"/>
    <w:rsid w:val="41EA1493"/>
    <w:rsid w:val="42C87186"/>
    <w:rsid w:val="49D767A1"/>
    <w:rsid w:val="4B6127C6"/>
    <w:rsid w:val="4D7762D0"/>
    <w:rsid w:val="500A342C"/>
    <w:rsid w:val="5EE40D51"/>
    <w:rsid w:val="61A94127"/>
    <w:rsid w:val="62053A53"/>
    <w:rsid w:val="62CC4571"/>
    <w:rsid w:val="64151D68"/>
    <w:rsid w:val="664803B2"/>
    <w:rsid w:val="66770C98"/>
    <w:rsid w:val="6E337B9A"/>
    <w:rsid w:val="72BF37AA"/>
    <w:rsid w:val="740C4C7A"/>
    <w:rsid w:val="75D27C98"/>
    <w:rsid w:val="77F73E31"/>
    <w:rsid w:val="7ADC4B38"/>
    <w:rsid w:val="7BDF73D3"/>
    <w:rsid w:val="7CAA54CB"/>
    <w:rsid w:val="7CFE1373"/>
    <w:rsid w:val="7F855D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7"/>
    <customShpInfo spid="_x0000_s410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2295</Words>
  <Characters>2457</Characters>
  <TotalTime>6</TotalTime>
  <ScaleCrop>false</ScaleCrop>
  <LinksUpToDate>false</LinksUpToDate>
  <CharactersWithSpaces>2575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2025-08-18T17:51:00Z</dcterms:created>
  <dc:creator>Administrator</dc:creator>
  <cp:lastModifiedBy>郝宇</cp:lastModifiedBy>
  <dcterms:modified xsi:type="dcterms:W3CDTF">2025-08-23T19:30:51Z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2025-08-20T23:31:54Z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008734E4083E4562837FA60E5DA0888E_12</vt:lpwstr>
  </property>
</Properties>
</file>