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r>
        <w:rPr>
          <w:lang w:eastAsia="zh-CN"/>
        </w:rPr>
        <w:drawing>
          <wp:anchor distT="0" distB="0" distL="114300" distR="114300" simplePos="0" relativeHeight="251659264" behindDoc="1" locked="0" layoutInCell="1" allowOverlap="1">
            <wp:simplePos x="0" y="0"/>
            <wp:positionH relativeFrom="page">
              <wp:posOffset>755650</wp:posOffset>
            </wp:positionH>
            <wp:positionV relativeFrom="paragraph">
              <wp:posOffset>51435</wp:posOffset>
            </wp:positionV>
            <wp:extent cx="3171190" cy="997585"/>
            <wp:effectExtent l="0" t="0" r="13970" b="825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a:stretch>
                      <a:fillRect/>
                    </a:stretch>
                  </pic:blipFill>
                  <pic:spPr>
                    <a:xfrm>
                      <a:off x="0" y="0"/>
                      <a:ext cx="3171190" cy="997585"/>
                    </a:xfrm>
                    <a:prstGeom prst="rect">
                      <a:avLst/>
                    </a:prstGeom>
                    <a:noFill/>
                    <a:ln>
                      <a:noFill/>
                    </a:ln>
                  </pic:spPr>
                </pic:pic>
              </a:graphicData>
            </a:graphic>
          </wp:anchor>
        </w:drawing>
      </w:r>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24</w:t>
      </w:r>
      <w:r>
        <w:rPr>
          <w:rFonts w:ascii="宋体" w:hAnsi="宋体" w:eastAsia="宋体" w:cs="宋体"/>
          <w:sz w:val="28"/>
          <w:szCs w:val="28"/>
        </w:rPr>
        <w:t>日-</w:t>
      </w:r>
      <w:r>
        <w:rPr>
          <w:rFonts w:hint="eastAsia" w:ascii="宋体" w:hAnsi="宋体" w:eastAsia="宋体" w:cs="宋体"/>
          <w:sz w:val="28"/>
          <w:szCs w:val="28"/>
          <w:lang w:val="en-US" w:eastAsia="zh-CN"/>
        </w:rPr>
        <w:t>25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152957F8">
            <w:pPr>
              <w:pStyle w:val="6"/>
              <w:spacing w:before="12" w:line="228" w:lineRule="auto"/>
              <w:ind w:left="44"/>
            </w:pPr>
            <w:r>
              <w:rPr>
                <w:spacing w:val="7"/>
              </w:rPr>
              <w:t>2025年度运维服务能力实施计划</w:t>
            </w:r>
          </w:p>
          <w:p w14:paraId="217CDB20">
            <w:pPr>
              <w:pStyle w:val="6"/>
              <w:spacing w:before="12" w:line="239" w:lineRule="auto"/>
              <w:ind w:left="40" w:right="95" w:firstLine="3"/>
            </w:pPr>
            <w:r>
              <w:rPr>
                <w:spacing w:val="8"/>
              </w:rPr>
              <w:t>2025年1-6月运维服务</w:t>
            </w:r>
            <w:r>
              <w:t>KPI</w:t>
            </w:r>
            <w:r>
              <w:rPr>
                <w:spacing w:val="8"/>
              </w:rPr>
              <w:t>指标体系</w:t>
            </w:r>
            <w:r>
              <w:rPr>
                <w:spacing w:val="6"/>
              </w:rPr>
              <w:t>跟踪表</w:t>
            </w:r>
          </w:p>
          <w:p w14:paraId="16F1FB51">
            <w:pPr>
              <w:pStyle w:val="6"/>
              <w:ind w:left="46" w:right="105" w:hanging="2"/>
            </w:pPr>
            <w:r>
              <w:rPr>
                <w:spacing w:val="7"/>
              </w:rPr>
              <w:t>2025年上半年运维服务能力管理报</w:t>
            </w:r>
            <w:r>
              <w:t>告</w:t>
            </w:r>
          </w:p>
          <w:p w14:paraId="51FB3C47">
            <w:pPr>
              <w:pStyle w:val="6"/>
              <w:spacing w:line="228" w:lineRule="auto"/>
              <w:ind w:left="41"/>
            </w:pPr>
            <w:r>
              <w:rPr>
                <w:spacing w:val="8"/>
              </w:rPr>
              <w:t>运维服务质量管理制度</w:t>
            </w:r>
          </w:p>
          <w:p w14:paraId="689D335C">
            <w:pPr>
              <w:pStyle w:val="6"/>
              <w:spacing w:before="12" w:line="228" w:lineRule="auto"/>
              <w:ind w:left="41"/>
            </w:pPr>
            <w:r>
              <w:rPr>
                <w:spacing w:val="8"/>
              </w:rPr>
              <w:t>运维服务质量管理计划</w:t>
            </w:r>
          </w:p>
          <w:p w14:paraId="19B872D2">
            <w:pPr>
              <w:pStyle w:val="6"/>
              <w:spacing w:before="13" w:line="228" w:lineRule="auto"/>
            </w:pPr>
            <w:r>
              <w:rPr>
                <w:spacing w:val="7"/>
              </w:rPr>
              <w:t>2025年上半年运维服务质量管理</w:t>
            </w:r>
          </w:p>
          <w:p w14:paraId="6A314ADE">
            <w:pPr>
              <w:pStyle w:val="6"/>
              <w:spacing w:before="12" w:line="227" w:lineRule="auto"/>
              <w:ind w:left="40"/>
            </w:pPr>
            <w:r>
              <w:rPr>
                <w:spacing w:val="4"/>
              </w:rPr>
              <w:t>报告</w:t>
            </w:r>
          </w:p>
          <w:p w14:paraId="162A381C">
            <w:pPr>
              <w:pStyle w:val="6"/>
              <w:spacing w:before="14"/>
              <w:ind w:left="43" w:right="1302"/>
            </w:pPr>
            <w:r>
              <w:rPr>
                <w:spacing w:val="7"/>
              </w:rPr>
              <w:t>客户满意度调查程序客户投诉处理程序</w:t>
            </w:r>
          </w:p>
          <w:p w14:paraId="100B1F37">
            <w:pPr>
              <w:pStyle w:val="6"/>
              <w:spacing w:line="228" w:lineRule="auto"/>
              <w:ind w:left="44"/>
            </w:pPr>
            <w:r>
              <w:rPr>
                <w:spacing w:val="7"/>
              </w:rPr>
              <w:t>项目验收管理制度</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73E97EC">
            <w:pPr>
              <w:pStyle w:val="6"/>
              <w:spacing w:before="1" w:line="241" w:lineRule="auto"/>
              <w:ind w:right="126"/>
            </w:pPr>
            <w:r>
              <w:rPr>
                <w:rFonts w:hint="eastAsia"/>
              </w:rPr>
              <w:t>质量中心经理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pPr>
            <w:r>
              <w:rPr>
                <w:spacing w:val="-10"/>
              </w:rPr>
              <w:t>肖容斐</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147"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rFonts w:hint="eastAsia"/>
                <w:spacing w:val="8"/>
                <w:lang w:val="en-US" w:eastAsia="zh-CN"/>
              </w:rPr>
              <w:t>2025</w:t>
            </w:r>
            <w:r>
              <w:rPr>
                <w:spacing w:val="8"/>
              </w:rPr>
              <w:t>运维服务质量管理制度</w:t>
            </w:r>
          </w:p>
          <w:p w14:paraId="26E10641">
            <w:pPr>
              <w:pStyle w:val="6"/>
              <w:spacing w:before="12" w:line="228" w:lineRule="auto"/>
              <w:ind w:left="44"/>
            </w:pPr>
            <w:r>
              <w:rPr>
                <w:spacing w:val="7"/>
              </w:rPr>
              <w:t>2025年运维服务能力管理计划</w:t>
            </w:r>
          </w:p>
          <w:p w14:paraId="1EC27FB9">
            <w:pPr>
              <w:pStyle w:val="6"/>
              <w:spacing w:before="12" w:line="228" w:lineRule="auto"/>
              <w:ind w:left="44"/>
            </w:pPr>
            <w:r>
              <w:rPr>
                <w:spacing w:val="7"/>
              </w:rPr>
              <w:t>2025年度运维服务能力实施计划</w:t>
            </w:r>
          </w:p>
          <w:p w14:paraId="43EEE44C">
            <w:pPr>
              <w:pStyle w:val="6"/>
              <w:spacing w:before="12"/>
              <w:ind w:left="46" w:right="105" w:hanging="2"/>
            </w:pPr>
            <w:r>
              <w:rPr>
                <w:spacing w:val="7"/>
              </w:rPr>
              <w:t>2025年上半年运维服务能力管理报</w:t>
            </w:r>
            <w:r>
              <w:t>告</w:t>
            </w:r>
          </w:p>
          <w:p w14:paraId="728694F4">
            <w:pPr>
              <w:pStyle w:val="6"/>
              <w:spacing w:line="228" w:lineRule="auto"/>
              <w:ind w:left="65"/>
            </w:pPr>
            <w:r>
              <w:rPr>
                <w:spacing w:val="3"/>
              </w:rPr>
              <w:t>内审管理制度</w:t>
            </w:r>
          </w:p>
          <w:p w14:paraId="37F0AE1B">
            <w:pPr>
              <w:pStyle w:val="6"/>
              <w:spacing w:before="13"/>
              <w:ind w:left="65" w:right="1298" w:hanging="21"/>
            </w:pPr>
            <w:r>
              <w:rPr>
                <w:spacing w:val="6"/>
              </w:rPr>
              <w:t>2025年内部审核计划</w:t>
            </w:r>
            <w:r>
              <w:rPr>
                <w:spacing w:val="4"/>
              </w:rPr>
              <w:t>内部审核检查表</w:t>
            </w:r>
          </w:p>
          <w:p w14:paraId="47AD2C8C">
            <w:pPr>
              <w:pStyle w:val="6"/>
              <w:spacing w:line="226" w:lineRule="auto"/>
              <w:ind w:left="65"/>
            </w:pPr>
            <w:r>
              <w:rPr>
                <w:spacing w:val="3"/>
              </w:rPr>
              <w:t>内部审核报告</w:t>
            </w:r>
          </w:p>
          <w:p w14:paraId="3A1476AB">
            <w:pPr>
              <w:pStyle w:val="6"/>
              <w:spacing w:before="12"/>
              <w:ind w:left="65" w:right="1701"/>
            </w:pPr>
            <w:r>
              <w:rPr>
                <w:spacing w:val="4"/>
              </w:rPr>
              <w:t>内审不合格报告</w:t>
            </w:r>
            <w:r>
              <w:rPr>
                <w:spacing w:val="3"/>
              </w:rPr>
              <w:t>内部审核程序</w:t>
            </w:r>
          </w:p>
          <w:p w14:paraId="08686296">
            <w:pPr>
              <w:pStyle w:val="6"/>
              <w:spacing w:line="228" w:lineRule="auto"/>
              <w:ind w:left="46"/>
            </w:pPr>
            <w:r>
              <w:rPr>
                <w:spacing w:val="6"/>
              </w:rPr>
              <w:t>管理评审程序</w:t>
            </w:r>
          </w:p>
          <w:p w14:paraId="3453A0A2">
            <w:pPr>
              <w:pStyle w:val="6"/>
              <w:spacing w:before="13"/>
              <w:ind w:left="46" w:right="1298" w:hanging="2"/>
            </w:pPr>
            <w:r>
              <w:rPr>
                <w:spacing w:val="6"/>
              </w:rPr>
              <w:t>2025年管理评审计划</w:t>
            </w:r>
          </w:p>
          <w:p w14:paraId="2E20AFD9">
            <w:pPr>
              <w:pStyle w:val="6"/>
              <w:spacing w:before="1" w:line="241" w:lineRule="auto"/>
              <w:ind w:left="41" w:right="1103" w:firstLine="2"/>
            </w:pPr>
            <w:r>
              <w:rPr>
                <w:spacing w:val="7"/>
              </w:rPr>
              <w:t>组织架构图及部门职责沟通管理程序</w:t>
            </w:r>
          </w:p>
        </w:tc>
        <w:tc>
          <w:tcPr>
            <w:tcW w:w="1278"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E76EC4D">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spacing w:val="-10"/>
              </w:rPr>
              <w:t>肖容斐</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2AB12F96">
            <w:pPr>
              <w:pStyle w:val="6"/>
              <w:spacing w:before="12" w:line="228" w:lineRule="auto"/>
              <w:ind w:left="43"/>
            </w:pPr>
            <w:r>
              <w:rPr>
                <w:spacing w:val="7"/>
              </w:rPr>
              <w:t>客户满意度调查计划</w:t>
            </w:r>
          </w:p>
          <w:p w14:paraId="1D84FDFE">
            <w:pPr>
              <w:pStyle w:val="6"/>
              <w:spacing w:before="12" w:line="227" w:lineRule="auto"/>
              <w:ind w:left="44"/>
            </w:pPr>
            <w:r>
              <w:rPr>
                <w:spacing w:val="7"/>
              </w:rPr>
              <w:t>2025年客户满意度调查报告</w:t>
            </w:r>
          </w:p>
          <w:p w14:paraId="2EFE9471">
            <w:pPr>
              <w:pStyle w:val="6"/>
              <w:spacing w:before="14"/>
              <w:ind w:left="46" w:right="105" w:hanging="2"/>
            </w:pPr>
            <w:r>
              <w:rPr>
                <w:spacing w:val="7"/>
              </w:rPr>
              <w:t>2025年上半年运维服务能力管理报</w:t>
            </w:r>
            <w:r>
              <w:t>告</w:t>
            </w:r>
          </w:p>
          <w:p w14:paraId="5F0947E1">
            <w:pPr>
              <w:pStyle w:val="6"/>
              <w:ind w:left="46" w:right="105" w:hanging="2"/>
            </w:pPr>
            <w:r>
              <w:rPr>
                <w:spacing w:val="7"/>
              </w:rPr>
              <w:t>2025年上半年运维服务质量管理报</w:t>
            </w:r>
            <w:r>
              <w:t>告</w:t>
            </w:r>
          </w:p>
          <w:p w14:paraId="32448564">
            <w:pPr>
              <w:pStyle w:val="6"/>
              <w:spacing w:before="1"/>
              <w:ind w:right="1900"/>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F7D6031">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spacing w:val="-10"/>
              </w:rPr>
              <w:t>肖容斐</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3147"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4B15E062">
            <w:pPr>
              <w:pStyle w:val="6"/>
              <w:spacing w:before="62"/>
              <w:ind w:left="42" w:right="1103" w:hanging="1"/>
            </w:pPr>
            <w:r>
              <w:rPr>
                <w:spacing w:val="8"/>
              </w:rPr>
              <w:t>运维服务质量管理制度</w:t>
            </w:r>
            <w:r>
              <w:rPr>
                <w:spacing w:val="7"/>
              </w:rPr>
              <w:t>客户满意度调查程序</w:t>
            </w:r>
          </w:p>
          <w:p w14:paraId="6651E8C3">
            <w:pPr>
              <w:pStyle w:val="6"/>
              <w:spacing w:line="239" w:lineRule="auto"/>
              <w:ind w:left="41" w:right="1502" w:firstLine="1"/>
            </w:pPr>
            <w:r>
              <w:rPr>
                <w:spacing w:val="7"/>
              </w:rPr>
              <w:t>客户投诉处理程序沟通管理程序</w:t>
            </w:r>
          </w:p>
          <w:p w14:paraId="4E85EE45">
            <w:pPr>
              <w:pStyle w:val="6"/>
              <w:spacing w:line="228" w:lineRule="auto"/>
              <w:ind w:left="41"/>
            </w:pPr>
            <w:r>
              <w:rPr>
                <w:spacing w:val="8"/>
              </w:rPr>
              <w:t>运维服务能力改进管理制度</w:t>
            </w:r>
          </w:p>
        </w:tc>
        <w:tc>
          <w:tcPr>
            <w:tcW w:w="1278"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DBAC480">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spacing w:val="-10"/>
              </w:rPr>
              <w:t>肖容斐</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1908" w:type="dxa"/>
            <w:vAlign w:val="top"/>
          </w:tcPr>
          <w:p w14:paraId="554108FB">
            <w:pPr>
              <w:spacing w:line="287" w:lineRule="auto"/>
              <w:rPr>
                <w:rFonts w:ascii="Arial"/>
                <w:sz w:val="21"/>
              </w:rPr>
            </w:pPr>
          </w:p>
          <w:p w14:paraId="6FF1DCB8">
            <w:pPr>
              <w:spacing w:line="288" w:lineRule="auto"/>
              <w:rPr>
                <w:rFonts w:ascii="Arial"/>
                <w:sz w:val="21"/>
              </w:rPr>
            </w:pPr>
          </w:p>
          <w:p w14:paraId="34DA89EE">
            <w:pPr>
              <w:spacing w:line="288" w:lineRule="auto"/>
              <w:rPr>
                <w:rFonts w:ascii="Arial"/>
                <w:sz w:val="21"/>
              </w:rPr>
            </w:pPr>
          </w:p>
          <w:p w14:paraId="68F1A8C5">
            <w:pPr>
              <w:pStyle w:val="6"/>
              <w:spacing w:before="61" w:line="228" w:lineRule="auto"/>
              <w:ind w:left="40"/>
            </w:pPr>
            <w:r>
              <w:rPr>
                <w:spacing w:val="7"/>
              </w:rPr>
              <w:t>质量管理制度</w:t>
            </w:r>
          </w:p>
          <w:p w14:paraId="1087C76E">
            <w:pPr>
              <w:pStyle w:val="6"/>
              <w:spacing w:before="12"/>
              <w:ind w:left="43" w:right="65" w:hanging="4"/>
            </w:pPr>
            <w:r>
              <w:rPr>
                <w:spacing w:val="8"/>
              </w:rPr>
              <w:t>运维服务项目级质量</w:t>
            </w:r>
            <w:r>
              <w:rPr>
                <w:spacing w:val="6"/>
              </w:rPr>
              <w:t>管理程序</w:t>
            </w:r>
          </w:p>
          <w:p w14:paraId="185BCD7B">
            <w:pPr>
              <w:pStyle w:val="6"/>
              <w:ind w:left="41" w:right="55"/>
            </w:pPr>
            <w:r>
              <w:rPr>
                <w:spacing w:val="7"/>
              </w:rPr>
              <w:t>2025年质量管理计划客户满意度调查计划内审管理制度</w:t>
            </w:r>
          </w:p>
          <w:p w14:paraId="0250AB8C">
            <w:pPr>
              <w:pStyle w:val="6"/>
              <w:ind w:left="63" w:right="55" w:hanging="21"/>
            </w:pPr>
            <w:r>
              <w:rPr>
                <w:spacing w:val="7"/>
              </w:rPr>
              <w:t>2025年内部审核计划</w:t>
            </w:r>
            <w:r>
              <w:rPr>
                <w:spacing w:val="4"/>
              </w:rPr>
              <w:t>内部审核检查表</w:t>
            </w:r>
          </w:p>
          <w:p w14:paraId="284D5CB2">
            <w:pPr>
              <w:pStyle w:val="6"/>
              <w:spacing w:before="1" w:line="226" w:lineRule="auto"/>
              <w:ind w:left="64"/>
            </w:pPr>
            <w:r>
              <w:rPr>
                <w:spacing w:val="3"/>
              </w:rPr>
              <w:t>内部审核报告</w:t>
            </w:r>
          </w:p>
          <w:p w14:paraId="2B1D1BE8">
            <w:pPr>
              <w:pStyle w:val="6"/>
              <w:spacing w:before="14"/>
              <w:ind w:left="44" w:right="464" w:firstLine="19"/>
            </w:pPr>
            <w:r>
              <w:rPr>
                <w:spacing w:val="4"/>
              </w:rPr>
              <w:t>内审不合格报告</w:t>
            </w:r>
            <w:r>
              <w:rPr>
                <w:spacing w:val="7"/>
              </w:rPr>
              <w:t>管理评审程序</w:t>
            </w:r>
          </w:p>
          <w:p w14:paraId="6B24AEA1">
            <w:pPr>
              <w:pStyle w:val="6"/>
              <w:spacing w:before="1" w:line="238" w:lineRule="auto"/>
              <w:ind w:left="44" w:right="55" w:hanging="2"/>
            </w:pPr>
            <w:r>
              <w:rPr>
                <w:spacing w:val="7"/>
              </w:rPr>
              <w:t>2025年管理评审计划</w:t>
            </w:r>
          </w:p>
        </w:tc>
        <w:tc>
          <w:tcPr>
            <w:tcW w:w="1987"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8805386">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spacing w:val="-10"/>
              </w:rPr>
              <w:t>肖容斐</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1908"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36688914">
            <w:pPr>
              <w:pStyle w:val="6"/>
              <w:spacing w:before="11" w:line="241" w:lineRule="auto"/>
              <w:ind w:left="41" w:right="55"/>
              <w:jc w:val="both"/>
            </w:pPr>
            <w:r>
              <w:rPr>
                <w:spacing w:val="7"/>
              </w:rPr>
              <w:t>客户满意度调查计划2025年客户满意度调</w:t>
            </w:r>
            <w:r>
              <w:rPr>
                <w:spacing w:val="5"/>
              </w:rPr>
              <w:t>查报告</w:t>
            </w:r>
          </w:p>
        </w:tc>
        <w:tc>
          <w:tcPr>
            <w:tcW w:w="1987"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F0B7BF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spacing w:val="-10"/>
              </w:rPr>
              <w:t>肖容斐</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pPr>
            <w:r>
              <w:rPr>
                <w:spacing w:val="7"/>
              </w:rPr>
              <w:t>沟通管理程序</w:t>
            </w:r>
          </w:p>
          <w:p w14:paraId="17C560EA">
            <w:pPr>
              <w:pStyle w:val="6"/>
              <w:spacing w:before="12"/>
              <w:ind w:left="39" w:right="65"/>
            </w:pPr>
            <w:r>
              <w:rPr>
                <w:spacing w:val="8"/>
              </w:rPr>
              <w:t>服务质量改进管理程</w:t>
            </w:r>
            <w:r>
              <w:rPr>
                <w:spacing w:val="2"/>
              </w:rPr>
              <w:t>序</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673F079">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spacing w:val="-10"/>
              </w:rPr>
              <w:t>肖容斐</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7A07E846">
            <w:pPr>
              <w:pStyle w:val="6"/>
              <w:spacing w:before="62" w:line="241" w:lineRule="auto"/>
              <w:ind w:left="42" w:right="63" w:hanging="3"/>
            </w:pPr>
            <w:r>
              <w:rPr>
                <w:spacing w:val="8"/>
                <w:shd w:val="clear"/>
              </w:rPr>
              <w:t>运维服务目录、</w:t>
            </w:r>
            <w:r>
              <w:rPr>
                <w:rFonts w:hint="eastAsia"/>
                <w:spacing w:val="8"/>
                <w:shd w:val="clear"/>
                <w:lang w:val="en-US" w:eastAsia="zh-CN"/>
              </w:rPr>
              <w:t>市民服务中心智能化运维服务项目</w:t>
            </w:r>
            <w:r>
              <w:rPr>
                <w:spacing w:val="7"/>
                <w:shd w:val="clear"/>
              </w:rPr>
              <w:t>实施方案、服务交付</w:t>
            </w:r>
            <w:r>
              <w:rPr>
                <w:spacing w:val="6"/>
                <w:shd w:val="clear"/>
              </w:rPr>
              <w:t>管理制度</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9969AF7">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spacing w:val="-5"/>
              </w:rPr>
              <w:t>宫海亭</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spacing w:val="7"/>
              </w:rPr>
              <w:t>项目运维故障处理报</w:t>
            </w:r>
            <w:r>
              <w:rPr>
                <w:spacing w:val="8"/>
              </w:rPr>
              <w:t>告、</w:t>
            </w: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AF3F4F8">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spacing w:val="-5"/>
              </w:rPr>
              <w:t>宫海亭</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1908" w:type="dxa"/>
            <w:vAlign w:val="top"/>
          </w:tcPr>
          <w:p w14:paraId="3C677E37">
            <w:pPr>
              <w:spacing w:line="470" w:lineRule="auto"/>
              <w:rPr>
                <w:rFonts w:ascii="Arial"/>
                <w:sz w:val="21"/>
              </w:rPr>
            </w:pPr>
          </w:p>
          <w:p w14:paraId="40E97E4E">
            <w:pPr>
              <w:pStyle w:val="6"/>
              <w:spacing w:before="62" w:line="241" w:lineRule="auto"/>
              <w:ind w:left="41" w:right="63" w:hanging="2"/>
              <w:jc w:val="both"/>
            </w:pPr>
            <w:r>
              <w:rPr>
                <w:spacing w:val="8"/>
              </w:rPr>
              <w:t>运维服务能力质量管理制度、质量管理报</w:t>
            </w:r>
            <w:r>
              <w:t>告</w:t>
            </w:r>
          </w:p>
        </w:tc>
        <w:tc>
          <w:tcPr>
            <w:tcW w:w="1987"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700401C">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spacing w:val="-5"/>
              </w:rPr>
              <w:t>宫海亭</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1908" w:type="dxa"/>
            <w:vAlign w:val="top"/>
          </w:tcPr>
          <w:p w14:paraId="4BD43FC9">
            <w:pPr>
              <w:spacing w:line="356" w:lineRule="auto"/>
              <w:rPr>
                <w:rFonts w:ascii="Arial"/>
                <w:sz w:val="21"/>
              </w:rPr>
            </w:pPr>
          </w:p>
          <w:p w14:paraId="24ECE352">
            <w:pPr>
              <w:pStyle w:val="6"/>
              <w:spacing w:before="61"/>
              <w:ind w:left="40" w:right="63" w:firstLine="23"/>
              <w:jc w:val="both"/>
            </w:pPr>
            <w:r>
              <w:rPr>
                <w:spacing w:val="5"/>
              </w:rPr>
              <w:t>内审、管理评审记录</w:t>
            </w:r>
            <w:r>
              <w:rPr>
                <w:spacing w:val="4"/>
              </w:rPr>
              <w:t xml:space="preserve"> </w:t>
            </w:r>
            <w:r>
              <w:rPr>
                <w:spacing w:val="7"/>
              </w:rPr>
              <w:t>、安全风险分析报告 、安全隐患处置结果</w:t>
            </w:r>
            <w:r>
              <w:rPr>
                <w:spacing w:val="6"/>
              </w:rPr>
              <w:t>反馈表</w:t>
            </w:r>
          </w:p>
        </w:tc>
        <w:tc>
          <w:tcPr>
            <w:tcW w:w="1987"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5443D51">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spacing w:val="-5"/>
              </w:rPr>
              <w:t>宫海亭</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1908"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运维交付例行操作手</w:t>
            </w:r>
            <w:r>
              <w:rPr>
                <w:spacing w:val="1"/>
              </w:rPr>
              <w:t>册</w:t>
            </w:r>
          </w:p>
        </w:tc>
        <w:tc>
          <w:tcPr>
            <w:tcW w:w="1987"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8A877DB">
            <w:pPr>
              <w:pStyle w:val="6"/>
              <w:spacing w:before="10"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spacing w:val="-5"/>
              </w:rPr>
              <w:t>宫海亭</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1908"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987"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173ABE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spacing w:val="-5"/>
              </w:rPr>
              <w:t>宫海亭</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spacing w:val="7"/>
              </w:rPr>
              <w:t>应急组织级应急保障制度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1727960">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spacing w:val="-5"/>
              </w:rPr>
              <w:t>宫海亭</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ind w:left="368"/>
            </w:pPr>
            <w:r>
              <w:rPr>
                <w:spacing w:val="7"/>
              </w:rPr>
              <w:t>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0202EDA">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spacing w:val="-5"/>
              </w:rPr>
              <w:t>宫海亭</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667383E">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spacing w:val="-5"/>
              </w:rPr>
              <w:t>宫海亭</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47FB490C">
            <w:pPr>
              <w:pStyle w:val="6"/>
              <w:spacing w:before="62" w:line="228" w:lineRule="auto"/>
              <w:ind w:left="68"/>
            </w:pPr>
            <w:r>
              <w:rPr>
                <w:spacing w:val="8"/>
              </w:rPr>
              <w:t>应急演练总结报</w:t>
            </w:r>
          </w:p>
          <w:p w14:paraId="324D7456">
            <w:pPr>
              <w:pStyle w:val="6"/>
              <w:spacing w:before="12" w:line="227" w:lineRule="auto"/>
              <w:ind w:left="870"/>
            </w:pPr>
            <w:r>
              <w:t>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1F78627B">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spacing w:val="-5"/>
              </w:rPr>
              <w:t>宫海亭</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5B93A255">
            <w:pPr>
              <w:pStyle w:val="6"/>
              <w:spacing w:before="62" w:line="228" w:lineRule="auto"/>
              <w:ind w:left="42"/>
            </w:pPr>
            <w:r>
              <w:rPr>
                <w:spacing w:val="7"/>
              </w:rPr>
              <w:t>软件开发管理制度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spacing w:val="8"/>
              </w:rPr>
              <w:t>运维服务技术研发成</w:t>
            </w:r>
            <w:r>
              <w:rPr>
                <w:spacing w:val="5"/>
              </w:rPr>
              <w:t>果说明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6"/>
              <w:spacing w:before="62" w:line="229" w:lineRule="auto"/>
              <w:ind w:left="51"/>
            </w:pPr>
            <w:r>
              <w:rPr>
                <w:rFonts w:hint="eastAsia"/>
                <w:spacing w:val="4"/>
              </w:rPr>
              <w:t>郑永伟</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r>
              <w:rPr>
                <w:spacing w:val="7"/>
              </w:rPr>
              <w:t>产品研发需求调研</w:t>
            </w: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6"/>
              <w:spacing w:before="62" w:line="229" w:lineRule="auto"/>
              <w:ind w:left="51"/>
            </w:pPr>
            <w:r>
              <w:rPr>
                <w:rFonts w:hint="eastAsia"/>
                <w:spacing w:val="4"/>
              </w:rPr>
              <w:t>郑永伟</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7FDF9152">
            <w:pPr>
              <w:pStyle w:val="6"/>
              <w:shd w:val="clear"/>
              <w:spacing w:line="239" w:lineRule="auto"/>
              <w:ind w:left="42" w:right="65" w:hanging="3"/>
            </w:pPr>
            <w:r>
              <w:rPr>
                <w:spacing w:val="8"/>
              </w:rPr>
              <w:t>运</w:t>
            </w:r>
            <w:r>
              <w:t>维服务技术研发成果说明</w:t>
            </w:r>
          </w:p>
          <w:p w14:paraId="05A284CD">
            <w:pPr>
              <w:pStyle w:val="6"/>
              <w:shd w:val="clear"/>
              <w:spacing w:line="239" w:lineRule="auto"/>
              <w:ind w:left="42" w:right="65" w:hanging="3"/>
            </w:pPr>
            <w:r>
              <w:rPr>
                <w:rFonts w:hint="eastAsia"/>
              </w:rPr>
              <w:t>360安全云数字化协作平台</w:t>
            </w:r>
            <w:r>
              <w:t>使用说明书</w:t>
            </w:r>
          </w:p>
          <w:p w14:paraId="70498D5E">
            <w:pPr>
              <w:pStyle w:val="6"/>
              <w:shd w:val="clear"/>
              <w:spacing w:line="239" w:lineRule="auto"/>
              <w:ind w:left="42" w:right="65" w:hanging="3"/>
            </w:pPr>
            <w:r>
              <w:t>应用系统常见故障运维手册</w:t>
            </w:r>
          </w:p>
          <w:p w14:paraId="040494D8">
            <w:pPr>
              <w:pStyle w:val="6"/>
              <w:shd w:val="clear"/>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6"/>
              <w:spacing w:before="62" w:line="229" w:lineRule="auto"/>
              <w:ind w:left="51"/>
            </w:pPr>
            <w:r>
              <w:rPr>
                <w:rFonts w:hint="eastAsia"/>
                <w:spacing w:val="4"/>
              </w:rPr>
              <w:t>郑永伟</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F55A61E">
            <w:pPr>
              <w:pStyle w:val="6"/>
              <w:spacing w:before="3"/>
              <w:ind w:left="40" w:right="63" w:firstLine="102"/>
              <w:rPr>
                <w:color w:val="FF0000"/>
                <w:spacing w:val="4"/>
              </w:rPr>
            </w:pPr>
            <w:r>
              <w:rPr>
                <w:color w:val="FF0000"/>
                <w:spacing w:val="7"/>
              </w:rPr>
              <w:t>查看并访谈运维</w:t>
            </w:r>
            <w:r>
              <w:rPr>
                <w:rFonts w:hint="eastAsia"/>
                <w:color w:val="FF0000"/>
                <w:spacing w:val="7"/>
                <w:lang w:val="en-US" w:eastAsia="zh-CN"/>
              </w:rPr>
              <w:t>服务</w:t>
            </w:r>
            <w:r>
              <w:rPr>
                <w:color w:val="FF0000"/>
                <w:spacing w:val="7"/>
              </w:rPr>
              <w:t>服</w:t>
            </w:r>
            <w:r>
              <w:rPr>
                <w:color w:val="FF0000"/>
                <w:spacing w:val="8"/>
              </w:rPr>
              <w:t>务负责人，未见运维</w:t>
            </w:r>
            <w:r>
              <w:rPr>
                <w:color w:val="FF0000"/>
                <w:spacing w:val="7"/>
              </w:rPr>
              <w:t>工具效果的自评估记</w:t>
            </w:r>
            <w:r>
              <w:rPr>
                <w:color w:val="FF0000"/>
                <w:spacing w:val="4"/>
              </w:rPr>
              <w:t>录信息。</w:t>
            </w:r>
          </w:p>
          <w:p w14:paraId="2221EFD4">
            <w:pPr>
              <w:pStyle w:val="6"/>
              <w:spacing w:before="245"/>
              <w:ind w:left="57" w:right="65" w:hanging="18"/>
              <w:rPr>
                <w:rFonts w:hint="eastAsia"/>
                <w:spacing w:val="7"/>
                <w:lang w:val="en-US" w:eastAsia="zh-CN"/>
              </w:rPr>
            </w:pPr>
            <w:r>
              <w:rPr>
                <w:rFonts w:hint="eastAsia"/>
                <w:spacing w:val="7"/>
                <w:lang w:val="en-US" w:eastAsia="zh-CN"/>
              </w:rPr>
              <w:t>360安全云数字化写作平台运维资源应用情况说明</w:t>
            </w:r>
          </w:p>
          <w:p w14:paraId="024CA601">
            <w:pPr>
              <w:pStyle w:val="6"/>
              <w:spacing w:before="245"/>
              <w:ind w:left="57" w:right="65" w:hanging="18"/>
              <w:rPr>
                <w:rFonts w:hint="eastAsia"/>
                <w:spacing w:val="7"/>
                <w:lang w:val="en-US" w:eastAsia="zh-CN"/>
              </w:rPr>
            </w:pPr>
            <w:r>
              <w:rPr>
                <w:rFonts w:hint="eastAsia"/>
                <w:spacing w:val="7"/>
                <w:lang w:val="en-US" w:eastAsia="zh-CN"/>
              </w:rPr>
              <w:t>H3C智能管理中心</w:t>
            </w:r>
          </w:p>
          <w:p w14:paraId="29A58AB2">
            <w:pPr>
              <w:pStyle w:val="6"/>
              <w:spacing w:before="3"/>
              <w:ind w:left="40" w:right="63" w:firstLine="102"/>
              <w:rPr>
                <w:rFonts w:hint="default" w:eastAsia="宋体"/>
                <w:color w:val="FF0000"/>
                <w:spacing w:val="4"/>
                <w:lang w:val="en-US" w:eastAsia="zh-CN"/>
              </w:rPr>
            </w:pP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FF0000"/>
                <w:spacing w:val="5"/>
              </w:rPr>
              <w:t>不符合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6"/>
              <w:spacing w:before="61" w:line="228" w:lineRule="auto"/>
              <w:ind w:left="51"/>
            </w:pPr>
            <w:r>
              <w:rPr>
                <w:rFonts w:hint="eastAsia"/>
                <w:spacing w:val="7"/>
              </w:rPr>
              <w:t>孙人杰</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7947D3A3">
            <w:pPr>
              <w:pStyle w:val="6"/>
              <w:spacing w:before="12"/>
              <w:ind w:left="39" w:right="65"/>
            </w:pPr>
            <w:r>
              <w:rPr>
                <w:spacing w:val="8"/>
              </w:rPr>
              <w:t>服务台工作管理规范</w:t>
            </w:r>
            <w:r>
              <w:rPr>
                <w:spacing w:val="7"/>
              </w:rPr>
              <w:t>及操作指南</w:t>
            </w:r>
          </w:p>
          <w:p w14:paraId="76AEC6C8">
            <w:pPr>
              <w:pStyle w:val="6"/>
              <w:spacing w:line="228" w:lineRule="auto"/>
              <w:ind w:left="39"/>
            </w:pPr>
            <w:r>
              <w:rPr>
                <w:spacing w:val="7"/>
              </w:rPr>
              <w:t>服务台考核记录</w:t>
            </w:r>
          </w:p>
          <w:p w14:paraId="7DCA0EB2">
            <w:pPr>
              <w:pStyle w:val="6"/>
              <w:spacing w:before="11" w:line="242" w:lineRule="auto"/>
              <w:ind w:left="57" w:right="65" w:hanging="18"/>
            </w:pPr>
            <w:r>
              <w:rPr>
                <w:spacing w:val="8"/>
              </w:rPr>
              <w:t>运维资源应用情况说</w:t>
            </w:r>
            <w:r>
              <w:t>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6"/>
              <w:spacing w:before="61" w:line="228" w:lineRule="auto"/>
              <w:ind w:left="51"/>
            </w:pPr>
            <w:r>
              <w:rPr>
                <w:rFonts w:hint="eastAsia"/>
                <w:spacing w:val="7"/>
              </w:rPr>
              <w:t>孙人杰</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spacing w:line="262" w:lineRule="auto"/>
              <w:rPr>
                <w:rFonts w:ascii="Arial"/>
                <w:sz w:val="21"/>
              </w:rPr>
            </w:pPr>
          </w:p>
          <w:p w14:paraId="6A6EBA33">
            <w:pPr>
              <w:pStyle w:val="6"/>
              <w:spacing w:before="62" w:line="228" w:lineRule="auto"/>
              <w:ind w:left="42"/>
            </w:pPr>
            <w:r>
              <w:rPr>
                <w:spacing w:val="7"/>
              </w:rPr>
              <w:t>备件库不</w:t>
            </w:r>
            <w:bookmarkStart w:id="0" w:name="_GoBack"/>
            <w:bookmarkEnd w:id="0"/>
            <w:r>
              <w:rPr>
                <w:spacing w:val="7"/>
              </w:rPr>
              <w:t>适用</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pPr>
            <w:r>
              <w:rPr>
                <w:spacing w:val="7"/>
              </w:rPr>
              <w:t>备件库不适用</w:t>
            </w: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6"/>
              <w:spacing w:before="62" w:line="228" w:lineRule="auto"/>
              <w:ind w:left="51"/>
            </w:pPr>
            <w:r>
              <w:rPr>
                <w:rFonts w:hint="eastAsia"/>
                <w:spacing w:val="7"/>
              </w:rPr>
              <w:t>孙人杰</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spacing w:before="62"/>
              <w:ind w:left="39" w:right="65" w:firstLine="3"/>
            </w:pPr>
            <w:r>
              <w:rPr>
                <w:spacing w:val="7"/>
              </w:rPr>
              <w:t>最终软件库管理制度</w:t>
            </w:r>
          </w:p>
          <w:p w14:paraId="2DBF834F">
            <w:pPr>
              <w:pStyle w:val="6"/>
              <w:ind w:left="57" w:right="65" w:hanging="18"/>
            </w:pPr>
            <w:r>
              <w:rPr>
                <w:spacing w:val="8"/>
              </w:rPr>
              <w:t>运维资源应用情况说</w:t>
            </w:r>
            <w:r>
              <w:t>明</w:t>
            </w:r>
          </w:p>
          <w:p w14:paraId="1042FE3F">
            <w:pPr>
              <w:pStyle w:val="6"/>
              <w:spacing w:before="1" w:line="251" w:lineRule="auto"/>
              <w:ind w:left="37" w:right="464" w:firstLine="3"/>
            </w:pPr>
            <w:r>
              <w:rPr>
                <w:spacing w:val="7"/>
              </w:rPr>
              <w:t>可用性检查记录</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6"/>
              <w:spacing w:before="62" w:line="228" w:lineRule="auto"/>
              <w:ind w:left="51"/>
            </w:pPr>
            <w:r>
              <w:rPr>
                <w:rFonts w:hint="eastAsia"/>
                <w:spacing w:val="7"/>
              </w:rPr>
              <w:t>孙人杰</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64DBFFFC">
            <w:pPr>
              <w:pStyle w:val="6"/>
              <w:spacing w:before="12"/>
              <w:ind w:left="57" w:right="65" w:hanging="18"/>
            </w:pPr>
            <w:r>
              <w:rPr>
                <w:spacing w:val="8"/>
              </w:rPr>
              <w:t>运维资源应用情况说</w:t>
            </w:r>
            <w:r>
              <w:t>明</w:t>
            </w:r>
          </w:p>
          <w:p w14:paraId="4B4BC48E">
            <w:pPr>
              <w:pStyle w:val="6"/>
              <w:spacing w:line="205" w:lineRule="auto"/>
              <w:ind w:left="35"/>
              <w:rPr>
                <w:rFonts w:hint="default" w:eastAsia="宋体"/>
                <w:lang w:val="en-US" w:eastAsia="zh-CN"/>
              </w:rPr>
            </w:pPr>
            <w:r>
              <w:rPr>
                <w:rFonts w:hint="eastAsia"/>
                <w:lang w:val="en-US" w:eastAsia="zh-CN"/>
              </w:rPr>
              <w:t>H3C智能管理中心</w:t>
            </w: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6"/>
              <w:spacing w:before="62" w:line="228" w:lineRule="auto"/>
              <w:ind w:left="51"/>
            </w:pPr>
            <w:r>
              <w:rPr>
                <w:rFonts w:hint="eastAsia"/>
                <w:spacing w:val="7"/>
              </w:rPr>
              <w:t>孙人杰</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1935EEFF">
            <w:pPr>
              <w:pStyle w:val="6"/>
              <w:spacing w:before="12"/>
              <w:ind w:left="57" w:right="65" w:hanging="18"/>
            </w:pPr>
            <w:r>
              <w:rPr>
                <w:spacing w:val="8"/>
              </w:rPr>
              <w:t>运维资源应用情况说</w:t>
            </w:r>
            <w:r>
              <w:t>明</w:t>
            </w:r>
          </w:p>
          <w:p w14:paraId="68DCC906">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6"/>
              <w:spacing w:before="62" w:line="228" w:lineRule="auto"/>
              <w:ind w:left="51"/>
            </w:pPr>
            <w:r>
              <w:rPr>
                <w:rFonts w:hint="eastAsia"/>
                <w:spacing w:val="7"/>
              </w:rPr>
              <w:t>孙人杰</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13816433">
            <w:pPr>
              <w:spacing w:line="264" w:lineRule="auto"/>
              <w:rPr>
                <w:rFonts w:ascii="Arial"/>
                <w:sz w:val="21"/>
              </w:rPr>
            </w:pPr>
          </w:p>
          <w:p w14:paraId="34C01EC5">
            <w:pPr>
              <w:pStyle w:val="6"/>
              <w:spacing w:before="62" w:line="228" w:lineRule="auto"/>
              <w:ind w:left="42"/>
            </w:pPr>
            <w:r>
              <w:rPr>
                <w:spacing w:val="7"/>
              </w:rPr>
              <w:t>2025年运维服务人员</w:t>
            </w:r>
          </w:p>
          <w:p w14:paraId="0F2F6050">
            <w:pPr>
              <w:pStyle w:val="6"/>
              <w:spacing w:before="12" w:line="228" w:lineRule="auto"/>
              <w:ind w:left="44"/>
            </w:pPr>
            <w:r>
              <w:rPr>
                <w:spacing w:val="6"/>
              </w:rPr>
              <w:t>管理计划</w:t>
            </w:r>
          </w:p>
          <w:p w14:paraId="6695F810">
            <w:pPr>
              <w:pStyle w:val="6"/>
              <w:spacing w:before="11" w:line="241" w:lineRule="auto"/>
              <w:ind w:right="65"/>
            </w:pPr>
            <w:r>
              <w:rPr>
                <w:spacing w:val="7"/>
              </w:rPr>
              <w:t>2025年</w:t>
            </w:r>
            <w:r>
              <w:rPr>
                <w:rFonts w:hint="eastAsia"/>
                <w:spacing w:val="7"/>
                <w:lang w:val="en-US" w:eastAsia="zh-CN"/>
              </w:rPr>
              <w:t>季度</w:t>
            </w:r>
            <w:r>
              <w:rPr>
                <w:spacing w:val="7"/>
              </w:rPr>
              <w:t>人力资源管理工作总结报</w:t>
            </w:r>
            <w:r>
              <w:t>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6"/>
              <w:spacing w:before="62" w:line="229" w:lineRule="auto"/>
              <w:ind w:left="51"/>
            </w:pPr>
            <w:r>
              <w:rPr>
                <w:rFonts w:hint="eastAsia"/>
                <w:spacing w:val="7"/>
              </w:rPr>
              <w:t>孙人杰</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0FE85EB9">
            <w:pPr>
              <w:pStyle w:val="6"/>
              <w:spacing w:before="13"/>
              <w:ind w:left="46" w:right="65" w:hanging="4"/>
            </w:pPr>
            <w:r>
              <w:rPr>
                <w:spacing w:val="7"/>
              </w:rPr>
              <w:t>组织架构图及部门职</w:t>
            </w:r>
            <w:r>
              <w:t>责</w:t>
            </w:r>
          </w:p>
          <w:p w14:paraId="42224459">
            <w:pPr>
              <w:pStyle w:val="6"/>
              <w:ind w:left="42" w:right="55"/>
            </w:pPr>
            <w:r>
              <w:rPr>
                <w:spacing w:val="7"/>
              </w:rPr>
              <w:t>2025年度运维服务能</w:t>
            </w:r>
            <w:r>
              <w:rPr>
                <w:spacing w:val="6"/>
              </w:rPr>
              <w:t>力实施计划</w:t>
            </w:r>
          </w:p>
          <w:p w14:paraId="25F39A9F">
            <w:pPr>
              <w:pStyle w:val="6"/>
              <w:ind w:left="39" w:right="65"/>
            </w:pPr>
            <w:r>
              <w:rPr>
                <w:spacing w:val="8"/>
              </w:rPr>
              <w:t>服务台工作管理规范</w:t>
            </w:r>
            <w:r>
              <w:rPr>
                <w:spacing w:val="7"/>
              </w:rPr>
              <w:t>及操作指南</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6"/>
              <w:spacing w:before="62" w:line="229" w:lineRule="auto"/>
              <w:ind w:left="51"/>
            </w:pPr>
            <w:r>
              <w:rPr>
                <w:rFonts w:hint="eastAsia"/>
                <w:spacing w:val="7"/>
              </w:rPr>
              <w:t>孙人杰</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34D6A67C">
            <w:pPr>
              <w:pStyle w:val="6"/>
              <w:spacing w:before="11" w:line="241" w:lineRule="auto"/>
              <w:ind w:left="44" w:right="65" w:firstLine="98"/>
            </w:pPr>
            <w:r>
              <w:rPr>
                <w:spacing w:val="7"/>
              </w:rPr>
              <w:t>2025年</w:t>
            </w:r>
            <w:r>
              <w:rPr>
                <w:rFonts w:hint="eastAsia"/>
                <w:spacing w:val="7"/>
                <w:lang w:val="en-US" w:eastAsia="zh-CN"/>
              </w:rPr>
              <w:t>季度</w:t>
            </w:r>
            <w:r>
              <w:rPr>
                <w:spacing w:val="7"/>
              </w:rPr>
              <w:t>人力资源管理工作总结报</w:t>
            </w:r>
            <w:r>
              <w:t>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6"/>
              <w:spacing w:before="61" w:line="229" w:lineRule="auto"/>
              <w:ind w:left="51"/>
            </w:pPr>
            <w:r>
              <w:rPr>
                <w:rFonts w:hint="eastAsia"/>
                <w:spacing w:val="7"/>
              </w:rPr>
              <w:t>孙人杰</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089B7962">
            <w:pPr>
              <w:pStyle w:val="6"/>
              <w:spacing w:before="182" w:line="228" w:lineRule="auto"/>
              <w:ind w:left="40"/>
            </w:pPr>
            <w:r>
              <w:rPr>
                <w:spacing w:val="7"/>
              </w:rPr>
              <w:t>培训管理制度</w:t>
            </w:r>
          </w:p>
          <w:p w14:paraId="2C881361">
            <w:pPr>
              <w:pStyle w:val="6"/>
              <w:spacing w:before="12" w:line="239" w:lineRule="auto"/>
              <w:ind w:left="44" w:right="55" w:hanging="2"/>
            </w:pPr>
            <w:r>
              <w:rPr>
                <w:spacing w:val="7"/>
              </w:rPr>
              <w:t>2025年运维服务人员</w:t>
            </w:r>
            <w:r>
              <w:rPr>
                <w:spacing w:val="6"/>
              </w:rPr>
              <w:t>管理计划</w:t>
            </w:r>
          </w:p>
          <w:p w14:paraId="61D0A4CC">
            <w:pPr>
              <w:pStyle w:val="6"/>
              <w:ind w:left="44" w:right="65" w:firstLine="98"/>
              <w:jc w:val="both"/>
            </w:pPr>
            <w:r>
              <w:rPr>
                <w:spacing w:val="7"/>
              </w:rPr>
              <w:t>2025年</w:t>
            </w:r>
            <w:r>
              <w:rPr>
                <w:rFonts w:hint="eastAsia"/>
                <w:spacing w:val="7"/>
                <w:lang w:val="en-US" w:eastAsia="zh-CN"/>
              </w:rPr>
              <w:t>季度</w:t>
            </w:r>
            <w:r>
              <w:rPr>
                <w:spacing w:val="7"/>
              </w:rPr>
              <w:t>人力资源管理工作总结报</w:t>
            </w:r>
            <w:r>
              <w:t>告</w:t>
            </w:r>
          </w:p>
          <w:p w14:paraId="0195685B">
            <w:pPr>
              <w:pStyle w:val="6"/>
              <w:spacing w:before="11" w:line="227" w:lineRule="auto"/>
              <w:ind w:left="40"/>
            </w:pPr>
            <w:r>
              <w:rPr>
                <w:spacing w:val="7"/>
              </w:rPr>
              <w:t>培训效果评价记录</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6"/>
              <w:spacing w:before="62" w:line="229" w:lineRule="auto"/>
              <w:ind w:left="51"/>
            </w:pPr>
            <w:r>
              <w:rPr>
                <w:rFonts w:hint="eastAsia"/>
                <w:spacing w:val="7"/>
              </w:rPr>
              <w:t>孙人杰</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A681D23">
            <w:pPr>
              <w:pStyle w:val="6"/>
              <w:spacing w:before="62"/>
              <w:ind w:left="39" w:right="65" w:firstLine="8"/>
            </w:pPr>
            <w:r>
              <w:rPr>
                <w:spacing w:val="7"/>
              </w:rPr>
              <w:t>员工绩效考核管理制</w:t>
            </w:r>
            <w:r>
              <w:rPr>
                <w:spacing w:val="2"/>
              </w:rPr>
              <w:t>度</w:t>
            </w:r>
          </w:p>
          <w:p w14:paraId="419A481F">
            <w:pPr>
              <w:pStyle w:val="6"/>
              <w:spacing w:line="228" w:lineRule="auto"/>
            </w:pP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6"/>
              <w:spacing w:before="62" w:line="229" w:lineRule="auto"/>
              <w:ind w:left="51"/>
            </w:pPr>
            <w:r>
              <w:rPr>
                <w:rFonts w:hint="eastAsia"/>
                <w:spacing w:val="7"/>
              </w:rPr>
              <w:t>孙人杰</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spacing w:val="8"/>
              </w:rPr>
              <w:t>运维人员技能级别规</w:t>
            </w:r>
            <w:r>
              <w:t>范</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6"/>
              <w:spacing w:before="62" w:line="229" w:lineRule="auto"/>
              <w:ind w:left="51"/>
            </w:pPr>
            <w:r>
              <w:rPr>
                <w:rFonts w:hint="eastAsia"/>
                <w:spacing w:val="7"/>
              </w:rPr>
              <w:t>孙人杰</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7CF4DE0E">
            <w:pPr>
              <w:pStyle w:val="6"/>
              <w:spacing w:before="62"/>
              <w:ind w:left="39" w:right="65" w:firstLine="1"/>
            </w:pPr>
            <w:r>
              <w:rPr>
                <w:spacing w:val="7"/>
              </w:rPr>
              <w:t>过程框架设计管理过</w:t>
            </w:r>
            <w:r>
              <w:rPr>
                <w:spacing w:val="2"/>
              </w:rPr>
              <w:t>程</w:t>
            </w:r>
          </w:p>
          <w:p w14:paraId="71F069CE">
            <w:pPr>
              <w:pStyle w:val="6"/>
              <w:spacing w:line="239" w:lineRule="auto"/>
              <w:ind w:left="41" w:right="65" w:hanging="2"/>
            </w:pPr>
            <w:r>
              <w:rPr>
                <w:spacing w:val="8"/>
              </w:rPr>
              <w:t>服务过程实施记录表</w:t>
            </w:r>
            <w:r>
              <w:rPr>
                <w:spacing w:val="6"/>
              </w:rPr>
              <w:t>2025年1-6月运维服</w:t>
            </w:r>
          </w:p>
          <w:p w14:paraId="3D89F0E5">
            <w:pPr>
              <w:pStyle w:val="6"/>
              <w:spacing w:line="242" w:lineRule="auto"/>
              <w:ind w:left="39" w:right="156" w:firstLine="2"/>
            </w:pPr>
            <w:r>
              <w:rPr>
                <w:spacing w:val="10"/>
              </w:rPr>
              <w:t>务</w:t>
            </w:r>
            <w:r>
              <w:t>KPI</w:t>
            </w:r>
            <w:r>
              <w:rPr>
                <w:spacing w:val="10"/>
              </w:rPr>
              <w:t>指标体系跟踪</w:t>
            </w:r>
            <w:r>
              <w:rPr>
                <w:spacing w:val="2"/>
              </w:rPr>
              <w:t>表</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pPr>
            <w:r>
              <w:rPr>
                <w:rFonts w:hint="eastAsia"/>
                <w:spacing w:val="6"/>
              </w:rPr>
              <w:t>李琳</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78A0B5C3">
            <w:pPr>
              <w:shd w:val="clear"/>
              <w:spacing w:line="257" w:lineRule="auto"/>
              <w:rPr>
                <w:rFonts w:ascii="Arial"/>
                <w:sz w:val="21"/>
              </w:rPr>
            </w:pPr>
          </w:p>
          <w:p w14:paraId="4A8BFC31">
            <w:pPr>
              <w:pStyle w:val="6"/>
              <w:shd w:val="clear"/>
              <w:spacing w:before="62"/>
              <w:ind w:left="39" w:right="264"/>
            </w:pPr>
            <w:r>
              <w:rPr>
                <w:spacing w:val="7"/>
              </w:rPr>
              <w:t>服务级别管理过程运维服务目录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spacing w:val="6"/>
              </w:rPr>
              <w:t>2025年1-6月运维服</w:t>
            </w:r>
            <w:r>
              <w:rPr>
                <w:spacing w:val="11"/>
              </w:rPr>
              <w:t>务</w:t>
            </w:r>
            <w:r>
              <w:t>KPI</w:t>
            </w:r>
            <w:r>
              <w:rPr>
                <w:spacing w:val="11"/>
              </w:rPr>
              <w:t>指标体系跟踪</w:t>
            </w:r>
            <w:r>
              <w:rPr>
                <w:spacing w:val="2"/>
              </w:rPr>
              <w:t>表</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rPr>
              <w:t>李琳</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pPr>
            <w:r>
              <w:rPr>
                <w:spacing w:val="7"/>
              </w:rPr>
              <w:t>服务报告管理过程</w:t>
            </w:r>
          </w:p>
          <w:p w14:paraId="13BC718A">
            <w:pPr>
              <w:pStyle w:val="6"/>
              <w:spacing w:before="12"/>
              <w:ind w:left="39" w:right="65" w:firstLine="6"/>
            </w:pPr>
            <w:r>
              <w:rPr>
                <w:spacing w:val="7"/>
              </w:rPr>
              <w:t>《</w:t>
            </w:r>
            <w:r>
              <w:rPr>
                <w:rFonts w:hint="eastAsia"/>
                <w:spacing w:val="7"/>
              </w:rPr>
              <w:t>市民服务中心智能化运维服务项目</w:t>
            </w:r>
            <w:r>
              <w:rPr>
                <w:spacing w:val="5"/>
              </w:rPr>
              <w:t>服务报告》</w:t>
            </w:r>
          </w:p>
          <w:p w14:paraId="5D193454">
            <w:pPr>
              <w:pStyle w:val="6"/>
              <w:spacing w:before="2"/>
              <w:ind w:left="39" w:right="65" w:firstLine="6"/>
            </w:pPr>
            <w:r>
              <w:rPr>
                <w:spacing w:val="7"/>
              </w:rPr>
              <w:t>《</w:t>
            </w:r>
            <w:r>
              <w:rPr>
                <w:rFonts w:hint="eastAsia"/>
                <w:spacing w:val="7"/>
              </w:rPr>
              <w:t>市民服务中心智能化运维服务项目</w:t>
            </w:r>
            <w:r>
              <w:rPr>
                <w:spacing w:val="8"/>
              </w:rPr>
              <w:t>运维巡检报</w:t>
            </w:r>
            <w:r>
              <w:rPr>
                <w:spacing w:val="1"/>
              </w:rPr>
              <w:t>告》</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rPr>
              <w:t>李琳</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0A00CBF6">
            <w:pPr>
              <w:spacing w:line="248" w:lineRule="auto"/>
              <w:rPr>
                <w:rFonts w:ascii="Arial"/>
                <w:sz w:val="21"/>
              </w:rPr>
            </w:pPr>
          </w:p>
          <w:p w14:paraId="591CD021">
            <w:pPr>
              <w:pStyle w:val="6"/>
              <w:spacing w:before="62" w:line="228" w:lineRule="auto"/>
              <w:ind w:left="39"/>
            </w:pPr>
            <w:r>
              <w:rPr>
                <w:spacing w:val="7"/>
              </w:rPr>
              <w:t>事件管理过程</w:t>
            </w:r>
          </w:p>
          <w:p w14:paraId="783491C6">
            <w:pPr>
              <w:pStyle w:val="6"/>
              <w:spacing w:before="2"/>
              <w:ind w:left="39" w:right="55" w:firstLine="3"/>
            </w:pPr>
            <w:r>
              <w:rPr>
                <w:rFonts w:hint="eastAsia"/>
                <w:spacing w:val="7"/>
              </w:rPr>
              <w:t>市民服务中心智能化运维服务项目</w:t>
            </w:r>
            <w:r>
              <w:rPr>
                <w:spacing w:val="7"/>
              </w:rPr>
              <w:t>运维2025年度第一季</w:t>
            </w:r>
            <w:r>
              <w:rPr>
                <w:spacing w:val="8"/>
              </w:rPr>
              <w:t>度运维服务能力工作</w:t>
            </w:r>
            <w:r>
              <w:rPr>
                <w:spacing w:val="5"/>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rPr>
              <w:t>李琳</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13DD287B">
            <w:pPr>
              <w:pStyle w:val="6"/>
              <w:spacing w:before="61" w:line="228" w:lineRule="auto"/>
              <w:ind w:left="62"/>
            </w:pPr>
            <w:r>
              <w:rPr>
                <w:spacing w:val="4"/>
              </w:rPr>
              <w:t>问题管理过程</w:t>
            </w:r>
          </w:p>
          <w:p w14:paraId="605B1CEA">
            <w:pPr>
              <w:pStyle w:val="6"/>
              <w:spacing w:before="12"/>
              <w:ind w:left="42" w:right="65"/>
            </w:pP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rPr>
              <w:t>李琳</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0FD3A678">
            <w:pPr>
              <w:pStyle w:val="6"/>
              <w:spacing w:before="62" w:line="228" w:lineRule="auto"/>
              <w:ind w:left="39"/>
            </w:pPr>
            <w:r>
              <w:rPr>
                <w:spacing w:val="7"/>
              </w:rPr>
              <w:t>变更管理过程</w:t>
            </w:r>
          </w:p>
          <w:p w14:paraId="28B8C8E7">
            <w:pPr>
              <w:pStyle w:val="6"/>
              <w:spacing w:before="12"/>
              <w:ind w:left="42" w:right="65"/>
            </w:pPr>
            <w:r>
              <w:rPr>
                <w:spacing w:val="7"/>
              </w:rPr>
              <w:t>运维服务管理平台的变更记录</w:t>
            </w:r>
          </w:p>
          <w:p w14:paraId="303C570E">
            <w:pPr>
              <w:pStyle w:val="6"/>
              <w:spacing w:line="228" w:lineRule="auto"/>
              <w:ind w:left="39"/>
            </w:pPr>
            <w:r>
              <w:rPr>
                <w:spacing w:val="7"/>
              </w:rPr>
              <w:t>变更申请单</w:t>
            </w:r>
          </w:p>
          <w:p w14:paraId="19F8220E">
            <w:pPr>
              <w:pStyle w:val="6"/>
              <w:spacing w:before="12" w:line="227" w:lineRule="auto"/>
              <w:ind w:left="39"/>
            </w:pPr>
            <w:r>
              <w:rPr>
                <w:spacing w:val="7"/>
              </w:rPr>
              <w:t>变更报告</w:t>
            </w:r>
          </w:p>
          <w:p w14:paraId="50C67678">
            <w:pPr>
              <w:pStyle w:val="6"/>
              <w:spacing w:before="13" w:line="227" w:lineRule="auto"/>
              <w:ind w:left="40"/>
            </w:pPr>
            <w:r>
              <w:rPr>
                <w:spacing w:val="7"/>
              </w:rPr>
              <w:t>测试报告</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rPr>
              <w:t>李琳</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pPr>
            <w:r>
              <w:rPr>
                <w:spacing w:val="7"/>
              </w:rPr>
              <w:t>发布管理过程</w:t>
            </w:r>
          </w:p>
          <w:p w14:paraId="0DB42FB5">
            <w:pPr>
              <w:pStyle w:val="6"/>
              <w:spacing w:before="13"/>
              <w:ind w:left="42" w:right="65"/>
            </w:pPr>
            <w:r>
              <w:rPr>
                <w:spacing w:val="7"/>
              </w:rPr>
              <w:t>运维服务管理平台的发布记录</w:t>
            </w:r>
          </w:p>
          <w:p w14:paraId="0374B1C5">
            <w:pPr>
              <w:pStyle w:val="6"/>
              <w:spacing w:line="227" w:lineRule="auto"/>
              <w:ind w:left="43"/>
            </w:pPr>
            <w:r>
              <w:rPr>
                <w:spacing w:val="6"/>
              </w:rPr>
              <w:t>发布申请表</w:t>
            </w:r>
          </w:p>
          <w:p w14:paraId="0EA48883">
            <w:pPr>
              <w:pStyle w:val="6"/>
              <w:spacing w:before="13" w:line="227" w:lineRule="auto"/>
              <w:ind w:left="43"/>
            </w:pPr>
            <w:r>
              <w:rPr>
                <w:spacing w:val="6"/>
              </w:rPr>
              <w:t>发布计划</w:t>
            </w:r>
          </w:p>
          <w:p w14:paraId="72857BDE">
            <w:pPr>
              <w:pStyle w:val="6"/>
              <w:spacing w:before="12" w:line="227" w:lineRule="auto"/>
              <w:ind w:left="40"/>
            </w:pPr>
            <w:r>
              <w:rPr>
                <w:spacing w:val="7"/>
              </w:rPr>
              <w:t>方案发布报告</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rPr>
              <w:t>李琳</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F06F64A">
            <w:pPr>
              <w:pStyle w:val="6"/>
              <w:spacing w:before="12"/>
              <w:ind w:left="42" w:right="65"/>
            </w:pPr>
            <w:r>
              <w:rPr>
                <w:spacing w:val="7"/>
              </w:rPr>
              <w:t>运维服务管理平台的配置记录</w:t>
            </w:r>
          </w:p>
          <w:p w14:paraId="53F6C14F">
            <w:pPr>
              <w:pStyle w:val="6"/>
              <w:ind w:left="38" w:right="65" w:firstLine="1"/>
            </w:pPr>
            <w:r>
              <w:rPr>
                <w:spacing w:val="8"/>
              </w:rPr>
              <w:t>配置管理数据库审计</w:t>
            </w:r>
            <w:r>
              <w:rPr>
                <w:spacing w:val="6"/>
              </w:rPr>
              <w:t>报告</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rPr>
              <w:t>李琳</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7E55B4B7">
            <w:pPr>
              <w:pStyle w:val="6"/>
              <w:spacing w:before="172"/>
              <w:ind w:left="43" w:right="65" w:hanging="4"/>
            </w:pPr>
            <w:r>
              <w:rPr>
                <w:spacing w:val="8"/>
              </w:rPr>
              <w:t>服务可用性与连续性</w:t>
            </w:r>
            <w:r>
              <w:rPr>
                <w:spacing w:val="6"/>
              </w:rPr>
              <w:t>管理流程</w:t>
            </w:r>
          </w:p>
          <w:p w14:paraId="5FB04319">
            <w:pPr>
              <w:pStyle w:val="6"/>
              <w:ind w:left="40" w:right="65"/>
            </w:pPr>
            <w:r>
              <w:rPr>
                <w:spacing w:val="7"/>
              </w:rPr>
              <w:t>可用性和连续性实施</w:t>
            </w:r>
            <w:r>
              <w:rPr>
                <w:spacing w:val="4"/>
              </w:rPr>
              <w:t>方案</w:t>
            </w:r>
          </w:p>
          <w:p w14:paraId="71A0D596">
            <w:pPr>
              <w:pStyle w:val="6"/>
              <w:ind w:left="39" w:right="65"/>
            </w:pPr>
            <w:r>
              <w:rPr>
                <w:spacing w:val="8"/>
              </w:rPr>
              <w:t>服务可用性和连续性</w:t>
            </w:r>
            <w:r>
              <w:rPr>
                <w:spacing w:val="7"/>
              </w:rPr>
              <w:t>培训记录</w:t>
            </w:r>
          </w:p>
          <w:p w14:paraId="475AB4E7">
            <w:pPr>
              <w:pStyle w:val="6"/>
              <w:spacing w:line="242" w:lineRule="auto"/>
              <w:ind w:left="39" w:right="65"/>
            </w:pPr>
            <w:r>
              <w:rPr>
                <w:spacing w:val="8"/>
              </w:rPr>
              <w:t>服务可用性和连续性</w:t>
            </w:r>
            <w:r>
              <w:rPr>
                <w:spacing w:val="7"/>
              </w:rPr>
              <w:t>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rPr>
              <w:t>李琳</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64EF7B9B">
            <w:pPr>
              <w:spacing w:line="294" w:lineRule="auto"/>
              <w:rPr>
                <w:rFonts w:ascii="Arial"/>
                <w:sz w:val="21"/>
              </w:rPr>
            </w:pPr>
          </w:p>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099919C">
            <w:pPr>
              <w:pStyle w:val="6"/>
              <w:shd w:val="clear"/>
              <w:ind w:left="41" w:right="65" w:hanging="2"/>
            </w:pPr>
            <w:r>
              <w:rPr>
                <w:spacing w:val="8"/>
              </w:rPr>
              <w:t>信息资源系统容量扩</w:t>
            </w:r>
            <w:r>
              <w:rPr>
                <w:spacing w:val="5"/>
              </w:rPr>
              <w:t>容报告</w:t>
            </w:r>
          </w:p>
          <w:p w14:paraId="0AC1D9B1">
            <w:pPr>
              <w:pStyle w:val="6"/>
              <w:shd w:val="clear"/>
              <w:spacing w:line="228" w:lineRule="auto"/>
              <w:ind w:left="42"/>
            </w:pPr>
            <w:r>
              <w:rPr>
                <w:spacing w:val="7"/>
              </w:rPr>
              <w:t>容量优化方案</w:t>
            </w: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rPr>
              <w:t>李琳</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pPr>
            <w:r>
              <w:rPr>
                <w:spacing w:val="7"/>
              </w:rPr>
              <w:t>信息安全管理过程</w:t>
            </w:r>
          </w:p>
          <w:p w14:paraId="3A8904D0">
            <w:pPr>
              <w:pStyle w:val="6"/>
              <w:shd w:val="clear"/>
              <w:spacing w:before="12"/>
              <w:ind w:left="43" w:right="65" w:hanging="4"/>
            </w:pPr>
            <w:r>
              <w:rPr>
                <w:spacing w:val="8"/>
              </w:rPr>
              <w:t>运维服务风险评估报</w:t>
            </w:r>
            <w:r>
              <w:t>告</w:t>
            </w:r>
          </w:p>
          <w:p w14:paraId="1F57E90E">
            <w:pPr>
              <w:pStyle w:val="6"/>
              <w:shd w:val="clear"/>
              <w:ind w:left="39" w:right="65"/>
            </w:pPr>
            <w:r>
              <w:rPr>
                <w:spacing w:val="8"/>
              </w:rPr>
              <w:t>运维服务项目信息安</w:t>
            </w:r>
            <w:r>
              <w:rPr>
                <w:spacing w:val="6"/>
              </w:rPr>
              <w:t>全报告</w:t>
            </w:r>
          </w:p>
          <w:p w14:paraId="088C78AB">
            <w:pPr>
              <w:pStyle w:val="6"/>
              <w:shd w:val="clear"/>
              <w:spacing w:line="239" w:lineRule="auto"/>
              <w:ind w:left="39" w:right="65"/>
            </w:pPr>
            <w:r>
              <w:rPr>
                <w:spacing w:val="8"/>
              </w:rPr>
              <w:t>运维服务项目信息安</w:t>
            </w:r>
            <w:r>
              <w:rPr>
                <w:spacing w:val="6"/>
              </w:rPr>
              <w:t>全措施</w:t>
            </w:r>
          </w:p>
          <w:p w14:paraId="5C7C3F15">
            <w:pPr>
              <w:pStyle w:val="6"/>
              <w:shd w:val="clear"/>
              <w:spacing w:line="228" w:lineRule="auto"/>
              <w:ind w:left="39"/>
            </w:pPr>
            <w:r>
              <w:rPr>
                <w:spacing w:val="7"/>
              </w:rPr>
              <w:t>信息安全计划</w:t>
            </w:r>
          </w:p>
          <w:p w14:paraId="0C76DDAD">
            <w:pPr>
              <w:pStyle w:val="6"/>
              <w:shd w:val="clear"/>
              <w:spacing w:before="12" w:line="213" w:lineRule="auto"/>
              <w:ind w:left="39"/>
            </w:pPr>
            <w:r>
              <w:rPr>
                <w:spacing w:val="7"/>
              </w:rPr>
              <w:t>信息安全检查表</w:t>
            </w: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rPr>
              <w:t>李琳</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D743B5"/>
    <w:rsid w:val="016F0A91"/>
    <w:rsid w:val="02105DD0"/>
    <w:rsid w:val="02BF3353"/>
    <w:rsid w:val="03094A24"/>
    <w:rsid w:val="030F6088"/>
    <w:rsid w:val="03604B36"/>
    <w:rsid w:val="04893C18"/>
    <w:rsid w:val="0676641E"/>
    <w:rsid w:val="0721408E"/>
    <w:rsid w:val="07397B77"/>
    <w:rsid w:val="07D96C64"/>
    <w:rsid w:val="07DE071F"/>
    <w:rsid w:val="08FB151E"/>
    <w:rsid w:val="09271C52"/>
    <w:rsid w:val="09376339"/>
    <w:rsid w:val="095D38E2"/>
    <w:rsid w:val="09867816"/>
    <w:rsid w:val="0A021E77"/>
    <w:rsid w:val="0ADE5BA0"/>
    <w:rsid w:val="0BC32F2F"/>
    <w:rsid w:val="0C6A07D3"/>
    <w:rsid w:val="0D887163"/>
    <w:rsid w:val="0E511C4A"/>
    <w:rsid w:val="0EE7435D"/>
    <w:rsid w:val="0F4672D5"/>
    <w:rsid w:val="0FA2051D"/>
    <w:rsid w:val="109E31BB"/>
    <w:rsid w:val="10DE674D"/>
    <w:rsid w:val="11507F47"/>
    <w:rsid w:val="119C142F"/>
    <w:rsid w:val="11D62156"/>
    <w:rsid w:val="12D2305F"/>
    <w:rsid w:val="132A0CBC"/>
    <w:rsid w:val="13CD7229"/>
    <w:rsid w:val="143E42EA"/>
    <w:rsid w:val="15243815"/>
    <w:rsid w:val="15632263"/>
    <w:rsid w:val="15EE5FD1"/>
    <w:rsid w:val="16D6322F"/>
    <w:rsid w:val="1921046B"/>
    <w:rsid w:val="19EF056A"/>
    <w:rsid w:val="1A2F6A26"/>
    <w:rsid w:val="1AA66E7A"/>
    <w:rsid w:val="1BD31307"/>
    <w:rsid w:val="1C24719B"/>
    <w:rsid w:val="1C8D2A5D"/>
    <w:rsid w:val="1CDA2465"/>
    <w:rsid w:val="1DED3012"/>
    <w:rsid w:val="1E122A78"/>
    <w:rsid w:val="1E573E20"/>
    <w:rsid w:val="1E7828DC"/>
    <w:rsid w:val="1EF74148"/>
    <w:rsid w:val="1F5570C1"/>
    <w:rsid w:val="1F621BE8"/>
    <w:rsid w:val="1F8113FD"/>
    <w:rsid w:val="1FA85442"/>
    <w:rsid w:val="222869F4"/>
    <w:rsid w:val="227D579B"/>
    <w:rsid w:val="23DB7C78"/>
    <w:rsid w:val="250D05B7"/>
    <w:rsid w:val="25D43A4F"/>
    <w:rsid w:val="264F085A"/>
    <w:rsid w:val="275814FC"/>
    <w:rsid w:val="2B514BE0"/>
    <w:rsid w:val="2BDC315C"/>
    <w:rsid w:val="2C5214E3"/>
    <w:rsid w:val="2D330463"/>
    <w:rsid w:val="2F1E74CF"/>
    <w:rsid w:val="2FBE480E"/>
    <w:rsid w:val="2FC82F97"/>
    <w:rsid w:val="304E3D44"/>
    <w:rsid w:val="305106B6"/>
    <w:rsid w:val="3328091C"/>
    <w:rsid w:val="34852299"/>
    <w:rsid w:val="34AF0316"/>
    <w:rsid w:val="35747E49"/>
    <w:rsid w:val="35FD6C00"/>
    <w:rsid w:val="35FE6F21"/>
    <w:rsid w:val="376848E9"/>
    <w:rsid w:val="377D1E2F"/>
    <w:rsid w:val="37EA43F2"/>
    <w:rsid w:val="37EA66E1"/>
    <w:rsid w:val="38012C35"/>
    <w:rsid w:val="3C067321"/>
    <w:rsid w:val="3C6F5846"/>
    <w:rsid w:val="3C9012A6"/>
    <w:rsid w:val="3CE33B06"/>
    <w:rsid w:val="3E8E24F6"/>
    <w:rsid w:val="3ED731F7"/>
    <w:rsid w:val="3EEC0340"/>
    <w:rsid w:val="3F511B9F"/>
    <w:rsid w:val="3F724CCD"/>
    <w:rsid w:val="3F9A4950"/>
    <w:rsid w:val="40B76E3C"/>
    <w:rsid w:val="40C652D1"/>
    <w:rsid w:val="42D742FA"/>
    <w:rsid w:val="439300DC"/>
    <w:rsid w:val="440E76BA"/>
    <w:rsid w:val="445A645C"/>
    <w:rsid w:val="44780FD8"/>
    <w:rsid w:val="4499660A"/>
    <w:rsid w:val="45C45BA1"/>
    <w:rsid w:val="461B197A"/>
    <w:rsid w:val="46460941"/>
    <w:rsid w:val="47E726FC"/>
    <w:rsid w:val="48113E7C"/>
    <w:rsid w:val="486F3408"/>
    <w:rsid w:val="48CC2994"/>
    <w:rsid w:val="496025C5"/>
    <w:rsid w:val="49F7258C"/>
    <w:rsid w:val="4A3134F6"/>
    <w:rsid w:val="4BB4664D"/>
    <w:rsid w:val="4BC347F9"/>
    <w:rsid w:val="4BDF193C"/>
    <w:rsid w:val="4C2973D6"/>
    <w:rsid w:val="4C392DFB"/>
    <w:rsid w:val="4D493511"/>
    <w:rsid w:val="4F5543EF"/>
    <w:rsid w:val="4F7F4E05"/>
    <w:rsid w:val="4FCD544B"/>
    <w:rsid w:val="51334DB1"/>
    <w:rsid w:val="515E0938"/>
    <w:rsid w:val="53146370"/>
    <w:rsid w:val="533F6118"/>
    <w:rsid w:val="54CA5910"/>
    <w:rsid w:val="56102E1E"/>
    <w:rsid w:val="567F06D8"/>
    <w:rsid w:val="56FE35BF"/>
    <w:rsid w:val="59F4536F"/>
    <w:rsid w:val="5D082942"/>
    <w:rsid w:val="5D6F0D72"/>
    <w:rsid w:val="5D6F2B20"/>
    <w:rsid w:val="5F4678B1"/>
    <w:rsid w:val="5FA40A7B"/>
    <w:rsid w:val="602F17E7"/>
    <w:rsid w:val="60BB2D0B"/>
    <w:rsid w:val="610E7483"/>
    <w:rsid w:val="611D0AE5"/>
    <w:rsid w:val="61265BEC"/>
    <w:rsid w:val="62C20029"/>
    <w:rsid w:val="62CA5188"/>
    <w:rsid w:val="638B13EF"/>
    <w:rsid w:val="63E36016"/>
    <w:rsid w:val="651D5558"/>
    <w:rsid w:val="65913850"/>
    <w:rsid w:val="6764082F"/>
    <w:rsid w:val="67DF6AF4"/>
    <w:rsid w:val="68262975"/>
    <w:rsid w:val="685E210F"/>
    <w:rsid w:val="68B433AE"/>
    <w:rsid w:val="6A4B66C3"/>
    <w:rsid w:val="6CA16A6E"/>
    <w:rsid w:val="6E671E2C"/>
    <w:rsid w:val="6FCC5BB0"/>
    <w:rsid w:val="70052E70"/>
    <w:rsid w:val="711C6E95"/>
    <w:rsid w:val="73911760"/>
    <w:rsid w:val="73A6392A"/>
    <w:rsid w:val="73D97F55"/>
    <w:rsid w:val="7419338E"/>
    <w:rsid w:val="744F0171"/>
    <w:rsid w:val="74723149"/>
    <w:rsid w:val="74BD640F"/>
    <w:rsid w:val="75614FED"/>
    <w:rsid w:val="75FC3666"/>
    <w:rsid w:val="77476464"/>
    <w:rsid w:val="77640DC4"/>
    <w:rsid w:val="77C1033F"/>
    <w:rsid w:val="78695554"/>
    <w:rsid w:val="79206F6D"/>
    <w:rsid w:val="7ADE4A38"/>
    <w:rsid w:val="7B064EC4"/>
    <w:rsid w:val="7C7B27EB"/>
    <w:rsid w:val="7CA22801"/>
    <w:rsid w:val="7CFB253F"/>
    <w:rsid w:val="7DAD6EFE"/>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10017</Words>
  <Characters>10411</Characters>
  <TotalTime>8</TotalTime>
  <ScaleCrop>false</ScaleCrop>
  <LinksUpToDate>false</LinksUpToDate>
  <CharactersWithSpaces>10526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2025-08-24T08:47:29Z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