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5514B5">
      <w:pPr>
        <w:pStyle w:val="11"/>
        <w:spacing w:line="259" w:lineRule="auto"/>
      </w:pPr>
    </w:p>
    <w:p w14:paraId="48E7679F">
      <w:pPr>
        <w:pStyle w:val="11"/>
        <w:spacing w:line="260" w:lineRule="auto"/>
      </w:pPr>
    </w:p>
    <w:p w14:paraId="7B43A9D3">
      <w:pPr>
        <w:pStyle w:val="11"/>
        <w:spacing w:line="260" w:lineRule="auto"/>
      </w:pPr>
    </w:p>
    <w:p w14:paraId="76316443">
      <w:pPr>
        <w:pStyle w:val="11"/>
        <w:spacing w:line="260" w:lineRule="auto"/>
      </w:pPr>
    </w:p>
    <w:p w14:paraId="7F2D7D7C">
      <w:pPr>
        <w:pStyle w:val="11"/>
        <w:spacing w:line="260" w:lineRule="auto"/>
      </w:pPr>
    </w:p>
    <w:p w14:paraId="42C6C0C0">
      <w:pPr>
        <w:pStyle w:val="11"/>
        <w:spacing w:line="260" w:lineRule="auto"/>
      </w:pPr>
    </w:p>
    <w:p w14:paraId="55FC2BB1">
      <w:pPr>
        <w:pStyle w:val="11"/>
        <w:spacing w:line="260" w:lineRule="auto"/>
      </w:pPr>
    </w:p>
    <w:p w14:paraId="091929BF">
      <w:pPr>
        <w:pStyle w:val="11"/>
        <w:spacing w:line="260" w:lineRule="auto"/>
      </w:pPr>
    </w:p>
    <w:p w14:paraId="1C54C47D">
      <w:pPr>
        <w:pStyle w:val="11"/>
        <w:spacing w:line="260" w:lineRule="auto"/>
      </w:pPr>
    </w:p>
    <w:p w14:paraId="43C3E0B3">
      <w:pPr>
        <w:pStyle w:val="11"/>
        <w:spacing w:line="260" w:lineRule="auto"/>
      </w:pPr>
    </w:p>
    <w:p w14:paraId="3235DFA0">
      <w:pPr>
        <w:spacing w:before="169" w:line="218" w:lineRule="auto"/>
        <w:ind w:left="2753"/>
        <w:outlineLvl w:val="0"/>
        <w:rPr>
          <w:rFonts w:ascii="宋体" w:hAnsi="宋体" w:eastAsia="宋体" w:cs="宋体"/>
          <w:sz w:val="52"/>
          <w:szCs w:val="52"/>
        </w:rPr>
      </w:pPr>
      <w:bookmarkStart w:id="0" w:name="_Toc19923"/>
      <w:r>
        <w:rPr>
          <w:rFonts w:ascii="宋体" w:hAnsi="宋体" w:eastAsia="宋体" w:cs="宋体"/>
          <w:b/>
          <w:bCs/>
          <w:spacing w:val="-11"/>
          <w:sz w:val="52"/>
          <w:szCs w:val="52"/>
        </w:rPr>
        <w:t>管理评审报告</w:t>
      </w:r>
      <w:bookmarkEnd w:id="0"/>
    </w:p>
    <w:p w14:paraId="29A170C3">
      <w:pPr>
        <w:pStyle w:val="11"/>
        <w:spacing w:line="251" w:lineRule="auto"/>
      </w:pPr>
    </w:p>
    <w:p w14:paraId="13231E21">
      <w:pPr>
        <w:pStyle w:val="11"/>
        <w:spacing w:line="251" w:lineRule="auto"/>
      </w:pPr>
    </w:p>
    <w:p w14:paraId="47056FCD">
      <w:pPr>
        <w:pStyle w:val="11"/>
        <w:spacing w:line="251" w:lineRule="auto"/>
      </w:pPr>
    </w:p>
    <w:p w14:paraId="638A8303">
      <w:pPr>
        <w:pStyle w:val="11"/>
        <w:spacing w:line="251" w:lineRule="auto"/>
      </w:pPr>
    </w:p>
    <w:p w14:paraId="2FF2A4C0">
      <w:pPr>
        <w:pStyle w:val="11"/>
        <w:spacing w:line="251" w:lineRule="auto"/>
      </w:pPr>
    </w:p>
    <w:p w14:paraId="054A6F7A">
      <w:pPr>
        <w:pStyle w:val="11"/>
        <w:spacing w:line="251" w:lineRule="auto"/>
      </w:pPr>
    </w:p>
    <w:p w14:paraId="730F23DB">
      <w:pPr>
        <w:pStyle w:val="11"/>
        <w:spacing w:line="251" w:lineRule="auto"/>
      </w:pPr>
    </w:p>
    <w:p w14:paraId="03CE5AC8">
      <w:pPr>
        <w:pStyle w:val="11"/>
        <w:spacing w:line="251" w:lineRule="auto"/>
      </w:pPr>
    </w:p>
    <w:p w14:paraId="05D80492">
      <w:pPr>
        <w:pStyle w:val="11"/>
        <w:spacing w:line="251" w:lineRule="auto"/>
      </w:pPr>
    </w:p>
    <w:p w14:paraId="0F21EFEE">
      <w:pPr>
        <w:pStyle w:val="11"/>
        <w:spacing w:line="252" w:lineRule="auto"/>
      </w:pPr>
    </w:p>
    <w:p w14:paraId="4567142F">
      <w:pPr>
        <w:pStyle w:val="11"/>
        <w:spacing w:line="252" w:lineRule="auto"/>
      </w:pPr>
    </w:p>
    <w:p w14:paraId="59DD4A90">
      <w:pPr>
        <w:pStyle w:val="11"/>
        <w:spacing w:line="252" w:lineRule="auto"/>
      </w:pPr>
    </w:p>
    <w:p w14:paraId="114FBF72">
      <w:pPr>
        <w:pStyle w:val="11"/>
        <w:spacing w:line="252" w:lineRule="auto"/>
      </w:pPr>
    </w:p>
    <w:p w14:paraId="30DB05B4">
      <w:pPr>
        <w:pStyle w:val="11"/>
        <w:spacing w:line="252" w:lineRule="auto"/>
      </w:pPr>
    </w:p>
    <w:p w14:paraId="3FAED256">
      <w:pPr>
        <w:pStyle w:val="11"/>
        <w:spacing w:line="252" w:lineRule="auto"/>
      </w:pPr>
    </w:p>
    <w:p w14:paraId="4D097C15">
      <w:pPr>
        <w:pStyle w:val="11"/>
        <w:spacing w:line="252" w:lineRule="auto"/>
      </w:pPr>
    </w:p>
    <w:p w14:paraId="7ADC20EE">
      <w:pPr>
        <w:spacing w:line="1293" w:lineRule="exact"/>
        <w:ind w:firstLine="2360"/>
      </w:pPr>
      <w:r>
        <w:rPr>
          <w:position w:val="-25"/>
        </w:rPr>
        <w:drawing>
          <wp:inline distT="0" distB="0" distL="0" distR="0">
            <wp:extent cx="2743200" cy="820420"/>
            <wp:effectExtent l="0" t="0" r="0" b="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82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24C0C">
      <w:pPr>
        <w:pStyle w:val="11"/>
        <w:spacing w:line="252" w:lineRule="auto"/>
      </w:pPr>
    </w:p>
    <w:p w14:paraId="0C5A1BA1">
      <w:pPr>
        <w:pStyle w:val="11"/>
        <w:spacing w:line="252" w:lineRule="auto"/>
      </w:pPr>
    </w:p>
    <w:p w14:paraId="4991C25A">
      <w:pPr>
        <w:pStyle w:val="11"/>
        <w:spacing w:line="252" w:lineRule="auto"/>
      </w:pPr>
    </w:p>
    <w:p w14:paraId="0F43B603">
      <w:pPr>
        <w:pStyle w:val="11"/>
        <w:spacing w:line="252" w:lineRule="auto"/>
      </w:pPr>
    </w:p>
    <w:p w14:paraId="0B2173F1">
      <w:pPr>
        <w:pStyle w:val="11"/>
        <w:spacing w:line="252" w:lineRule="auto"/>
      </w:pPr>
    </w:p>
    <w:p w14:paraId="49F1FB39">
      <w:pPr>
        <w:pStyle w:val="11"/>
        <w:spacing w:line="252" w:lineRule="auto"/>
      </w:pPr>
    </w:p>
    <w:p w14:paraId="547D50B8">
      <w:pPr>
        <w:pStyle w:val="11"/>
        <w:spacing w:line="252" w:lineRule="auto"/>
      </w:pPr>
    </w:p>
    <w:p w14:paraId="148FC5D7">
      <w:pPr>
        <w:pStyle w:val="11"/>
        <w:spacing w:line="252" w:lineRule="auto"/>
      </w:pPr>
    </w:p>
    <w:p w14:paraId="60E18CBA">
      <w:pPr>
        <w:pStyle w:val="11"/>
        <w:spacing w:line="252" w:lineRule="auto"/>
      </w:pPr>
    </w:p>
    <w:p w14:paraId="42196DFD">
      <w:pPr>
        <w:pStyle w:val="11"/>
        <w:spacing w:line="252" w:lineRule="auto"/>
      </w:pPr>
    </w:p>
    <w:p w14:paraId="2961A821">
      <w:pPr>
        <w:pStyle w:val="11"/>
        <w:spacing w:line="252" w:lineRule="auto"/>
      </w:pPr>
    </w:p>
    <w:p w14:paraId="3A1BC0B8">
      <w:pPr>
        <w:pStyle w:val="11"/>
        <w:spacing w:line="252" w:lineRule="auto"/>
      </w:pPr>
    </w:p>
    <w:p w14:paraId="0AEA5167">
      <w:pPr>
        <w:pStyle w:val="11"/>
        <w:spacing w:line="252" w:lineRule="auto"/>
      </w:pPr>
    </w:p>
    <w:p w14:paraId="4CC6C853">
      <w:pPr>
        <w:spacing w:before="117" w:line="219" w:lineRule="auto"/>
        <w:ind w:left="1775"/>
        <w:rPr>
          <w:rFonts w:ascii="宋体" w:hAnsi="宋体" w:eastAsia="宋体" w:cs="宋体"/>
          <w:sz w:val="36"/>
          <w:szCs w:val="36"/>
        </w:rPr>
      </w:pPr>
      <w:r>
        <w:rPr>
          <w:rFonts w:ascii="宋体" w:hAnsi="宋体" w:eastAsia="宋体" w:cs="宋体"/>
          <w:spacing w:val="-1"/>
          <w:sz w:val="36"/>
          <w:szCs w:val="36"/>
        </w:rPr>
        <w:t>青岛慧海联创信息技术有限公司</w:t>
      </w:r>
    </w:p>
    <w:p w14:paraId="5A343E3D">
      <w:pPr>
        <w:spacing w:line="219" w:lineRule="auto"/>
        <w:rPr>
          <w:rFonts w:ascii="宋体" w:hAnsi="宋体" w:eastAsia="宋体" w:cs="宋体"/>
          <w:sz w:val="36"/>
          <w:szCs w:val="36"/>
        </w:rPr>
        <w:sectPr>
          <w:headerReference r:id="rId5" w:type="default"/>
          <w:footerReference r:id="rId6" w:type="default"/>
          <w:pgSz w:w="11906" w:h="16839"/>
          <w:pgMar w:top="1105" w:right="1151" w:bottom="1360" w:left="1672" w:header="1090" w:footer="1344" w:gutter="0"/>
          <w:cols w:space="720" w:num="1"/>
        </w:sectPr>
      </w:pPr>
    </w:p>
    <w:p w14:paraId="1AAD4F17">
      <w:pPr>
        <w:pStyle w:val="11"/>
        <w:spacing w:line="277" w:lineRule="auto"/>
      </w:pPr>
    </w:p>
    <w:p w14:paraId="554EFBFC">
      <w:pPr>
        <w:pStyle w:val="11"/>
        <w:spacing w:line="277" w:lineRule="auto"/>
      </w:pPr>
    </w:p>
    <w:p w14:paraId="7A7947C9">
      <w:pPr>
        <w:pStyle w:val="11"/>
        <w:spacing w:line="278" w:lineRule="auto"/>
      </w:pPr>
    </w:p>
    <w:p w14:paraId="4C1DE5E9">
      <w:pPr>
        <w:pStyle w:val="11"/>
        <w:spacing w:line="278" w:lineRule="auto"/>
      </w:pPr>
    </w:p>
    <w:p w14:paraId="22CDB573">
      <w:pPr>
        <w:pStyle w:val="11"/>
        <w:spacing w:line="278" w:lineRule="auto"/>
      </w:pPr>
    </w:p>
    <w:p w14:paraId="3DFE6D57">
      <w:pPr>
        <w:spacing w:before="91" w:line="220" w:lineRule="auto"/>
        <w:ind w:left="3811"/>
        <w:outlineLvl w:val="0"/>
        <w:rPr>
          <w:rFonts w:ascii="宋体" w:hAnsi="宋体" w:eastAsia="宋体" w:cs="宋体"/>
          <w:sz w:val="28"/>
          <w:szCs w:val="28"/>
        </w:rPr>
      </w:pPr>
      <w:bookmarkStart w:id="1" w:name="_Toc30586"/>
      <w:r>
        <w:rPr>
          <w:rFonts w:ascii="宋体" w:hAnsi="宋体" w:eastAsia="宋体" w:cs="宋体"/>
          <w:spacing w:val="-3"/>
          <w:sz w:val="28"/>
          <w:szCs w:val="28"/>
        </w:rPr>
        <w:t>文档信息</w:t>
      </w:r>
      <w:bookmarkEnd w:id="1"/>
    </w:p>
    <w:p w14:paraId="1007B5DD">
      <w:pPr>
        <w:spacing w:line="131" w:lineRule="exact"/>
      </w:pPr>
    </w:p>
    <w:tbl>
      <w:tblPr>
        <w:tblStyle w:val="18"/>
        <w:tblW w:w="9150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64"/>
        <w:gridCol w:w="1697"/>
        <w:gridCol w:w="2342"/>
        <w:gridCol w:w="1983"/>
        <w:gridCol w:w="1564"/>
      </w:tblGrid>
      <w:tr w14:paraId="4B8B63D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1" w:hRule="atLeast"/>
        </w:trPr>
        <w:tc>
          <w:tcPr>
            <w:tcW w:w="1564" w:type="dxa"/>
            <w:vAlign w:val="top"/>
          </w:tcPr>
          <w:p w14:paraId="329BB97D">
            <w:pPr>
              <w:pStyle w:val="19"/>
              <w:spacing w:before="125" w:line="325" w:lineRule="auto"/>
              <w:ind w:left="117" w:right="251" w:hanging="3"/>
            </w:pPr>
            <w:r>
              <w:rPr>
                <w:spacing w:val="-3"/>
              </w:rPr>
              <w:t>文档名称编</w:t>
            </w:r>
            <w:r>
              <w:t>号</w:t>
            </w:r>
          </w:p>
        </w:tc>
        <w:tc>
          <w:tcPr>
            <w:tcW w:w="7586" w:type="dxa"/>
            <w:gridSpan w:val="4"/>
            <w:vAlign w:val="top"/>
          </w:tcPr>
          <w:p w14:paraId="45662A9C">
            <w:pPr>
              <w:spacing w:line="291" w:lineRule="auto"/>
              <w:rPr>
                <w:rFonts w:ascii="Arial"/>
                <w:sz w:val="21"/>
              </w:rPr>
            </w:pPr>
          </w:p>
          <w:p w14:paraId="253B1D16">
            <w:pPr>
              <w:pStyle w:val="19"/>
              <w:spacing w:before="78" w:line="218" w:lineRule="auto"/>
              <w:ind w:left="115"/>
            </w:pPr>
            <w:r>
              <w:rPr>
                <w:spacing w:val="-1"/>
              </w:rPr>
              <w:t>管理评审报告（HHLC-ITSS-GLPSBG）</w:t>
            </w:r>
          </w:p>
        </w:tc>
      </w:tr>
      <w:tr w14:paraId="375D744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6" w:hRule="atLeast"/>
        </w:trPr>
        <w:tc>
          <w:tcPr>
            <w:tcW w:w="1564" w:type="dxa"/>
            <w:vAlign w:val="top"/>
          </w:tcPr>
          <w:p w14:paraId="7C4E1570">
            <w:pPr>
              <w:pStyle w:val="19"/>
              <w:spacing w:before="182" w:line="220" w:lineRule="auto"/>
              <w:ind w:left="114"/>
            </w:pPr>
            <w:r>
              <w:rPr>
                <w:spacing w:val="-3"/>
              </w:rPr>
              <w:t>编制单位</w:t>
            </w:r>
          </w:p>
        </w:tc>
        <w:tc>
          <w:tcPr>
            <w:tcW w:w="7586" w:type="dxa"/>
            <w:gridSpan w:val="4"/>
            <w:vAlign w:val="top"/>
          </w:tcPr>
          <w:p w14:paraId="61D61006">
            <w:pPr>
              <w:pStyle w:val="19"/>
              <w:spacing w:before="182" w:line="219" w:lineRule="auto"/>
              <w:ind w:left="109"/>
            </w:pPr>
            <w:r>
              <w:rPr>
                <w:spacing w:val="-1"/>
              </w:rPr>
              <w:t>青岛慧海联创信息技术有限公司</w:t>
            </w:r>
          </w:p>
        </w:tc>
      </w:tr>
      <w:tr w14:paraId="70951C2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6" w:hRule="atLeast"/>
        </w:trPr>
        <w:tc>
          <w:tcPr>
            <w:tcW w:w="1564" w:type="dxa"/>
            <w:vAlign w:val="top"/>
          </w:tcPr>
          <w:p w14:paraId="4A5082B6">
            <w:pPr>
              <w:pStyle w:val="19"/>
              <w:spacing w:before="184" w:line="220" w:lineRule="auto"/>
              <w:ind w:left="114"/>
            </w:pPr>
            <w:r>
              <w:rPr>
                <w:spacing w:val="-3"/>
              </w:rPr>
              <w:t>文档密级</w:t>
            </w:r>
          </w:p>
        </w:tc>
        <w:tc>
          <w:tcPr>
            <w:tcW w:w="7586" w:type="dxa"/>
            <w:gridSpan w:val="4"/>
            <w:vAlign w:val="top"/>
          </w:tcPr>
          <w:p w14:paraId="7323108E">
            <w:pPr>
              <w:pStyle w:val="19"/>
              <w:spacing w:before="184" w:line="220" w:lineRule="auto"/>
              <w:ind w:left="108"/>
            </w:pPr>
            <w:r>
              <w:rPr>
                <w:spacing w:val="-3"/>
              </w:rPr>
              <w:t>秘密</w:t>
            </w:r>
          </w:p>
        </w:tc>
      </w:tr>
      <w:tr w14:paraId="315F1CD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6" w:hRule="atLeast"/>
        </w:trPr>
        <w:tc>
          <w:tcPr>
            <w:tcW w:w="1564" w:type="dxa"/>
            <w:vAlign w:val="top"/>
          </w:tcPr>
          <w:p w14:paraId="153DABF0">
            <w:pPr>
              <w:pStyle w:val="19"/>
              <w:spacing w:before="186" w:line="219" w:lineRule="auto"/>
              <w:ind w:left="306"/>
            </w:pPr>
            <w:r>
              <w:rPr>
                <w:spacing w:val="-3"/>
              </w:rPr>
              <w:t>文档版本</w:t>
            </w:r>
          </w:p>
        </w:tc>
        <w:tc>
          <w:tcPr>
            <w:tcW w:w="1697" w:type="dxa"/>
            <w:vAlign w:val="top"/>
          </w:tcPr>
          <w:p w14:paraId="050110BF">
            <w:pPr>
              <w:pStyle w:val="19"/>
              <w:spacing w:before="186" w:line="219" w:lineRule="auto"/>
              <w:ind w:left="371"/>
            </w:pPr>
            <w:r>
              <w:rPr>
                <w:spacing w:val="-2"/>
              </w:rPr>
              <w:t>版本日期</w:t>
            </w:r>
          </w:p>
        </w:tc>
        <w:tc>
          <w:tcPr>
            <w:tcW w:w="2342" w:type="dxa"/>
            <w:vAlign w:val="top"/>
          </w:tcPr>
          <w:p w14:paraId="02ECCF8B">
            <w:pPr>
              <w:pStyle w:val="19"/>
              <w:spacing w:before="186" w:line="219" w:lineRule="auto"/>
              <w:ind w:left="696"/>
            </w:pPr>
            <w:r>
              <w:rPr>
                <w:spacing w:val="-2"/>
              </w:rPr>
              <w:t>版本说明</w:t>
            </w:r>
          </w:p>
        </w:tc>
        <w:tc>
          <w:tcPr>
            <w:tcW w:w="1983" w:type="dxa"/>
            <w:vAlign w:val="top"/>
          </w:tcPr>
          <w:p w14:paraId="7B5D8D3C">
            <w:pPr>
              <w:pStyle w:val="19"/>
              <w:spacing w:before="187" w:line="220" w:lineRule="auto"/>
              <w:ind w:left="758"/>
            </w:pPr>
            <w:r>
              <w:rPr>
                <w:spacing w:val="-3"/>
              </w:rPr>
              <w:t>作者</w:t>
            </w:r>
          </w:p>
        </w:tc>
        <w:tc>
          <w:tcPr>
            <w:tcW w:w="1564" w:type="dxa"/>
            <w:vAlign w:val="top"/>
          </w:tcPr>
          <w:p w14:paraId="7F1D93A1">
            <w:pPr>
              <w:pStyle w:val="19"/>
              <w:spacing w:before="187" w:line="220" w:lineRule="auto"/>
              <w:ind w:left="560"/>
            </w:pPr>
            <w:r>
              <w:rPr>
                <w:spacing w:val="-6"/>
              </w:rPr>
              <w:t>审核</w:t>
            </w:r>
          </w:p>
        </w:tc>
      </w:tr>
      <w:tr w14:paraId="24408D1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8" w:hRule="atLeast"/>
        </w:trPr>
        <w:tc>
          <w:tcPr>
            <w:tcW w:w="1564" w:type="dxa"/>
            <w:vAlign w:val="top"/>
          </w:tcPr>
          <w:p w14:paraId="4D280FCC">
            <w:pPr>
              <w:pStyle w:val="19"/>
              <w:spacing w:before="162" w:line="239" w:lineRule="auto"/>
              <w:ind w:left="539"/>
            </w:pPr>
            <w:r>
              <w:rPr>
                <w:spacing w:val="-1"/>
              </w:rPr>
              <w:t>V1.0</w:t>
            </w:r>
          </w:p>
        </w:tc>
        <w:tc>
          <w:tcPr>
            <w:tcW w:w="1697" w:type="dxa"/>
            <w:vAlign w:val="top"/>
          </w:tcPr>
          <w:p w14:paraId="02768055">
            <w:pPr>
              <w:pStyle w:val="19"/>
              <w:spacing w:before="162"/>
              <w:ind w:left="313"/>
              <w:rPr>
                <w:rFonts w:hint="default" w:eastAsia="宋体"/>
                <w:lang w:val="en-US" w:eastAsia="zh-CN"/>
              </w:rPr>
            </w:pPr>
            <w:r>
              <w:rPr>
                <w:spacing w:val="-2"/>
              </w:rPr>
              <w:t>2025-</w:t>
            </w:r>
            <w:r>
              <w:rPr>
                <w:rFonts w:hint="eastAsia"/>
                <w:spacing w:val="-2"/>
                <w:lang w:val="en-US" w:eastAsia="zh-CN"/>
              </w:rPr>
              <w:t>7</w:t>
            </w:r>
            <w:r>
              <w:rPr>
                <w:spacing w:val="-2"/>
              </w:rPr>
              <w:t>-</w:t>
            </w:r>
            <w:r>
              <w:rPr>
                <w:rFonts w:hint="eastAsia"/>
                <w:spacing w:val="-2"/>
                <w:lang w:val="en-US" w:eastAsia="zh-CN"/>
              </w:rPr>
              <w:t>29</w:t>
            </w:r>
          </w:p>
        </w:tc>
        <w:tc>
          <w:tcPr>
            <w:tcW w:w="2342" w:type="dxa"/>
            <w:vAlign w:val="top"/>
          </w:tcPr>
          <w:p w14:paraId="7CFE3A21">
            <w:pPr>
              <w:pStyle w:val="19"/>
              <w:spacing w:before="128" w:line="219" w:lineRule="auto"/>
              <w:ind w:left="699"/>
            </w:pPr>
            <w:r>
              <w:rPr>
                <w:spacing w:val="-3"/>
              </w:rPr>
              <w:t>发布版本</w:t>
            </w:r>
          </w:p>
        </w:tc>
        <w:tc>
          <w:tcPr>
            <w:tcW w:w="1983" w:type="dxa"/>
            <w:vAlign w:val="top"/>
          </w:tcPr>
          <w:p w14:paraId="17BE787E">
            <w:pPr>
              <w:pStyle w:val="19"/>
              <w:spacing w:before="128" w:line="220" w:lineRule="auto"/>
              <w:ind w:left="63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李琳</w:t>
            </w:r>
          </w:p>
        </w:tc>
        <w:tc>
          <w:tcPr>
            <w:tcW w:w="1564" w:type="dxa"/>
            <w:vAlign w:val="top"/>
          </w:tcPr>
          <w:p w14:paraId="57547D4C">
            <w:pPr>
              <w:pStyle w:val="19"/>
              <w:spacing w:before="128" w:line="220" w:lineRule="auto"/>
              <w:ind w:left="433"/>
            </w:pPr>
            <w:r>
              <w:rPr>
                <w:spacing w:val="-4"/>
              </w:rPr>
              <w:t>张仲全</w:t>
            </w:r>
          </w:p>
        </w:tc>
      </w:tr>
      <w:tr w14:paraId="313348E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8" w:hRule="atLeast"/>
        </w:trPr>
        <w:tc>
          <w:tcPr>
            <w:tcW w:w="1564" w:type="dxa"/>
            <w:vAlign w:val="top"/>
          </w:tcPr>
          <w:p w14:paraId="3FA09CB3">
            <w:pPr>
              <w:rPr>
                <w:rFonts w:ascii="Arial"/>
                <w:sz w:val="21"/>
              </w:rPr>
            </w:pPr>
          </w:p>
        </w:tc>
        <w:tc>
          <w:tcPr>
            <w:tcW w:w="1697" w:type="dxa"/>
            <w:vAlign w:val="top"/>
          </w:tcPr>
          <w:p w14:paraId="230DE073">
            <w:pPr>
              <w:rPr>
                <w:rFonts w:ascii="Arial"/>
                <w:sz w:val="21"/>
              </w:rPr>
            </w:pPr>
          </w:p>
        </w:tc>
        <w:tc>
          <w:tcPr>
            <w:tcW w:w="2342" w:type="dxa"/>
            <w:vAlign w:val="top"/>
          </w:tcPr>
          <w:p w14:paraId="3E07BCF6">
            <w:pPr>
              <w:rPr>
                <w:rFonts w:ascii="Arial"/>
                <w:sz w:val="21"/>
              </w:rPr>
            </w:pPr>
          </w:p>
        </w:tc>
        <w:tc>
          <w:tcPr>
            <w:tcW w:w="1983" w:type="dxa"/>
            <w:vAlign w:val="top"/>
          </w:tcPr>
          <w:p w14:paraId="2F85627F">
            <w:pPr>
              <w:rPr>
                <w:rFonts w:ascii="Arial"/>
                <w:sz w:val="21"/>
              </w:rPr>
            </w:pPr>
          </w:p>
        </w:tc>
        <w:tc>
          <w:tcPr>
            <w:tcW w:w="1564" w:type="dxa"/>
            <w:vAlign w:val="top"/>
          </w:tcPr>
          <w:p w14:paraId="7C0E90C4">
            <w:pPr>
              <w:rPr>
                <w:rFonts w:ascii="Arial"/>
                <w:sz w:val="21"/>
              </w:rPr>
            </w:pPr>
          </w:p>
        </w:tc>
      </w:tr>
      <w:tr w14:paraId="0903ADD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9" w:hRule="atLeast"/>
        </w:trPr>
        <w:tc>
          <w:tcPr>
            <w:tcW w:w="1564" w:type="dxa"/>
            <w:vAlign w:val="top"/>
          </w:tcPr>
          <w:p w14:paraId="437F3DFD">
            <w:pPr>
              <w:rPr>
                <w:rFonts w:ascii="Arial"/>
                <w:sz w:val="21"/>
              </w:rPr>
            </w:pPr>
          </w:p>
        </w:tc>
        <w:tc>
          <w:tcPr>
            <w:tcW w:w="1697" w:type="dxa"/>
            <w:vAlign w:val="top"/>
          </w:tcPr>
          <w:p w14:paraId="54F91CF6">
            <w:pPr>
              <w:rPr>
                <w:rFonts w:ascii="Arial"/>
                <w:sz w:val="21"/>
              </w:rPr>
            </w:pPr>
          </w:p>
        </w:tc>
        <w:tc>
          <w:tcPr>
            <w:tcW w:w="2342" w:type="dxa"/>
            <w:vAlign w:val="top"/>
          </w:tcPr>
          <w:p w14:paraId="2DB0A541">
            <w:pPr>
              <w:rPr>
                <w:rFonts w:ascii="Arial"/>
                <w:sz w:val="21"/>
              </w:rPr>
            </w:pPr>
          </w:p>
        </w:tc>
        <w:tc>
          <w:tcPr>
            <w:tcW w:w="1983" w:type="dxa"/>
            <w:vAlign w:val="top"/>
          </w:tcPr>
          <w:p w14:paraId="30FC469A">
            <w:pPr>
              <w:rPr>
                <w:rFonts w:ascii="Arial"/>
                <w:sz w:val="21"/>
              </w:rPr>
            </w:pPr>
          </w:p>
        </w:tc>
        <w:tc>
          <w:tcPr>
            <w:tcW w:w="1564" w:type="dxa"/>
            <w:vAlign w:val="top"/>
          </w:tcPr>
          <w:p w14:paraId="5EE241C1">
            <w:pPr>
              <w:rPr>
                <w:rFonts w:ascii="Arial"/>
                <w:sz w:val="21"/>
              </w:rPr>
            </w:pPr>
          </w:p>
        </w:tc>
      </w:tr>
    </w:tbl>
    <w:p w14:paraId="08A29D28">
      <w:pPr>
        <w:pStyle w:val="11"/>
      </w:pPr>
    </w:p>
    <w:p w14:paraId="10E71E5E">
      <w:pPr>
        <w:sectPr>
          <w:headerReference r:id="rId7" w:type="default"/>
          <w:footerReference r:id="rId8" w:type="default"/>
          <w:pgSz w:w="11906" w:h="16839"/>
          <w:pgMar w:top="400" w:right="1150" w:bottom="1233" w:left="1595" w:header="0" w:footer="1070" w:gutter="0"/>
          <w:cols w:space="720" w:num="1"/>
        </w:sectPr>
      </w:pPr>
    </w:p>
    <w:p w14:paraId="73711C09">
      <w:pPr>
        <w:pStyle w:val="11"/>
        <w:spacing w:line="254" w:lineRule="auto"/>
      </w:pPr>
    </w:p>
    <w:p w14:paraId="76F5746D">
      <w:pPr>
        <w:pStyle w:val="11"/>
        <w:spacing w:line="254" w:lineRule="auto"/>
      </w:pPr>
    </w:p>
    <w:p w14:paraId="00067C5F">
      <w:pPr>
        <w:pStyle w:val="11"/>
        <w:spacing w:line="254" w:lineRule="auto"/>
      </w:pPr>
    </w:p>
    <w:p w14:paraId="32B919CF">
      <w:pPr>
        <w:pStyle w:val="11"/>
        <w:spacing w:line="255" w:lineRule="auto"/>
      </w:pPr>
    </w:p>
    <w:p w14:paraId="394B34DB">
      <w:pPr>
        <w:pStyle w:val="11"/>
        <w:spacing w:line="255" w:lineRule="auto"/>
      </w:pPr>
    </w:p>
    <w:sdt>
      <w:sdtPr>
        <w:rPr>
          <w:rFonts w:ascii="宋体" w:hAnsi="宋体" w:eastAsia="宋体" w:cs="Arial"/>
          <w:snapToGrid w:val="0"/>
          <w:color w:val="000000"/>
          <w:kern w:val="0"/>
          <w:sz w:val="21"/>
          <w:szCs w:val="21"/>
          <w:lang w:val="en-US" w:eastAsia="en-US" w:bidi="ar-SA"/>
        </w:rPr>
        <w:id w:val="147458891"/>
        <w15:color w:val="DBDBDB"/>
        <w:docPartObj>
          <w:docPartGallery w:val="Table of Contents"/>
          <w:docPartUnique/>
        </w:docPartObj>
      </w:sdtPr>
      <w:sdtEndPr>
        <w:rPr>
          <w:rFonts w:hint="eastAsia" w:ascii="Microsoft JhengHei" w:hAnsi="Microsoft JhengHei" w:eastAsia="Microsoft JhengHei" w:cs="Microsoft JhengHei"/>
          <w:snapToGrid w:val="0"/>
          <w:color w:val="000000"/>
          <w:kern w:val="0"/>
          <w:sz w:val="24"/>
          <w:szCs w:val="24"/>
          <w:lang w:val="en-US" w:eastAsia="en-US" w:bidi="ar-SA"/>
        </w:rPr>
      </w:sdtEndPr>
      <w:sdtContent>
        <w:p w14:paraId="5D408BE0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 w14:paraId="1CC1183E">
          <w:pPr>
            <w:pStyle w:val="14"/>
            <w:tabs>
              <w:tab w:val="right" w:leader="dot" w:pos="848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TOC \o "1-3" \h \u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_Toc19923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bCs/>
              <w:spacing w:val="-11"/>
              <w:sz w:val="24"/>
              <w:szCs w:val="24"/>
            </w:rPr>
            <w:t>管理评审报告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_Toc19923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1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10536185">
          <w:pPr>
            <w:pStyle w:val="14"/>
            <w:tabs>
              <w:tab w:val="right" w:leader="dot" w:pos="848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_Toc30586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pacing w:val="-3"/>
              <w:sz w:val="24"/>
              <w:szCs w:val="24"/>
            </w:rPr>
            <w:t>文档信息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_Toc30586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2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069FA238">
          <w:pPr>
            <w:pStyle w:val="14"/>
            <w:tabs>
              <w:tab w:val="right" w:leader="dot" w:pos="848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_Toc1197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1. 审核目的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_Toc1197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4F85F8D2">
          <w:pPr>
            <w:pStyle w:val="14"/>
            <w:tabs>
              <w:tab w:val="right" w:leader="dot" w:pos="848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_Toc11530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2. 审核依据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_Toc11530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0FA89A26">
          <w:pPr>
            <w:pStyle w:val="14"/>
            <w:tabs>
              <w:tab w:val="right" w:leader="dot" w:pos="848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_Toc14531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3. 参会人员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_Toc14531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321BDC08">
          <w:pPr>
            <w:pStyle w:val="14"/>
            <w:tabs>
              <w:tab w:val="right" w:leader="dot" w:pos="848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_Toc26906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4. 评审主要步骤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_Toc26906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53C61D3F">
          <w:pPr>
            <w:pStyle w:val="14"/>
            <w:tabs>
              <w:tab w:val="right" w:leader="dot" w:pos="848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_Toc30657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5. 评审内容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_Toc30657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5222AC46">
          <w:pPr>
            <w:pStyle w:val="14"/>
            <w:tabs>
              <w:tab w:val="right" w:leader="dot" w:pos="848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_Toc24115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6. 评审结论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_Toc24115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1E7EA6ED">
          <w:pPr>
            <w:pStyle w:val="15"/>
            <w:tabs>
              <w:tab w:val="right" w:leader="dot" w:pos="848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_Toc24409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6.1. 运维能力体系运行的适宜性、有效性评审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_Toc24409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185BB9D4">
          <w:pPr>
            <w:pStyle w:val="15"/>
            <w:tabs>
              <w:tab w:val="right" w:leader="dot" w:pos="848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_Toc15208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6.2. 2025年质量内部审核评审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_Toc15208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70AD56F7">
          <w:pPr>
            <w:pStyle w:val="15"/>
            <w:tabs>
              <w:tab w:val="right" w:leader="dot" w:pos="848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_Toc20970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6.3. 满意度调查评审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_Toc20970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65FFE4AC">
          <w:pPr>
            <w:pStyle w:val="15"/>
            <w:tabs>
              <w:tab w:val="right" w:leader="dot" w:pos="848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_Toc29384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6.4. 客户投诉情况评审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_Toc29384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5DB1839C">
          <w:pPr>
            <w:pStyle w:val="15"/>
            <w:tabs>
              <w:tab w:val="right" w:leader="dot" w:pos="848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_Toc30126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6.5. 结论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_Toc30126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7C8635D8">
          <w:pPr>
            <w:spacing w:line="220" w:lineRule="auto"/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</w:sdtContent>
    </w:sdt>
    <w:p w14:paraId="621481BD">
      <w:pPr>
        <w:spacing w:line="220" w:lineRule="auto"/>
        <w:rPr>
          <w:rFonts w:hint="eastAsia" w:ascii="Microsoft JhengHei" w:hAnsi="Microsoft JhengHei" w:eastAsia="Microsoft JhengHei" w:cs="Microsoft JhengHei"/>
          <w:snapToGrid w:val="0"/>
          <w:color w:val="000000"/>
          <w:kern w:val="0"/>
          <w:sz w:val="24"/>
          <w:szCs w:val="24"/>
          <w:lang w:val="en-US" w:eastAsia="en-US" w:bidi="ar-SA"/>
        </w:rPr>
        <w:sectPr>
          <w:footerReference r:id="rId9" w:type="default"/>
          <w:pgSz w:w="11906" w:h="16839"/>
          <w:pgMar w:top="400" w:right="1710" w:bottom="1234" w:left="1709" w:header="0" w:footer="1070" w:gutter="0"/>
          <w:cols w:space="720" w:num="1"/>
        </w:sectPr>
      </w:pPr>
    </w:p>
    <w:p w14:paraId="76D17032">
      <w:pPr>
        <w:pStyle w:val="20"/>
        <w:bidi w:val="0"/>
      </w:pPr>
      <w:bookmarkStart w:id="2" w:name="_Toc1197"/>
      <w:r>
        <w:t>审核目的</w:t>
      </w:r>
      <w:bookmarkEnd w:id="2"/>
    </w:p>
    <w:p w14:paraId="7C7C08C2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firstLine="472" w:firstLineChars="200"/>
        <w:textAlignment w:val="baseline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对公司运维能力体系运行现状进行评审，评价其持续的适宜性和有效性。</w:t>
      </w:r>
    </w:p>
    <w:p w14:paraId="40B73EBD">
      <w:pPr>
        <w:pStyle w:val="20"/>
        <w:bidi w:val="0"/>
      </w:pPr>
      <w:bookmarkStart w:id="3" w:name="_Toc11530"/>
      <w:r>
        <w:t>审核依据</w:t>
      </w:r>
      <w:bookmarkEnd w:id="3"/>
    </w:p>
    <w:p w14:paraId="06875654">
      <w:pPr>
        <w:keepNext w:val="0"/>
        <w:keepLines w:val="0"/>
        <w:pageBreakBefore w:val="0"/>
        <w:widowControl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635" w:leftChars="0" w:hanging="425" w:firstLineChars="0"/>
        <w:textAlignment w:val="baseline"/>
        <w:rPr>
          <w:rFonts w:hint="eastAsia" w:ascii="宋体" w:hAnsi="宋体" w:eastAsia="宋体" w:cs="宋体"/>
          <w:spacing w:val="-1"/>
          <w:sz w:val="24"/>
          <w:szCs w:val="24"/>
        </w:rPr>
      </w:pPr>
      <w:r>
        <w:rPr>
          <w:rFonts w:hint="eastAsia" w:ascii="宋体" w:hAnsi="宋体" w:eastAsia="宋体" w:cs="宋体"/>
          <w:spacing w:val="-1"/>
          <w:sz w:val="24"/>
          <w:szCs w:val="24"/>
        </w:rPr>
        <w:t>T/CESA 1299—2023《信息技术服务 运行维护服务能力成熟度模型》</w:t>
      </w:r>
    </w:p>
    <w:p w14:paraId="751DB7E9">
      <w:pPr>
        <w:keepNext w:val="0"/>
        <w:keepLines w:val="0"/>
        <w:pageBreakBefore w:val="0"/>
        <w:widowControl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635" w:leftChars="0" w:hanging="425" w:firstLineChars="0"/>
        <w:textAlignment w:val="baseline"/>
        <w:rPr>
          <w:rFonts w:hint="eastAsia" w:ascii="宋体" w:hAnsi="宋体" w:eastAsia="宋体" w:cs="宋体"/>
          <w:spacing w:val="-1"/>
          <w:sz w:val="24"/>
          <w:szCs w:val="24"/>
        </w:rPr>
      </w:pPr>
      <w:r>
        <w:rPr>
          <w:rFonts w:hint="eastAsia" w:ascii="宋体" w:hAnsi="宋体" w:eastAsia="宋体" w:cs="宋体"/>
          <w:spacing w:val="-1"/>
          <w:sz w:val="24"/>
          <w:szCs w:val="24"/>
        </w:rPr>
        <w:t>GB/ T 28827.1-20</w:t>
      </w: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spacing w:val="-1"/>
          <w:sz w:val="24"/>
          <w:szCs w:val="24"/>
        </w:rPr>
        <w:t>2《信息技术服务 运行维护 第 1 部分：通用要求》</w:t>
      </w:r>
    </w:p>
    <w:p w14:paraId="06035588">
      <w:pPr>
        <w:keepNext w:val="0"/>
        <w:keepLines w:val="0"/>
        <w:pageBreakBefore w:val="0"/>
        <w:widowControl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635" w:leftChars="0" w:hanging="425" w:firstLineChars="0"/>
        <w:textAlignment w:val="baseline"/>
        <w:rPr>
          <w:rFonts w:hint="eastAsia" w:ascii="宋体" w:hAnsi="宋体" w:eastAsia="宋体" w:cs="宋体"/>
          <w:spacing w:val="-1"/>
          <w:sz w:val="24"/>
          <w:szCs w:val="24"/>
        </w:rPr>
      </w:pPr>
      <w:r>
        <w:rPr>
          <w:rFonts w:hint="eastAsia" w:ascii="宋体" w:hAnsi="宋体" w:eastAsia="宋体" w:cs="宋体"/>
          <w:spacing w:val="-1"/>
          <w:sz w:val="24"/>
          <w:szCs w:val="24"/>
        </w:rPr>
        <w:t>GB/ T 29264-2012 《信息技术服务 分类与代码》</w:t>
      </w:r>
    </w:p>
    <w:p w14:paraId="6CB7FADE">
      <w:pPr>
        <w:keepNext w:val="0"/>
        <w:keepLines w:val="0"/>
        <w:pageBreakBefore w:val="0"/>
        <w:widowControl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635" w:leftChars="0" w:hanging="425" w:firstLineChars="0"/>
        <w:textAlignment w:val="baseline"/>
        <w:rPr>
          <w:rFonts w:hint="eastAsia" w:ascii="宋体" w:hAnsi="宋体" w:eastAsia="宋体" w:cs="宋体"/>
          <w:spacing w:val="-1"/>
          <w:sz w:val="24"/>
          <w:szCs w:val="24"/>
        </w:rPr>
      </w:pPr>
      <w:r>
        <w:rPr>
          <w:rFonts w:hint="eastAsia" w:ascii="宋体" w:hAnsi="宋体" w:eastAsia="宋体" w:cs="宋体"/>
          <w:spacing w:val="-1"/>
          <w:sz w:val="24"/>
          <w:szCs w:val="24"/>
        </w:rPr>
        <w:t>GB/ T 28827.2-2012 《信息技术服务 运行维护 第 2 部分:交付规范》</w:t>
      </w:r>
    </w:p>
    <w:p w14:paraId="33CE2A65">
      <w:pPr>
        <w:keepNext w:val="0"/>
        <w:keepLines w:val="0"/>
        <w:pageBreakBefore w:val="0"/>
        <w:widowControl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635" w:leftChars="0" w:hanging="425" w:firstLineChars="0"/>
        <w:textAlignment w:val="baseline"/>
        <w:rPr>
          <w:rFonts w:hint="eastAsia" w:ascii="宋体" w:hAnsi="宋体" w:eastAsia="宋体" w:cs="宋体"/>
          <w:spacing w:val="-1"/>
          <w:sz w:val="24"/>
          <w:szCs w:val="24"/>
        </w:rPr>
      </w:pPr>
      <w:r>
        <w:rPr>
          <w:rFonts w:hint="eastAsia" w:ascii="宋体" w:hAnsi="宋体" w:eastAsia="宋体" w:cs="宋体"/>
          <w:spacing w:val="-1"/>
          <w:sz w:val="24"/>
          <w:szCs w:val="24"/>
        </w:rPr>
        <w:t>GB/  T 28827.3-2012 《信息技术服务 运行维护 第 3 部分:应急响应规范》</w:t>
      </w:r>
    </w:p>
    <w:p w14:paraId="541E7492">
      <w:pPr>
        <w:keepNext w:val="0"/>
        <w:keepLines w:val="0"/>
        <w:pageBreakBefore w:val="0"/>
        <w:widowControl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635" w:leftChars="0" w:hanging="425" w:firstLineChars="0"/>
        <w:textAlignment w:val="baseline"/>
        <w:rPr>
          <w:rFonts w:hint="eastAsia" w:ascii="宋体" w:hAnsi="宋体" w:eastAsia="宋体" w:cs="宋体"/>
          <w:spacing w:val="-1"/>
          <w:sz w:val="24"/>
          <w:szCs w:val="24"/>
        </w:rPr>
      </w:pPr>
      <w:r>
        <w:rPr>
          <w:rFonts w:hint="eastAsia" w:ascii="宋体" w:hAnsi="宋体" w:eastAsia="宋体" w:cs="宋体"/>
          <w:spacing w:val="-1"/>
          <w:sz w:val="24"/>
          <w:szCs w:val="24"/>
        </w:rPr>
        <w:t>国家有关法律、法规及行业标准</w:t>
      </w:r>
    </w:p>
    <w:p w14:paraId="2BD1000A">
      <w:pPr>
        <w:pStyle w:val="20"/>
        <w:bidi w:val="0"/>
      </w:pPr>
      <w:bookmarkStart w:id="4" w:name="_Toc14531"/>
      <w:r>
        <w:t>参会人员</w:t>
      </w:r>
      <w:bookmarkEnd w:id="4"/>
    </w:p>
    <w:p w14:paraId="57BA6D81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6" w:hanging="476" w:hangingChars="200"/>
        <w:textAlignment w:val="baseline"/>
        <w:rPr>
          <w:rFonts w:hint="default" w:ascii="宋体" w:hAnsi="宋体" w:eastAsia="宋体" w:cs="宋体"/>
          <w:spacing w:val="-1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pacing w:val="-1"/>
          <w:sz w:val="24"/>
          <w:szCs w:val="24"/>
        </w:rPr>
        <w:t>组长：</w:t>
      </w: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>李琳</w:t>
      </w:r>
    </w:p>
    <w:p w14:paraId="63A06EDB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6" w:hanging="476" w:hangingChars="200"/>
        <w:textAlignment w:val="baseline"/>
        <w:rPr>
          <w:rFonts w:hint="eastAsia" w:ascii="宋体" w:hAnsi="宋体" w:eastAsia="宋体" w:cs="宋体"/>
          <w:spacing w:val="-1"/>
          <w:sz w:val="24"/>
          <w:szCs w:val="24"/>
        </w:rPr>
      </w:pPr>
      <w:r>
        <w:rPr>
          <w:rFonts w:hint="eastAsia" w:ascii="宋体" w:hAnsi="宋体" w:eastAsia="宋体" w:cs="宋体"/>
          <w:spacing w:val="-1"/>
          <w:sz w:val="24"/>
          <w:szCs w:val="24"/>
        </w:rPr>
        <w:t>组员：孙人杰</w:t>
      </w:r>
      <w:r>
        <w:rPr>
          <w:rFonts w:hint="eastAsia" w:ascii="宋体" w:hAnsi="宋体" w:eastAsia="宋体" w:cs="宋体"/>
          <w:spacing w:val="-1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>郑永伟、刘培培、隋嘉宾</w:t>
      </w:r>
    </w:p>
    <w:p w14:paraId="7079772E">
      <w:pPr>
        <w:pStyle w:val="20"/>
        <w:bidi w:val="0"/>
      </w:pPr>
      <w:bookmarkStart w:id="5" w:name="_Toc26906"/>
      <w:r>
        <w:t>评审主要步骤</w:t>
      </w:r>
      <w:bookmarkEnd w:id="5"/>
    </w:p>
    <w:p w14:paraId="42212B05">
      <w:pPr>
        <w:numPr>
          <w:ilvl w:val="0"/>
          <w:numId w:val="3"/>
        </w:numPr>
        <w:spacing w:before="267" w:line="301" w:lineRule="auto"/>
        <w:ind w:left="425" w:leftChars="0" w:right="36" w:hanging="425" w:firstLineChars="0"/>
        <w:rPr>
          <w:rFonts w:ascii="宋体" w:hAnsi="宋体" w:eastAsia="宋体" w:cs="宋体"/>
          <w:spacing w:val="-3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质量中心汇总公司IT运维服务管理指标、管理能力情况、体系实施情况、客户满意度调查结果、内审报告、不符合项报告及其关闭材料等；</w:t>
      </w:r>
    </w:p>
    <w:p w14:paraId="0B891195">
      <w:pPr>
        <w:numPr>
          <w:ilvl w:val="0"/>
          <w:numId w:val="3"/>
        </w:numPr>
        <w:spacing w:before="267" w:line="301" w:lineRule="auto"/>
        <w:ind w:left="425" w:leftChars="0" w:right="36" w:hanging="425" w:firstLineChars="0"/>
        <w:rPr>
          <w:rFonts w:ascii="宋体" w:hAnsi="宋体" w:eastAsia="宋体" w:cs="宋体"/>
          <w:spacing w:val="-3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公司管理层对管理评审材料进行审核并签署评审意见；</w:t>
      </w:r>
    </w:p>
    <w:p w14:paraId="5766B807">
      <w:pPr>
        <w:numPr>
          <w:ilvl w:val="0"/>
          <w:numId w:val="3"/>
        </w:numPr>
        <w:spacing w:before="267" w:line="301" w:lineRule="auto"/>
        <w:ind w:left="425" w:leftChars="0" w:right="36" w:hanging="425" w:firstLineChars="0"/>
        <w:rPr>
          <w:rFonts w:ascii="宋体" w:hAnsi="宋体" w:eastAsia="宋体" w:cs="宋体"/>
          <w:spacing w:val="-3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质量中心负责协助管理者代表纠正各部门发现的问题，并跟踪验证纠正</w:t>
      </w:r>
    </w:p>
    <w:p w14:paraId="1FFDCDC5">
      <w:pPr>
        <w:numPr>
          <w:ilvl w:val="0"/>
          <w:numId w:val="3"/>
        </w:numPr>
        <w:spacing w:before="267" w:line="301" w:lineRule="auto"/>
        <w:ind w:left="425" w:leftChars="0" w:right="36" w:hanging="425" w:firstLineChars="0"/>
        <w:rPr>
          <w:rFonts w:ascii="宋体" w:hAnsi="宋体" w:eastAsia="宋体" w:cs="宋体"/>
          <w:spacing w:val="-3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预防措施的执行情况；</w:t>
      </w:r>
    </w:p>
    <w:p w14:paraId="5A4E82AD">
      <w:pPr>
        <w:numPr>
          <w:ilvl w:val="0"/>
          <w:numId w:val="3"/>
        </w:numPr>
        <w:spacing w:before="267" w:line="301" w:lineRule="auto"/>
        <w:ind w:left="425" w:leftChars="0" w:right="36" w:hanging="425" w:firstLineChars="0"/>
        <w:rPr>
          <w:rFonts w:ascii="宋体" w:hAnsi="宋体" w:eastAsia="宋体" w:cs="宋体"/>
          <w:spacing w:val="-3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总经理对管理评审报告进行审批。</w:t>
      </w:r>
    </w:p>
    <w:p w14:paraId="1EABF45C">
      <w:pPr>
        <w:pStyle w:val="20"/>
        <w:bidi w:val="0"/>
      </w:pPr>
      <w:bookmarkStart w:id="6" w:name="_Toc30657"/>
      <w:r>
        <w:t>评审内容</w:t>
      </w:r>
      <w:bookmarkEnd w:id="6"/>
    </w:p>
    <w:p w14:paraId="03293495">
      <w:pPr>
        <w:numPr>
          <w:ilvl w:val="0"/>
          <w:numId w:val="4"/>
        </w:numPr>
        <w:spacing w:before="264" w:line="220" w:lineRule="auto"/>
        <w:ind w:left="425" w:leftChars="0" w:hanging="425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pacing w:val="-4"/>
          <w:sz w:val="24"/>
          <w:szCs w:val="24"/>
          <w:lang w:val="en-US" w:eastAsia="zh-CN"/>
        </w:rPr>
        <w:t>2025年内部审核报告</w:t>
      </w:r>
    </w:p>
    <w:p w14:paraId="443350E7">
      <w:pPr>
        <w:numPr>
          <w:ilvl w:val="0"/>
          <w:numId w:val="4"/>
        </w:numPr>
        <w:spacing w:before="214" w:line="220" w:lineRule="auto"/>
        <w:ind w:left="42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4"/>
          <w:sz w:val="24"/>
          <w:szCs w:val="24"/>
        </w:rPr>
        <w:t>各部门指标完成情况</w:t>
      </w:r>
    </w:p>
    <w:p w14:paraId="27E0BC11">
      <w:pPr>
        <w:numPr>
          <w:ilvl w:val="0"/>
          <w:numId w:val="4"/>
        </w:numPr>
        <w:spacing w:before="214" w:line="220" w:lineRule="auto"/>
        <w:ind w:left="42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36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3"/>
          <w:sz w:val="24"/>
          <w:szCs w:val="24"/>
        </w:rPr>
        <w:t>客户满意度调查和客户投诉情况</w:t>
      </w:r>
    </w:p>
    <w:p w14:paraId="2E01DC7C">
      <w:pPr>
        <w:numPr>
          <w:ilvl w:val="0"/>
          <w:numId w:val="4"/>
        </w:numPr>
        <w:spacing w:before="78" w:line="220" w:lineRule="auto"/>
        <w:ind w:left="42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公司的组织结构、职责分配、资源配备的</w:t>
      </w:r>
      <w:r>
        <w:rPr>
          <w:rFonts w:ascii="宋体" w:hAnsi="宋体" w:eastAsia="宋体" w:cs="宋体"/>
          <w:spacing w:val="-3"/>
          <w:sz w:val="24"/>
          <w:szCs w:val="24"/>
        </w:rPr>
        <w:t>适宜性</w:t>
      </w:r>
    </w:p>
    <w:p w14:paraId="5CE72A78">
      <w:pPr>
        <w:numPr>
          <w:ilvl w:val="0"/>
          <w:numId w:val="4"/>
        </w:numPr>
        <w:spacing w:before="213" w:line="220" w:lineRule="auto"/>
        <w:ind w:left="42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4"/>
          <w:sz w:val="24"/>
          <w:szCs w:val="24"/>
        </w:rPr>
        <w:t>体系要素及文件的适宜性</w:t>
      </w:r>
    </w:p>
    <w:p w14:paraId="39477A94">
      <w:pPr>
        <w:numPr>
          <w:ilvl w:val="0"/>
          <w:numId w:val="4"/>
        </w:numPr>
        <w:spacing w:before="214" w:line="220" w:lineRule="auto"/>
        <w:ind w:left="42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客户及员工对运维服务能力体系的合理化建议</w:t>
      </w:r>
    </w:p>
    <w:p w14:paraId="6218D94B">
      <w:pPr>
        <w:numPr>
          <w:ilvl w:val="0"/>
          <w:numId w:val="4"/>
        </w:numPr>
        <w:spacing w:before="214" w:line="220" w:lineRule="auto"/>
        <w:ind w:left="42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1"/>
          <w:sz w:val="24"/>
          <w:szCs w:val="24"/>
        </w:rPr>
        <w:t>其他</w:t>
      </w:r>
    </w:p>
    <w:p w14:paraId="777C063A">
      <w:pPr>
        <w:pStyle w:val="20"/>
        <w:bidi w:val="0"/>
      </w:pPr>
      <w:bookmarkStart w:id="7" w:name="_Toc24115"/>
      <w:r>
        <w:t>评审结论</w:t>
      </w:r>
      <w:bookmarkEnd w:id="7"/>
    </w:p>
    <w:p w14:paraId="4760EA62">
      <w:pPr>
        <w:keepNext w:val="0"/>
        <w:keepLines w:val="0"/>
        <w:pageBreakBefore w:val="0"/>
        <w:widowControl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Chars="0" w:firstLine="480" w:firstLineChars="200"/>
        <w:textAlignment w:val="baseline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根据各部门所提交的项目实施和部门总结资料，评审组成员经过认真的审核和讨论，就下面几项内容达成共识：</w:t>
      </w:r>
    </w:p>
    <w:p w14:paraId="399F29F4">
      <w:pPr>
        <w:pStyle w:val="21"/>
        <w:bidi w:val="0"/>
      </w:pPr>
      <w:bookmarkStart w:id="8" w:name="_Toc24409"/>
      <w:r>
        <w:t>运维能力体系运行的适宜性、有效性评审</w:t>
      </w:r>
      <w:bookmarkEnd w:id="8"/>
    </w:p>
    <w:p w14:paraId="18020F6C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80" w:firstLine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我公司运维能力体系自建设和运行以来，公司的运维服务能力和项目服务质量有了明显的提高。由于在管理和服务过程中明确了相关标准，整合了公司的组织架构，搭建了相关体系，完善了过程的可追朔性，明确了各部门及各岗位的职责，使得公司的职责权限更加合理分明，业务流程更加顺畅。</w:t>
      </w:r>
    </w:p>
    <w:p w14:paraId="29229EE4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80" w:firstLine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公司在2025年对全体员工加大了运维能力体系方面的培训力度，能力体系得到全体员工的理解和支持。评审认为：我公司运维能力体系提高了公司的管理水平，增强了公司的实力和竞争力，它是适宜的、充分的和有效的。</w:t>
      </w:r>
    </w:p>
    <w:p w14:paraId="5A476919">
      <w:pPr>
        <w:pStyle w:val="21"/>
        <w:bidi w:val="0"/>
      </w:pPr>
      <w:bookmarkStart w:id="9" w:name="_Toc15208"/>
      <w:r>
        <w:t>2025年质量内部审核评审</w:t>
      </w:r>
      <w:bookmarkEnd w:id="9"/>
    </w:p>
    <w:p w14:paraId="0AD6FE66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80" w:firstLine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2025年我公司于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7</w:t>
      </w:r>
      <w:r>
        <w:rPr>
          <w:rFonts w:ascii="宋体" w:hAnsi="宋体" w:eastAsia="宋体" w:cs="宋体"/>
          <w:sz w:val="24"/>
          <w:szCs w:val="24"/>
        </w:rPr>
        <w:t>月组织了1次内部审核，共开出1份不符合项报告下发到相关部门，相关责任部门认真进行了原因分析，制定了相应的纠正措施。质量中心在规定期限内做了实际验证，现已全部纠正完毕，全部达到运维管理体系的要求。</w:t>
      </w:r>
    </w:p>
    <w:p w14:paraId="5DFC1C82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80" w:firstLineChars="200"/>
        <w:textAlignment w:val="baseline"/>
      </w:pPr>
      <w:r>
        <w:rPr>
          <w:rFonts w:ascii="宋体" w:hAnsi="宋体" w:eastAsia="宋体" w:cs="宋体"/>
          <w:sz w:val="24"/>
          <w:szCs w:val="24"/>
        </w:rPr>
        <w:t>通过本次审核，对我公司的运维能力体系运行情况进行了一次全面的了解及检查，发现问题并及时解决，完善了公司管理体制，提高了公司的管理水平，保证了公司的正常运作及持续发展。</w:t>
      </w:r>
    </w:p>
    <w:p w14:paraId="07D5C1D4">
      <w:pPr>
        <w:pStyle w:val="21"/>
        <w:bidi w:val="0"/>
      </w:pPr>
      <w:bookmarkStart w:id="10" w:name="_Toc20970"/>
      <w:r>
        <w:t>满意度调查评审</w:t>
      </w:r>
      <w:bookmarkEnd w:id="10"/>
    </w:p>
    <w:p w14:paraId="0A030EF3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80" w:firstLine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通过项目满意度调查统计分析，公司客户满意度平均分为 96 分，达到了公司满意度指标要求，客户对我公司服务质量持认可态度。评审认为 ：我公司当前项目运行情况是正常的，达到了2025年年度规划的要求。希望各部门再接再厉，不断的改进我们的工作。</w:t>
      </w:r>
    </w:p>
    <w:p w14:paraId="5FD1A65D">
      <w:pPr>
        <w:pStyle w:val="21"/>
        <w:bidi w:val="0"/>
      </w:pPr>
      <w:bookmarkStart w:id="11" w:name="_Toc29384"/>
      <w:r>
        <w:t>客户投诉情况评审</w:t>
      </w:r>
      <w:bookmarkEnd w:id="11"/>
    </w:p>
    <w:p w14:paraId="47BB42FA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80" w:firstLine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暂无接受到任何有效投诉事件。</w:t>
      </w:r>
    </w:p>
    <w:p w14:paraId="21BBC0D0">
      <w:pPr>
        <w:pStyle w:val="21"/>
        <w:bidi w:val="0"/>
      </w:pPr>
      <w:bookmarkStart w:id="12" w:name="_Toc30126"/>
      <w:r>
        <w:t>结论</w:t>
      </w:r>
      <w:bookmarkEnd w:id="12"/>
    </w:p>
    <w:p w14:paraId="691E49A2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80" w:firstLine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2025年度公司管理评审在公司各部门的积极配合下圆满地结束了，对本次管理评审公司各相关部门做了周密的安排，参加会议的各部门人员也做了充分的准备，对公司的运维管理目标进行了认真的评议，全面的总结了公司运维能力体系的运行情况，肯定了2025年质量管理体系运行的适宜性、有效性。通过这次管理评审，总结了经验，将更有力的推动公司持续发展。</w:t>
      </w:r>
    </w:p>
    <w:p w14:paraId="6001507A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80" w:firstLineChars="200"/>
        <w:textAlignment w:val="baseline"/>
        <w:rPr>
          <w:rFonts w:ascii="宋体" w:hAnsi="宋体" w:eastAsia="宋体" w:cs="宋体"/>
          <w:sz w:val="24"/>
          <w:szCs w:val="24"/>
        </w:rPr>
      </w:pPr>
    </w:p>
    <w:p w14:paraId="5861EDCC">
      <w:pPr>
        <w:spacing w:before="64" w:line="220" w:lineRule="auto"/>
        <w:ind w:left="22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评审人：</w:t>
      </w: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>张琳</w:t>
      </w:r>
      <w:r>
        <w:rPr>
          <w:rFonts w:ascii="宋体" w:hAnsi="宋体" w:eastAsia="宋体" w:cs="宋体"/>
          <w:spacing w:val="-1"/>
          <w:sz w:val="24"/>
          <w:szCs w:val="24"/>
        </w:rPr>
        <w:t xml:space="preserve">                                审核人：张仲全</w:t>
      </w:r>
    </w:p>
    <w:p w14:paraId="25A4662E">
      <w:pPr>
        <w:spacing w:before="64" w:line="220" w:lineRule="auto"/>
        <w:ind w:left="22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时间： 2025年0</w:t>
      </w: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>7</w:t>
      </w:r>
      <w:r>
        <w:rPr>
          <w:rFonts w:ascii="宋体" w:hAnsi="宋体" w:eastAsia="宋体" w:cs="宋体"/>
          <w:spacing w:val="-1"/>
          <w:sz w:val="24"/>
          <w:szCs w:val="24"/>
        </w:rPr>
        <w:t>月</w:t>
      </w: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>29</w:t>
      </w:r>
      <w:r>
        <w:rPr>
          <w:rFonts w:ascii="宋体" w:hAnsi="宋体" w:eastAsia="宋体" w:cs="宋体"/>
          <w:spacing w:val="-1"/>
          <w:sz w:val="24"/>
          <w:szCs w:val="24"/>
        </w:rPr>
        <w:t xml:space="preserve">日             </w:t>
      </w: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 xml:space="preserve">     </w:t>
      </w:r>
      <w:r>
        <w:rPr>
          <w:rFonts w:ascii="宋体" w:hAnsi="宋体" w:eastAsia="宋体" w:cs="宋体"/>
          <w:spacing w:val="-1"/>
          <w:sz w:val="24"/>
          <w:szCs w:val="24"/>
        </w:rPr>
        <w:t>时间： 2025年0</w:t>
      </w: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>7</w:t>
      </w:r>
      <w:r>
        <w:rPr>
          <w:rFonts w:ascii="宋体" w:hAnsi="宋体" w:eastAsia="宋体" w:cs="宋体"/>
          <w:spacing w:val="-1"/>
          <w:sz w:val="24"/>
          <w:szCs w:val="24"/>
        </w:rPr>
        <w:t>月</w:t>
      </w: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>29</w:t>
      </w:r>
      <w:bookmarkStart w:id="13" w:name="_GoBack"/>
      <w:bookmarkEnd w:id="13"/>
      <w:r>
        <w:rPr>
          <w:rFonts w:ascii="宋体" w:hAnsi="宋体" w:eastAsia="宋体" w:cs="宋体"/>
          <w:spacing w:val="-1"/>
          <w:sz w:val="24"/>
          <w:szCs w:val="24"/>
        </w:rPr>
        <w:t>日</w:t>
      </w:r>
    </w:p>
    <w:sectPr>
      <w:footerReference r:id="rId10" w:type="default"/>
      <w:pgSz w:w="11906" w:h="16839"/>
      <w:pgMar w:top="400" w:right="1785" w:bottom="686" w:left="1785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D6A7FA6">
    <w:pPr>
      <w:pStyle w:val="11"/>
      <w:spacing w:line="63" w:lineRule="auto"/>
      <w:rPr>
        <w:sz w:val="2"/>
      </w:rPr>
    </w:pPr>
    <w:r>
      <w:pict>
        <v:group id="_x0000_s4098" o:spid="_x0000_s4098" o:spt="203" style="position:absolute;left:0pt;margin-left:85.85pt;margin-top:773.85pt;height:0.85pt;width:451.9pt;mso-position-horizontal-relative:page;mso-position-vertical-relative:page;z-index:251659264;mso-width-relative:page;mso-height-relative:page;" coordsize="9037,17" o:allowincell="f">
          <o:lock v:ext="edit"/>
          <v:shape id="_x0000_s4099" o:spid="_x0000_s4099" style="position:absolute;left:0;top:7;height:2;width:9037;" fillcolor="#FFFFFF" filled="t" stroked="f" coordsize="9037,2" path="m0,0l9036,1e">
            <v:path/>
            <v:fill on="t" focussize="0,0"/>
            <v:stroke on="f"/>
            <v:imagedata o:title=""/>
            <o:lock v:ext="edit"/>
          </v:shape>
          <v:shape id="_x0000_s4100" o:spid="_x0000_s4100" style="position:absolute;left:0;top:0;height:17;width:9037;" filled="f" stroked="t" coordsize="9037,17" path="m0,7l9036,8e">
            <v:fill on="f" focussize="0,0"/>
            <v:stroke color="#000000" miterlimit="10" joinstyle="miter"/>
            <v:imagedata o:title=""/>
            <o:lock v:ext="edit"/>
          </v:shape>
        </v:group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2B6BACC">
    <w:pPr>
      <w:spacing w:line="166" w:lineRule="auto"/>
      <w:ind w:left="4327"/>
      <w:rPr>
        <w:rFonts w:ascii="Calibri" w:hAnsi="Calibri" w:eastAsia="Calibri" w:cs="Calibri"/>
        <w:sz w:val="18"/>
        <w:szCs w:val="18"/>
      </w:rPr>
    </w:pPr>
    <w:r>
      <w:rPr>
        <w:rFonts w:ascii="Calibri" w:hAnsi="Calibri" w:eastAsia="Calibri" w:cs="Calibri"/>
        <w:sz w:val="18"/>
        <w:szCs w:val="18"/>
      </w:rPr>
      <w:t>1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E25B8E3">
    <w:pPr>
      <w:spacing w:line="167" w:lineRule="auto"/>
      <w:ind w:left="4208"/>
      <w:rPr>
        <w:rFonts w:ascii="Calibri" w:hAnsi="Calibri" w:eastAsia="Calibri" w:cs="Calibri"/>
        <w:sz w:val="18"/>
        <w:szCs w:val="18"/>
      </w:rPr>
    </w:pPr>
    <w:r>
      <w:rPr>
        <w:rFonts w:ascii="Calibri" w:hAnsi="Calibri" w:eastAsia="Calibri" w:cs="Calibri"/>
        <w:sz w:val="18"/>
        <w:szCs w:val="18"/>
      </w:rPr>
      <w:t>2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9209967">
    <w:pPr>
      <w:pStyle w:val="11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34D2788">
    <w:pPr>
      <w:pStyle w:val="11"/>
      <w:spacing w:line="52" w:lineRule="auto"/>
      <w:rPr>
        <w:sz w:val="2"/>
      </w:rPr>
    </w:pPr>
    <w:r>
      <w:pict>
        <v:shape id="_x0000_s4097" o:spid="_x0000_s4097" style="position:absolute;left:0pt;margin-left:83.6pt;margin-top:54.5pt;height:0.75pt;width:428.15pt;mso-position-horizontal-relative:page;mso-position-vertical-relative:page;z-index:251660288;mso-width-relative:page;mso-height-relative:page;" filled="f" stroked="t" coordsize="8562,15" o:allowincell="f" path="m0,7l8562,7e">
          <v:fill on="f" focussize="0,0"/>
          <v:stroke color="#000000" miterlimit="10" joinstyle="miter"/>
          <v:imagedata o:title=""/>
          <o:lock v:ext="edit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5B31529">
    <w:pPr>
      <w:pStyle w:val="11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964DCE"/>
    <w:multiLevelType w:val="multilevel"/>
    <w:tmpl w:val="8E964DC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A4A5017F"/>
    <w:multiLevelType w:val="singleLevel"/>
    <w:tmpl w:val="A4A5017F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">
    <w:nsid w:val="BD509F96"/>
    <w:multiLevelType w:val="singleLevel"/>
    <w:tmpl w:val="BD509F96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3">
    <w:nsid w:val="1AD539FE"/>
    <w:multiLevelType w:val="singleLevel"/>
    <w:tmpl w:val="1AD539FE"/>
    <w:lvl w:ilvl="0" w:tentative="0">
      <w:start w:val="1"/>
      <w:numFmt w:val="decimal"/>
      <w:lvlText w:val="(%1)"/>
      <w:lvlJc w:val="left"/>
      <w:pPr>
        <w:ind w:left="635" w:hanging="425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characterSpacingControl w:val="doNotCompress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rsids>
    <w:rsidRoot w:val="00000000"/>
    <w:rsid w:val="005D2854"/>
    <w:rsid w:val="00782FF5"/>
    <w:rsid w:val="02353A89"/>
    <w:rsid w:val="029A0446"/>
    <w:rsid w:val="06905732"/>
    <w:rsid w:val="070E2AFA"/>
    <w:rsid w:val="073D0CEA"/>
    <w:rsid w:val="07807554"/>
    <w:rsid w:val="0808754A"/>
    <w:rsid w:val="08F0070A"/>
    <w:rsid w:val="099B050A"/>
    <w:rsid w:val="0CD10852"/>
    <w:rsid w:val="0DA815B3"/>
    <w:rsid w:val="0DF91865"/>
    <w:rsid w:val="0E503571"/>
    <w:rsid w:val="0E562251"/>
    <w:rsid w:val="0FAC4C5F"/>
    <w:rsid w:val="100638F8"/>
    <w:rsid w:val="12B74046"/>
    <w:rsid w:val="141A488D"/>
    <w:rsid w:val="1536197C"/>
    <w:rsid w:val="153B2D0D"/>
    <w:rsid w:val="156A0E93"/>
    <w:rsid w:val="16574B35"/>
    <w:rsid w:val="183121A5"/>
    <w:rsid w:val="18EB2C9C"/>
    <w:rsid w:val="1A4D7795"/>
    <w:rsid w:val="1B0818E3"/>
    <w:rsid w:val="1DAB2B18"/>
    <w:rsid w:val="1EE54F43"/>
    <w:rsid w:val="22342FBD"/>
    <w:rsid w:val="2241392C"/>
    <w:rsid w:val="22D17CD0"/>
    <w:rsid w:val="23270D74"/>
    <w:rsid w:val="23452FA8"/>
    <w:rsid w:val="234A44CD"/>
    <w:rsid w:val="24C26FA6"/>
    <w:rsid w:val="28321D4D"/>
    <w:rsid w:val="28942A08"/>
    <w:rsid w:val="29064F88"/>
    <w:rsid w:val="296F6FD1"/>
    <w:rsid w:val="2AC479D7"/>
    <w:rsid w:val="2DE81100"/>
    <w:rsid w:val="2F095A88"/>
    <w:rsid w:val="2F4326D1"/>
    <w:rsid w:val="2FEC4ED7"/>
    <w:rsid w:val="328B4E7C"/>
    <w:rsid w:val="329448A6"/>
    <w:rsid w:val="35C67F79"/>
    <w:rsid w:val="36C00E6C"/>
    <w:rsid w:val="39AE1450"/>
    <w:rsid w:val="39EC63F1"/>
    <w:rsid w:val="3A916DA7"/>
    <w:rsid w:val="3BD333EF"/>
    <w:rsid w:val="3BF70E8C"/>
    <w:rsid w:val="3DB37034"/>
    <w:rsid w:val="3EF773F5"/>
    <w:rsid w:val="411029F0"/>
    <w:rsid w:val="419A5ACF"/>
    <w:rsid w:val="438A4CDB"/>
    <w:rsid w:val="43BF2BD7"/>
    <w:rsid w:val="44CE29A6"/>
    <w:rsid w:val="45CE26E6"/>
    <w:rsid w:val="464E0242"/>
    <w:rsid w:val="465B470D"/>
    <w:rsid w:val="4867383D"/>
    <w:rsid w:val="49DC7913"/>
    <w:rsid w:val="4AE274E7"/>
    <w:rsid w:val="4BDA4326"/>
    <w:rsid w:val="4CB86415"/>
    <w:rsid w:val="4D994499"/>
    <w:rsid w:val="501C0729"/>
    <w:rsid w:val="50AC44E3"/>
    <w:rsid w:val="530323B4"/>
    <w:rsid w:val="55E738C7"/>
    <w:rsid w:val="577B69BD"/>
    <w:rsid w:val="583B7EFB"/>
    <w:rsid w:val="58DC1375"/>
    <w:rsid w:val="5ABA77FD"/>
    <w:rsid w:val="5CCF51F0"/>
    <w:rsid w:val="5CDB58A1"/>
    <w:rsid w:val="5CF27722"/>
    <w:rsid w:val="5E224037"/>
    <w:rsid w:val="5E541D16"/>
    <w:rsid w:val="5E59557E"/>
    <w:rsid w:val="5ECE7D1A"/>
    <w:rsid w:val="5F351B48"/>
    <w:rsid w:val="6014626A"/>
    <w:rsid w:val="60432042"/>
    <w:rsid w:val="61A905CB"/>
    <w:rsid w:val="61F77588"/>
    <w:rsid w:val="62662018"/>
    <w:rsid w:val="646E5E05"/>
    <w:rsid w:val="66042274"/>
    <w:rsid w:val="665E2C03"/>
    <w:rsid w:val="680C5410"/>
    <w:rsid w:val="68AA7102"/>
    <w:rsid w:val="6AF208ED"/>
    <w:rsid w:val="6FF255CE"/>
    <w:rsid w:val="713F6856"/>
    <w:rsid w:val="733F0D8F"/>
    <w:rsid w:val="73CD5D51"/>
    <w:rsid w:val="743D1A55"/>
    <w:rsid w:val="749D3FBF"/>
    <w:rsid w:val="75986327"/>
    <w:rsid w:val="75DE284A"/>
    <w:rsid w:val="770C0F88"/>
    <w:rsid w:val="793D7B1F"/>
    <w:rsid w:val="7AFD7566"/>
    <w:rsid w:val="7C43544C"/>
    <w:rsid w:val="7C920181"/>
    <w:rsid w:val="7CAD6D69"/>
    <w:rsid w:val="7D6E64F9"/>
    <w:rsid w:val="7DC46119"/>
    <w:rsid w:val="7E556B04"/>
    <w:rsid w:val="7ECF1219"/>
    <w:rsid w:val="7F4067B2"/>
    <w:rsid w:val="7FB623D9"/>
    <w:rsid w:val="7FFF5B2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7">
    <w:name w:val="Default Paragraph Font"/>
    <w:semiHidden/>
    <w:qFormat/>
    <w:uiPriority w:val="0"/>
  </w:style>
  <w:style w:type="table" w:default="1" w:styleId="1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12">
    <w:name w:val="toc 3"/>
    <w:basedOn w:val="1"/>
    <w:next w:val="1"/>
    <w:qFormat/>
    <w:uiPriority w:val="0"/>
    <w:pPr>
      <w:ind w:left="840" w:leftChars="400"/>
    </w:pPr>
  </w:style>
  <w:style w:type="paragraph" w:styleId="1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4">
    <w:name w:val="toc 1"/>
    <w:basedOn w:val="1"/>
    <w:next w:val="1"/>
    <w:qFormat/>
    <w:uiPriority w:val="0"/>
    <w:rPr>
      <w:rFonts w:ascii="Arial" w:hAnsi="Arial" w:eastAsia="Microsoft JhengHei"/>
      <w:sz w:val="24"/>
    </w:rPr>
  </w:style>
  <w:style w:type="paragraph" w:styleId="15">
    <w:name w:val="toc 2"/>
    <w:basedOn w:val="1"/>
    <w:next w:val="1"/>
    <w:qFormat/>
    <w:uiPriority w:val="0"/>
    <w:pPr>
      <w:ind w:left="420" w:leftChars="200"/>
    </w:pPr>
  </w:style>
  <w:style w:type="table" w:customStyle="1" w:styleId="18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9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paragraph" w:customStyle="1" w:styleId="20">
    <w:name w:val="柴_标题1"/>
    <w:basedOn w:val="2"/>
    <w:next w:val="1"/>
    <w:qFormat/>
    <w:uiPriority w:val="0"/>
    <w:pPr>
      <w:spacing w:before="100" w:after="90" w:line="360" w:lineRule="auto"/>
    </w:pPr>
    <w:rPr>
      <w:rFonts w:ascii="Arial" w:hAnsi="Arial" w:eastAsia="宋体"/>
      <w:sz w:val="32"/>
    </w:rPr>
  </w:style>
  <w:style w:type="paragraph" w:customStyle="1" w:styleId="21">
    <w:name w:val="柴_标题2"/>
    <w:basedOn w:val="3"/>
    <w:next w:val="1"/>
    <w:qFormat/>
    <w:uiPriority w:val="0"/>
    <w:pPr>
      <w:spacing w:line="360" w:lineRule="auto"/>
    </w:pPr>
    <w:rPr>
      <w:rFonts w:ascii="Arial" w:hAnsi="Arial" w:eastAsia="宋体"/>
      <w:sz w:val="28"/>
    </w:rPr>
  </w:style>
  <w:style w:type="paragraph" w:customStyle="1" w:styleId="22">
    <w:name w:val="柴_标题3"/>
    <w:basedOn w:val="4"/>
    <w:next w:val="1"/>
    <w:qFormat/>
    <w:uiPriority w:val="0"/>
    <w:pPr>
      <w:spacing w:line="360" w:lineRule="auto"/>
      <w:ind w:left="0" w:firstLine="472" w:firstLineChars="200"/>
    </w:pPr>
    <w:rPr>
      <w:rFonts w:ascii="宋体" w:hAnsi="宋体" w:eastAsia="宋体" w:cs="宋体"/>
      <w:spacing w:val="-2"/>
      <w:sz w:val="24"/>
      <w:szCs w:val="24"/>
    </w:rPr>
  </w:style>
  <w:style w:type="paragraph" w:customStyle="1" w:styleId="23">
    <w:name w:val="柴_目录"/>
    <w:basedOn w:val="1"/>
    <w:next w:val="11"/>
    <w:qFormat/>
    <w:uiPriority w:val="0"/>
    <w:pPr>
      <w:tabs>
        <w:tab w:val="right" w:leader="dot" w:pos="8442"/>
      </w:tabs>
      <w:ind w:left="0" w:leftChars="0"/>
    </w:pPr>
    <w:rPr>
      <w:rFonts w:ascii="Arial" w:hAnsi="Arial" w:eastAsia="Microsoft JhengHei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footer" Target="footer2.xml"/><Relationship Id="rId7" Type="http://schemas.openxmlformats.org/officeDocument/2006/relationships/header" Target="head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4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4097"/>
    <customShpInfo spid="_x0000_s4099"/>
    <customShpInfo spid="_x0000_s4100"/>
    <customShpInfo spid="_x0000_s409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6</Pages>
  <Words>1457</Words>
  <Characters>1601</Characters>
  <TotalTime>1</TotalTime>
  <ScaleCrop>false</ScaleCrop>
  <LinksUpToDate>false</LinksUpToDate>
  <CharactersWithSpaces>1734</CharactersWithSpaces>
  <Application>WPS Office_12.1.0.21915_F1E327BC-269C-435d-A152-05C5408002CA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2025-08-17T00:51:00Z</dcterms:created>
  <dc:creator>谢永刚</dc:creator>
  <cp:lastModifiedBy>郝宇</cp:lastModifiedBy>
  <dcterms:modified xsi:type="dcterms:W3CDTF">2025-08-28T04:46:08Z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wqlLaW5nc29mdCBQREYgdG8gV1BTIDExNQ</vt:lpwstr>
  </property>
  <property fmtid="{D5CDD505-2E9C-101B-9397-08002B2CF9AE}" pid="3" name="Created">
    <vt:filetime>2025-08-21T01:03:30Z</vt:filetime>
  </property>
  <property fmtid="{D5CDD505-2E9C-101B-9397-08002B2CF9AE}" pid="4" name="KSOTemplateDocerSaveRecord">
    <vt:lpwstr>eyJoZGlkIjoiMDY5NmFjMmM4ZTljMGJiZDAxN2JmYTc0NGI0NmFiNDgiLCJ1c2VySWQiOiIxMDc1MzgyOSJ9</vt:lpwstr>
  </property>
  <property fmtid="{D5CDD505-2E9C-101B-9397-08002B2CF9AE}" pid="5" name="KSOProductBuildVer">
    <vt:lpwstr>2052-12.1.0.21915</vt:lpwstr>
  </property>
  <property fmtid="{D5CDD505-2E9C-101B-9397-08002B2CF9AE}" pid="6" name="ICV">
    <vt:lpwstr>6AE8547ADC404C168D85BE2DE8C41801_12</vt:lpwstr>
  </property>
</Properties>
</file>