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5514B5">
      <w:pPr>
        <w:pStyle w:val="11"/>
        <w:spacing w:line="259" w:lineRule="auto"/>
      </w:pPr>
    </w:p>
    <w:p w14:paraId="48E7679F">
      <w:pPr>
        <w:pStyle w:val="11"/>
        <w:spacing w:line="260" w:lineRule="auto"/>
      </w:pPr>
    </w:p>
    <w:p w14:paraId="7B43A9D3">
      <w:pPr>
        <w:pStyle w:val="11"/>
        <w:spacing w:line="260" w:lineRule="auto"/>
      </w:pPr>
    </w:p>
    <w:p w14:paraId="76316443">
      <w:pPr>
        <w:pStyle w:val="11"/>
        <w:spacing w:line="260" w:lineRule="auto"/>
      </w:pPr>
    </w:p>
    <w:p w14:paraId="7F2D7D7C">
      <w:pPr>
        <w:pStyle w:val="11"/>
        <w:spacing w:line="260" w:lineRule="auto"/>
      </w:pPr>
    </w:p>
    <w:p w14:paraId="42C6C0C0">
      <w:pPr>
        <w:pStyle w:val="11"/>
        <w:spacing w:line="260" w:lineRule="auto"/>
      </w:pPr>
    </w:p>
    <w:p w14:paraId="55FC2BB1">
      <w:pPr>
        <w:pStyle w:val="11"/>
        <w:spacing w:line="260" w:lineRule="auto"/>
      </w:pPr>
    </w:p>
    <w:p w14:paraId="091929BF">
      <w:pPr>
        <w:pStyle w:val="11"/>
        <w:spacing w:line="260" w:lineRule="auto"/>
      </w:pPr>
    </w:p>
    <w:p w14:paraId="1C54C47D">
      <w:pPr>
        <w:pStyle w:val="11"/>
        <w:spacing w:line="260" w:lineRule="auto"/>
      </w:pPr>
    </w:p>
    <w:p w14:paraId="43C3E0B3">
      <w:pPr>
        <w:pStyle w:val="11"/>
        <w:spacing w:line="260" w:lineRule="auto"/>
      </w:pPr>
    </w:p>
    <w:p w14:paraId="3235DFA0">
      <w:pPr>
        <w:spacing w:before="169" w:line="218" w:lineRule="auto"/>
        <w:ind w:left="2753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5273"/>
      <w:r>
        <w:rPr>
          <w:rFonts w:ascii="宋体" w:hAnsi="宋体" w:eastAsia="宋体" w:cs="宋体"/>
          <w:b/>
          <w:bCs/>
          <w:spacing w:val="-11"/>
          <w:sz w:val="52"/>
          <w:szCs w:val="52"/>
        </w:rPr>
        <w:t>管理评审报告</w:t>
      </w:r>
      <w:bookmarkEnd w:id="0"/>
    </w:p>
    <w:p w14:paraId="29A170C3">
      <w:pPr>
        <w:pStyle w:val="11"/>
        <w:spacing w:line="251" w:lineRule="auto"/>
      </w:pPr>
    </w:p>
    <w:p w14:paraId="13231E21">
      <w:pPr>
        <w:pStyle w:val="11"/>
        <w:spacing w:line="251" w:lineRule="auto"/>
      </w:pPr>
    </w:p>
    <w:p w14:paraId="47056FCD">
      <w:pPr>
        <w:pStyle w:val="11"/>
        <w:spacing w:line="251" w:lineRule="auto"/>
      </w:pPr>
    </w:p>
    <w:p w14:paraId="638A8303">
      <w:pPr>
        <w:pStyle w:val="11"/>
        <w:spacing w:line="251" w:lineRule="auto"/>
      </w:pPr>
    </w:p>
    <w:p w14:paraId="2FF2A4C0">
      <w:pPr>
        <w:pStyle w:val="11"/>
        <w:spacing w:line="251" w:lineRule="auto"/>
      </w:pPr>
    </w:p>
    <w:p w14:paraId="054A6F7A">
      <w:pPr>
        <w:pStyle w:val="11"/>
        <w:spacing w:line="251" w:lineRule="auto"/>
      </w:pPr>
    </w:p>
    <w:p w14:paraId="730F23DB">
      <w:pPr>
        <w:pStyle w:val="11"/>
        <w:spacing w:line="251" w:lineRule="auto"/>
      </w:pPr>
    </w:p>
    <w:p w14:paraId="03CE5AC8">
      <w:pPr>
        <w:pStyle w:val="11"/>
        <w:spacing w:line="251" w:lineRule="auto"/>
      </w:pPr>
    </w:p>
    <w:p w14:paraId="05D80492">
      <w:pPr>
        <w:pStyle w:val="11"/>
        <w:spacing w:line="251" w:lineRule="auto"/>
      </w:pPr>
    </w:p>
    <w:p w14:paraId="0F21EFEE">
      <w:pPr>
        <w:pStyle w:val="11"/>
        <w:spacing w:line="252" w:lineRule="auto"/>
      </w:pPr>
    </w:p>
    <w:p w14:paraId="4567142F">
      <w:pPr>
        <w:pStyle w:val="11"/>
        <w:spacing w:line="252" w:lineRule="auto"/>
      </w:pPr>
    </w:p>
    <w:p w14:paraId="59DD4A90">
      <w:pPr>
        <w:pStyle w:val="11"/>
        <w:spacing w:line="252" w:lineRule="auto"/>
      </w:pPr>
    </w:p>
    <w:p w14:paraId="114FBF72">
      <w:pPr>
        <w:pStyle w:val="11"/>
        <w:spacing w:line="252" w:lineRule="auto"/>
      </w:pPr>
    </w:p>
    <w:p w14:paraId="30DB05B4">
      <w:pPr>
        <w:pStyle w:val="11"/>
        <w:spacing w:line="252" w:lineRule="auto"/>
      </w:pPr>
    </w:p>
    <w:p w14:paraId="3FAED256">
      <w:pPr>
        <w:pStyle w:val="11"/>
        <w:spacing w:line="252" w:lineRule="auto"/>
      </w:pPr>
    </w:p>
    <w:p w14:paraId="4D097C15">
      <w:pPr>
        <w:pStyle w:val="11"/>
        <w:spacing w:line="252" w:lineRule="auto"/>
      </w:pPr>
    </w:p>
    <w:p w14:paraId="7ADC20EE">
      <w:pPr>
        <w:spacing w:line="1293" w:lineRule="exact"/>
        <w:ind w:firstLine="2360"/>
      </w:pPr>
      <w:r>
        <w:rPr>
          <w:position w:val="-25"/>
        </w:rPr>
        <w:drawing>
          <wp:inline distT="0" distB="0" distL="0" distR="0">
            <wp:extent cx="2743200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4C0C">
      <w:pPr>
        <w:pStyle w:val="11"/>
        <w:spacing w:line="252" w:lineRule="auto"/>
      </w:pPr>
    </w:p>
    <w:p w14:paraId="0C5A1BA1">
      <w:pPr>
        <w:pStyle w:val="11"/>
        <w:spacing w:line="252" w:lineRule="auto"/>
      </w:pPr>
    </w:p>
    <w:p w14:paraId="4991C25A">
      <w:pPr>
        <w:pStyle w:val="11"/>
        <w:spacing w:line="252" w:lineRule="auto"/>
      </w:pPr>
    </w:p>
    <w:p w14:paraId="0F43B603">
      <w:pPr>
        <w:pStyle w:val="11"/>
        <w:spacing w:line="252" w:lineRule="auto"/>
      </w:pPr>
    </w:p>
    <w:p w14:paraId="0B2173F1">
      <w:pPr>
        <w:pStyle w:val="11"/>
        <w:spacing w:line="252" w:lineRule="auto"/>
      </w:pPr>
    </w:p>
    <w:p w14:paraId="49F1FB39">
      <w:pPr>
        <w:pStyle w:val="11"/>
        <w:spacing w:line="252" w:lineRule="auto"/>
      </w:pPr>
    </w:p>
    <w:p w14:paraId="547D50B8">
      <w:pPr>
        <w:pStyle w:val="11"/>
        <w:spacing w:line="252" w:lineRule="auto"/>
      </w:pPr>
    </w:p>
    <w:p w14:paraId="148FC5D7">
      <w:pPr>
        <w:pStyle w:val="11"/>
        <w:spacing w:line="252" w:lineRule="auto"/>
      </w:pPr>
    </w:p>
    <w:p w14:paraId="60E18CBA">
      <w:pPr>
        <w:pStyle w:val="11"/>
        <w:spacing w:line="252" w:lineRule="auto"/>
      </w:pPr>
    </w:p>
    <w:p w14:paraId="42196DFD">
      <w:pPr>
        <w:pStyle w:val="11"/>
        <w:spacing w:line="252" w:lineRule="auto"/>
      </w:pPr>
    </w:p>
    <w:p w14:paraId="2961A821">
      <w:pPr>
        <w:pStyle w:val="11"/>
        <w:spacing w:line="252" w:lineRule="auto"/>
      </w:pPr>
    </w:p>
    <w:p w14:paraId="3A1BC0B8">
      <w:pPr>
        <w:pStyle w:val="11"/>
        <w:spacing w:line="252" w:lineRule="auto"/>
      </w:pPr>
    </w:p>
    <w:p w14:paraId="0AEA5167">
      <w:pPr>
        <w:pStyle w:val="11"/>
        <w:spacing w:line="252" w:lineRule="auto"/>
      </w:pPr>
    </w:p>
    <w:p w14:paraId="4CC6C853">
      <w:pPr>
        <w:spacing w:before="117" w:line="219" w:lineRule="auto"/>
        <w:ind w:left="177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5A343E3D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headerReference r:id="rId5" w:type="default"/>
          <w:footerReference r:id="rId6" w:type="default"/>
          <w:pgSz w:w="11906" w:h="16839"/>
          <w:pgMar w:top="1105" w:right="1151" w:bottom="1360" w:left="1672" w:header="1090" w:footer="1344" w:gutter="0"/>
          <w:cols w:space="720" w:num="1"/>
        </w:sectPr>
      </w:pPr>
    </w:p>
    <w:p w14:paraId="1AAD4F17">
      <w:pPr>
        <w:pStyle w:val="11"/>
        <w:spacing w:line="277" w:lineRule="auto"/>
      </w:pPr>
    </w:p>
    <w:p w14:paraId="554EFBFC">
      <w:pPr>
        <w:pStyle w:val="11"/>
        <w:spacing w:line="277" w:lineRule="auto"/>
      </w:pPr>
    </w:p>
    <w:p w14:paraId="7A7947C9">
      <w:pPr>
        <w:pStyle w:val="11"/>
        <w:spacing w:line="278" w:lineRule="auto"/>
      </w:pPr>
    </w:p>
    <w:p w14:paraId="4C1DE5E9">
      <w:pPr>
        <w:pStyle w:val="11"/>
        <w:spacing w:line="278" w:lineRule="auto"/>
      </w:pPr>
    </w:p>
    <w:p w14:paraId="22CDB573">
      <w:pPr>
        <w:pStyle w:val="11"/>
        <w:spacing w:line="278" w:lineRule="auto"/>
      </w:pPr>
    </w:p>
    <w:p w14:paraId="3DFE6D57">
      <w:pPr>
        <w:spacing w:before="91" w:line="220" w:lineRule="auto"/>
        <w:ind w:left="3811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850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1007B5DD">
      <w:pPr>
        <w:spacing w:line="131" w:lineRule="exact"/>
      </w:pPr>
    </w:p>
    <w:tbl>
      <w:tblPr>
        <w:tblStyle w:val="18"/>
        <w:tblW w:w="915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4"/>
        <w:gridCol w:w="1697"/>
        <w:gridCol w:w="2342"/>
        <w:gridCol w:w="1983"/>
        <w:gridCol w:w="1564"/>
      </w:tblGrid>
      <w:tr w14:paraId="4B8B63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564" w:type="dxa"/>
            <w:vAlign w:val="top"/>
          </w:tcPr>
          <w:p w14:paraId="329BB97D">
            <w:pPr>
              <w:pStyle w:val="19"/>
              <w:spacing w:before="125" w:line="325" w:lineRule="auto"/>
              <w:ind w:left="117" w:right="251" w:hanging="3"/>
            </w:pPr>
            <w:r>
              <w:rPr>
                <w:spacing w:val="-3"/>
              </w:rPr>
              <w:t>文档名称编</w:t>
            </w:r>
            <w:r>
              <w:t>号</w:t>
            </w:r>
          </w:p>
        </w:tc>
        <w:tc>
          <w:tcPr>
            <w:tcW w:w="7586" w:type="dxa"/>
            <w:gridSpan w:val="4"/>
            <w:vAlign w:val="top"/>
          </w:tcPr>
          <w:p w14:paraId="45662A9C">
            <w:pPr>
              <w:spacing w:line="291" w:lineRule="auto"/>
              <w:rPr>
                <w:rFonts w:ascii="Arial"/>
                <w:sz w:val="21"/>
              </w:rPr>
            </w:pPr>
          </w:p>
          <w:p w14:paraId="253B1D16">
            <w:pPr>
              <w:pStyle w:val="19"/>
              <w:spacing w:before="78" w:line="218" w:lineRule="auto"/>
              <w:ind w:left="115"/>
            </w:pPr>
            <w:r>
              <w:rPr>
                <w:spacing w:val="-1"/>
              </w:rPr>
              <w:t>管理评审报告（HHLC-ITSS-GLPSBG）</w:t>
            </w:r>
          </w:p>
        </w:tc>
      </w:tr>
      <w:tr w14:paraId="375D74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7C4E1570">
            <w:pPr>
              <w:pStyle w:val="19"/>
              <w:spacing w:before="182" w:line="220" w:lineRule="auto"/>
              <w:ind w:left="114"/>
            </w:pPr>
            <w:r>
              <w:rPr>
                <w:spacing w:val="-3"/>
              </w:rPr>
              <w:t>编制单位</w:t>
            </w:r>
          </w:p>
        </w:tc>
        <w:tc>
          <w:tcPr>
            <w:tcW w:w="7586" w:type="dxa"/>
            <w:gridSpan w:val="4"/>
            <w:vAlign w:val="top"/>
          </w:tcPr>
          <w:p w14:paraId="61D61006">
            <w:pPr>
              <w:pStyle w:val="19"/>
              <w:spacing w:before="182" w:line="219" w:lineRule="auto"/>
              <w:ind w:left="109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0951C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4A5082B6">
            <w:pPr>
              <w:pStyle w:val="19"/>
              <w:spacing w:before="184" w:line="220" w:lineRule="auto"/>
              <w:ind w:left="114"/>
            </w:pPr>
            <w:r>
              <w:rPr>
                <w:spacing w:val="-3"/>
              </w:rPr>
              <w:t>文档密级</w:t>
            </w:r>
          </w:p>
        </w:tc>
        <w:tc>
          <w:tcPr>
            <w:tcW w:w="7586" w:type="dxa"/>
            <w:gridSpan w:val="4"/>
            <w:vAlign w:val="top"/>
          </w:tcPr>
          <w:p w14:paraId="7323108E">
            <w:pPr>
              <w:pStyle w:val="19"/>
              <w:spacing w:before="184" w:line="220" w:lineRule="auto"/>
              <w:ind w:left="108"/>
            </w:pPr>
            <w:r>
              <w:rPr>
                <w:spacing w:val="-3"/>
              </w:rPr>
              <w:t>秘密</w:t>
            </w:r>
          </w:p>
        </w:tc>
      </w:tr>
      <w:tr w14:paraId="315F1C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153DABF0">
            <w:pPr>
              <w:pStyle w:val="19"/>
              <w:spacing w:before="186" w:line="219" w:lineRule="auto"/>
              <w:ind w:left="306"/>
            </w:pPr>
            <w:r>
              <w:rPr>
                <w:spacing w:val="-3"/>
              </w:rPr>
              <w:t>文档版本</w:t>
            </w:r>
          </w:p>
        </w:tc>
        <w:tc>
          <w:tcPr>
            <w:tcW w:w="1697" w:type="dxa"/>
            <w:vAlign w:val="top"/>
          </w:tcPr>
          <w:p w14:paraId="050110BF">
            <w:pPr>
              <w:pStyle w:val="19"/>
              <w:spacing w:before="186" w:line="219" w:lineRule="auto"/>
              <w:ind w:left="371"/>
            </w:pPr>
            <w:r>
              <w:rPr>
                <w:spacing w:val="-2"/>
              </w:rPr>
              <w:t>版本日期</w:t>
            </w:r>
          </w:p>
        </w:tc>
        <w:tc>
          <w:tcPr>
            <w:tcW w:w="2342" w:type="dxa"/>
            <w:vAlign w:val="top"/>
          </w:tcPr>
          <w:p w14:paraId="02ECCF8B">
            <w:pPr>
              <w:pStyle w:val="19"/>
              <w:spacing w:before="186" w:line="219" w:lineRule="auto"/>
              <w:ind w:left="696"/>
            </w:pPr>
            <w:r>
              <w:rPr>
                <w:spacing w:val="-2"/>
              </w:rPr>
              <w:t>版本说明</w:t>
            </w:r>
          </w:p>
        </w:tc>
        <w:tc>
          <w:tcPr>
            <w:tcW w:w="1983" w:type="dxa"/>
            <w:vAlign w:val="top"/>
          </w:tcPr>
          <w:p w14:paraId="7B5D8D3C">
            <w:pPr>
              <w:pStyle w:val="19"/>
              <w:spacing w:before="187" w:line="220" w:lineRule="auto"/>
              <w:ind w:left="758"/>
            </w:pPr>
            <w:r>
              <w:rPr>
                <w:spacing w:val="-3"/>
              </w:rPr>
              <w:t>作者</w:t>
            </w:r>
          </w:p>
        </w:tc>
        <w:tc>
          <w:tcPr>
            <w:tcW w:w="1564" w:type="dxa"/>
            <w:vAlign w:val="top"/>
          </w:tcPr>
          <w:p w14:paraId="7F1D93A1">
            <w:pPr>
              <w:pStyle w:val="19"/>
              <w:spacing w:before="187" w:line="220" w:lineRule="auto"/>
              <w:ind w:left="560"/>
            </w:pPr>
            <w:r>
              <w:rPr>
                <w:spacing w:val="-6"/>
              </w:rPr>
              <w:t>审核</w:t>
            </w:r>
          </w:p>
        </w:tc>
      </w:tr>
      <w:tr w14:paraId="24408D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564" w:type="dxa"/>
            <w:vAlign w:val="top"/>
          </w:tcPr>
          <w:p w14:paraId="4D280FCC">
            <w:pPr>
              <w:pStyle w:val="19"/>
              <w:spacing w:before="162" w:line="239" w:lineRule="auto"/>
              <w:ind w:left="539"/>
            </w:pPr>
            <w:r>
              <w:rPr>
                <w:spacing w:val="-1"/>
              </w:rPr>
              <w:t>V1.0</w:t>
            </w:r>
          </w:p>
        </w:tc>
        <w:tc>
          <w:tcPr>
            <w:tcW w:w="1697" w:type="dxa"/>
            <w:vAlign w:val="top"/>
          </w:tcPr>
          <w:p w14:paraId="02768055">
            <w:pPr>
              <w:pStyle w:val="19"/>
              <w:spacing w:before="162"/>
              <w:ind w:left="313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2025-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26</w:t>
            </w:r>
          </w:p>
        </w:tc>
        <w:tc>
          <w:tcPr>
            <w:tcW w:w="2342" w:type="dxa"/>
            <w:vAlign w:val="top"/>
          </w:tcPr>
          <w:p w14:paraId="7CFE3A21">
            <w:pPr>
              <w:pStyle w:val="19"/>
              <w:spacing w:before="128" w:line="219" w:lineRule="auto"/>
              <w:ind w:left="699"/>
            </w:pPr>
            <w:r>
              <w:rPr>
                <w:spacing w:val="-3"/>
              </w:rPr>
              <w:t>发布版本</w:t>
            </w:r>
          </w:p>
        </w:tc>
        <w:tc>
          <w:tcPr>
            <w:tcW w:w="1983" w:type="dxa"/>
            <w:vAlign w:val="top"/>
          </w:tcPr>
          <w:p w14:paraId="17BE787E">
            <w:pPr>
              <w:pStyle w:val="19"/>
              <w:spacing w:before="128" w:line="220" w:lineRule="auto"/>
              <w:ind w:left="639"/>
            </w:pPr>
            <w:r>
              <w:rPr>
                <w:spacing w:val="-3"/>
              </w:rPr>
              <w:t>王予婷</w:t>
            </w:r>
          </w:p>
        </w:tc>
        <w:tc>
          <w:tcPr>
            <w:tcW w:w="1564" w:type="dxa"/>
            <w:vAlign w:val="top"/>
          </w:tcPr>
          <w:p w14:paraId="57547D4C">
            <w:pPr>
              <w:pStyle w:val="19"/>
              <w:spacing w:before="128" w:line="220" w:lineRule="auto"/>
              <w:ind w:left="433"/>
            </w:pPr>
            <w:r>
              <w:rPr>
                <w:spacing w:val="-4"/>
              </w:rPr>
              <w:t>张仲全</w:t>
            </w:r>
          </w:p>
        </w:tc>
      </w:tr>
      <w:tr w14:paraId="313348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564" w:type="dxa"/>
            <w:vAlign w:val="top"/>
          </w:tcPr>
          <w:p w14:paraId="3FA09CB3">
            <w:pPr>
              <w:rPr>
                <w:rFonts w:ascii="Arial"/>
                <w:sz w:val="21"/>
              </w:rPr>
            </w:pPr>
          </w:p>
        </w:tc>
        <w:tc>
          <w:tcPr>
            <w:tcW w:w="1697" w:type="dxa"/>
            <w:vAlign w:val="top"/>
          </w:tcPr>
          <w:p w14:paraId="230DE073">
            <w:pPr>
              <w:rPr>
                <w:rFonts w:ascii="Arial"/>
                <w:sz w:val="21"/>
              </w:rPr>
            </w:pPr>
          </w:p>
        </w:tc>
        <w:tc>
          <w:tcPr>
            <w:tcW w:w="2342" w:type="dxa"/>
            <w:vAlign w:val="top"/>
          </w:tcPr>
          <w:p w14:paraId="3E07BCF6">
            <w:pPr>
              <w:rPr>
                <w:rFonts w:ascii="Arial"/>
                <w:sz w:val="21"/>
              </w:rPr>
            </w:pPr>
          </w:p>
        </w:tc>
        <w:tc>
          <w:tcPr>
            <w:tcW w:w="1983" w:type="dxa"/>
            <w:vAlign w:val="top"/>
          </w:tcPr>
          <w:p w14:paraId="2F85627F">
            <w:pPr>
              <w:rPr>
                <w:rFonts w:ascii="Arial"/>
                <w:sz w:val="21"/>
              </w:rPr>
            </w:pPr>
          </w:p>
        </w:tc>
        <w:tc>
          <w:tcPr>
            <w:tcW w:w="1564" w:type="dxa"/>
            <w:vAlign w:val="top"/>
          </w:tcPr>
          <w:p w14:paraId="7C0E90C4">
            <w:pPr>
              <w:rPr>
                <w:rFonts w:ascii="Arial"/>
                <w:sz w:val="21"/>
              </w:rPr>
            </w:pPr>
          </w:p>
        </w:tc>
      </w:tr>
      <w:tr w14:paraId="0903AD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564" w:type="dxa"/>
            <w:vAlign w:val="top"/>
          </w:tcPr>
          <w:p w14:paraId="437F3DFD">
            <w:pPr>
              <w:rPr>
                <w:rFonts w:ascii="Arial"/>
                <w:sz w:val="21"/>
              </w:rPr>
            </w:pPr>
          </w:p>
        </w:tc>
        <w:tc>
          <w:tcPr>
            <w:tcW w:w="1697" w:type="dxa"/>
            <w:vAlign w:val="top"/>
          </w:tcPr>
          <w:p w14:paraId="54F91CF6">
            <w:pPr>
              <w:rPr>
                <w:rFonts w:ascii="Arial"/>
                <w:sz w:val="21"/>
              </w:rPr>
            </w:pPr>
          </w:p>
        </w:tc>
        <w:tc>
          <w:tcPr>
            <w:tcW w:w="2342" w:type="dxa"/>
            <w:vAlign w:val="top"/>
          </w:tcPr>
          <w:p w14:paraId="2DB0A541">
            <w:pPr>
              <w:rPr>
                <w:rFonts w:ascii="Arial"/>
                <w:sz w:val="21"/>
              </w:rPr>
            </w:pPr>
          </w:p>
        </w:tc>
        <w:tc>
          <w:tcPr>
            <w:tcW w:w="1983" w:type="dxa"/>
            <w:vAlign w:val="top"/>
          </w:tcPr>
          <w:p w14:paraId="30FC469A">
            <w:pPr>
              <w:rPr>
                <w:rFonts w:ascii="Arial"/>
                <w:sz w:val="21"/>
              </w:rPr>
            </w:pPr>
          </w:p>
        </w:tc>
        <w:tc>
          <w:tcPr>
            <w:tcW w:w="1564" w:type="dxa"/>
            <w:vAlign w:val="top"/>
          </w:tcPr>
          <w:p w14:paraId="5EE241C1">
            <w:pPr>
              <w:rPr>
                <w:rFonts w:ascii="Arial"/>
                <w:sz w:val="21"/>
              </w:rPr>
            </w:pPr>
          </w:p>
        </w:tc>
      </w:tr>
    </w:tbl>
    <w:p w14:paraId="08A29D28">
      <w:pPr>
        <w:pStyle w:val="11"/>
      </w:pPr>
    </w:p>
    <w:p w14:paraId="10E71E5E">
      <w:pPr>
        <w:sectPr>
          <w:headerReference r:id="rId7" w:type="default"/>
          <w:footerReference r:id="rId8" w:type="default"/>
          <w:pgSz w:w="11906" w:h="16839"/>
          <w:pgMar w:top="400" w:right="1150" w:bottom="1233" w:left="1595" w:header="0" w:footer="1070" w:gutter="0"/>
          <w:cols w:space="720" w:num="1"/>
        </w:sectPr>
      </w:pPr>
    </w:p>
    <w:p w14:paraId="73711C09">
      <w:pPr>
        <w:pStyle w:val="11"/>
        <w:spacing w:line="254" w:lineRule="auto"/>
      </w:pPr>
    </w:p>
    <w:p w14:paraId="76F5746D">
      <w:pPr>
        <w:pStyle w:val="11"/>
        <w:spacing w:line="254" w:lineRule="auto"/>
      </w:pPr>
    </w:p>
    <w:p w14:paraId="00067C5F">
      <w:pPr>
        <w:pStyle w:val="11"/>
        <w:spacing w:line="254" w:lineRule="auto"/>
      </w:pPr>
    </w:p>
    <w:p w14:paraId="32B919CF">
      <w:pPr>
        <w:pStyle w:val="11"/>
        <w:spacing w:line="255" w:lineRule="auto"/>
      </w:pPr>
    </w:p>
    <w:p w14:paraId="394B34DB">
      <w:pPr>
        <w:pStyle w:val="11"/>
        <w:spacing w:line="255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889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5D408BE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643D3B6">
          <w:pPr>
            <w:pStyle w:val="14"/>
            <w:tabs>
              <w:tab w:val="right" w:leader="dot" w:pos="8487"/>
            </w:tabs>
          </w:pPr>
          <w:r>
            <w:rPr>
              <w:rFonts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ascii="宋体" w:hAnsi="宋体" w:eastAsia="宋体" w:cs="宋体"/>
              <w:szCs w:val="24"/>
            </w:rPr>
            <w:fldChar w:fldCharType="begin"/>
          </w:r>
          <w:r>
            <w:rPr>
              <w:rFonts w:ascii="宋体" w:hAnsi="宋体" w:eastAsia="宋体" w:cs="宋体"/>
              <w:szCs w:val="24"/>
            </w:rPr>
            <w:instrText xml:space="preserve"> HYPERLINK \l _Toc5273 </w:instrText>
          </w:r>
          <w:r>
            <w:rPr>
              <w:rFonts w:ascii="宋体" w:hAnsi="宋体" w:eastAsia="宋体" w:cs="宋体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11"/>
              <w:szCs w:val="52"/>
            </w:rPr>
            <w:t>管理评审报告</w:t>
          </w:r>
          <w:r>
            <w:tab/>
          </w:r>
          <w:r>
            <w:fldChar w:fldCharType="begin"/>
          </w:r>
          <w:r>
            <w:instrText xml:space="preserve"> PAGEREF _Toc5273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宋体" w:hAnsi="宋体" w:eastAsia="宋体" w:cs="宋体"/>
              <w:szCs w:val="24"/>
            </w:rPr>
            <w:fldChar w:fldCharType="end"/>
          </w:r>
        </w:p>
        <w:p w14:paraId="7837ACC4">
          <w:pPr>
            <w:pStyle w:val="14"/>
            <w:tabs>
              <w:tab w:val="right" w:leader="dot" w:pos="8487"/>
            </w:tabs>
          </w:pPr>
          <w:r>
            <w:rPr>
              <w:rFonts w:ascii="宋体" w:hAnsi="宋体" w:eastAsia="宋体" w:cs="宋体"/>
              <w:szCs w:val="24"/>
            </w:rPr>
            <w:fldChar w:fldCharType="begin"/>
          </w:r>
          <w:r>
            <w:rPr>
              <w:rFonts w:ascii="宋体" w:hAnsi="宋体" w:eastAsia="宋体" w:cs="宋体"/>
              <w:szCs w:val="24"/>
            </w:rPr>
            <w:instrText xml:space="preserve"> HYPERLINK \l _Toc850 </w:instrText>
          </w:r>
          <w:r>
            <w:rPr>
              <w:rFonts w:ascii="宋体" w:hAnsi="宋体" w:eastAsia="宋体" w:cs="宋体"/>
              <w:szCs w:val="24"/>
            </w:rPr>
            <w:fldChar w:fldCharType="separate"/>
          </w:r>
          <w:r>
            <w:rPr>
              <w:rFonts w:ascii="宋体" w:hAnsi="宋体" w:eastAsia="宋体" w:cs="宋体"/>
              <w:spacing w:val="-3"/>
              <w:szCs w:val="28"/>
            </w:rPr>
            <w:t>文档信息</w:t>
          </w:r>
          <w:r>
            <w:tab/>
          </w:r>
          <w:r>
            <w:fldChar w:fldCharType="begin"/>
          </w:r>
          <w:r>
            <w:instrText xml:space="preserve"> PAGEREF _Toc850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 w:cs="宋体"/>
              <w:szCs w:val="24"/>
            </w:rPr>
            <w:fldChar w:fldCharType="end"/>
          </w:r>
        </w:p>
        <w:p w14:paraId="2C9E52F1">
          <w:pPr>
            <w:pStyle w:val="14"/>
            <w:tabs>
              <w:tab w:val="right" w:leader="dot" w:pos="8487"/>
            </w:tabs>
          </w:pPr>
          <w:r>
            <w:rPr>
              <w:rFonts w:ascii="宋体" w:hAnsi="宋体" w:eastAsia="宋体" w:cs="宋体"/>
              <w:szCs w:val="24"/>
            </w:rPr>
            <w:fldChar w:fldCharType="begin"/>
          </w:r>
          <w:r>
            <w:rPr>
              <w:rFonts w:ascii="宋体" w:hAnsi="宋体" w:eastAsia="宋体" w:cs="宋体"/>
              <w:szCs w:val="24"/>
            </w:rPr>
            <w:instrText xml:space="preserve"> HYPERLINK \l _Toc15418 </w:instrText>
          </w:r>
          <w:r>
            <w:rPr>
              <w:rFonts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审核目的</w:t>
          </w:r>
          <w:r>
            <w:tab/>
          </w:r>
          <w:r>
            <w:fldChar w:fldCharType="begin"/>
          </w:r>
          <w:r>
            <w:instrText xml:space="preserve"> PAGEREF _Toc15418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 w:cs="宋体"/>
              <w:szCs w:val="24"/>
            </w:rPr>
            <w:fldChar w:fldCharType="end"/>
          </w:r>
        </w:p>
        <w:p w14:paraId="4D44E1AA">
          <w:pPr>
            <w:pStyle w:val="14"/>
            <w:tabs>
              <w:tab w:val="right" w:leader="dot" w:pos="8487"/>
            </w:tabs>
          </w:pPr>
          <w:r>
            <w:rPr>
              <w:rFonts w:ascii="宋体" w:hAnsi="宋体" w:eastAsia="宋体" w:cs="宋体"/>
              <w:szCs w:val="24"/>
            </w:rPr>
            <w:fldChar w:fldCharType="begin"/>
          </w:r>
          <w:r>
            <w:rPr>
              <w:rFonts w:ascii="宋体" w:hAnsi="宋体" w:eastAsia="宋体" w:cs="宋体"/>
              <w:szCs w:val="24"/>
            </w:rPr>
            <w:instrText xml:space="preserve"> HYPERLINK \l _Toc17018 </w:instrText>
          </w:r>
          <w:r>
            <w:rPr>
              <w:rFonts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审核依据</w:t>
          </w:r>
          <w:r>
            <w:tab/>
          </w:r>
          <w:r>
            <w:fldChar w:fldCharType="begin"/>
          </w:r>
          <w:r>
            <w:instrText xml:space="preserve"> PAGEREF _Toc17018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 w:cs="宋体"/>
              <w:szCs w:val="24"/>
            </w:rPr>
            <w:fldChar w:fldCharType="end"/>
          </w:r>
        </w:p>
        <w:p w14:paraId="74FA3AA0">
          <w:pPr>
            <w:pStyle w:val="14"/>
            <w:tabs>
              <w:tab w:val="right" w:leader="dot" w:pos="8487"/>
            </w:tabs>
          </w:pPr>
          <w:r>
            <w:rPr>
              <w:rFonts w:ascii="宋体" w:hAnsi="宋体" w:eastAsia="宋体" w:cs="宋体"/>
              <w:szCs w:val="24"/>
            </w:rPr>
            <w:fldChar w:fldCharType="begin"/>
          </w:r>
          <w:r>
            <w:rPr>
              <w:rFonts w:ascii="宋体" w:hAnsi="宋体" w:eastAsia="宋体" w:cs="宋体"/>
              <w:szCs w:val="24"/>
            </w:rPr>
            <w:instrText xml:space="preserve"> HYPERLINK \l _Toc7231 </w:instrText>
          </w:r>
          <w:r>
            <w:rPr>
              <w:rFonts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参会人员</w:t>
          </w:r>
          <w:r>
            <w:tab/>
          </w:r>
          <w:r>
            <w:fldChar w:fldCharType="begin"/>
          </w:r>
          <w:r>
            <w:instrText xml:space="preserve"> PAGEREF _Toc7231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 w:cs="宋体"/>
              <w:szCs w:val="24"/>
            </w:rPr>
            <w:fldChar w:fldCharType="end"/>
          </w:r>
        </w:p>
        <w:p w14:paraId="588D8078">
          <w:pPr>
            <w:pStyle w:val="14"/>
            <w:tabs>
              <w:tab w:val="right" w:leader="dot" w:pos="8487"/>
            </w:tabs>
          </w:pPr>
          <w:r>
            <w:rPr>
              <w:rFonts w:ascii="宋体" w:hAnsi="宋体" w:eastAsia="宋体" w:cs="宋体"/>
              <w:szCs w:val="24"/>
            </w:rPr>
            <w:fldChar w:fldCharType="begin"/>
          </w:r>
          <w:r>
            <w:rPr>
              <w:rFonts w:ascii="宋体" w:hAnsi="宋体" w:eastAsia="宋体" w:cs="宋体"/>
              <w:szCs w:val="24"/>
            </w:rPr>
            <w:instrText xml:space="preserve"> HYPERLINK \l _Toc2836 </w:instrText>
          </w:r>
          <w:r>
            <w:rPr>
              <w:rFonts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评审主要步骤</w:t>
          </w:r>
          <w:r>
            <w:tab/>
          </w:r>
          <w:r>
            <w:fldChar w:fldCharType="begin"/>
          </w:r>
          <w:r>
            <w:instrText xml:space="preserve"> PAGEREF _Toc2836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 w:cs="宋体"/>
              <w:szCs w:val="24"/>
            </w:rPr>
            <w:fldChar w:fldCharType="end"/>
          </w:r>
        </w:p>
        <w:p w14:paraId="6FC25715">
          <w:pPr>
            <w:pStyle w:val="14"/>
            <w:tabs>
              <w:tab w:val="right" w:leader="dot" w:pos="8487"/>
            </w:tabs>
          </w:pPr>
          <w:r>
            <w:rPr>
              <w:rFonts w:ascii="宋体" w:hAnsi="宋体" w:eastAsia="宋体" w:cs="宋体"/>
              <w:szCs w:val="24"/>
            </w:rPr>
            <w:fldChar w:fldCharType="begin"/>
          </w:r>
          <w:r>
            <w:rPr>
              <w:rFonts w:ascii="宋体" w:hAnsi="宋体" w:eastAsia="宋体" w:cs="宋体"/>
              <w:szCs w:val="24"/>
            </w:rPr>
            <w:instrText xml:space="preserve"> HYPERLINK \l _Toc17694 </w:instrText>
          </w:r>
          <w:r>
            <w:rPr>
              <w:rFonts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t>评审内容</w:t>
          </w:r>
          <w:r>
            <w:tab/>
          </w:r>
          <w:r>
            <w:fldChar w:fldCharType="begin"/>
          </w:r>
          <w:r>
            <w:instrText xml:space="preserve"> PAGEREF _Toc17694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 w:cs="宋体"/>
              <w:szCs w:val="24"/>
            </w:rPr>
            <w:fldChar w:fldCharType="end"/>
          </w:r>
        </w:p>
        <w:p w14:paraId="54A25A59">
          <w:pPr>
            <w:pStyle w:val="14"/>
            <w:tabs>
              <w:tab w:val="right" w:leader="dot" w:pos="8487"/>
            </w:tabs>
          </w:pPr>
          <w:r>
            <w:rPr>
              <w:rFonts w:ascii="宋体" w:hAnsi="宋体" w:eastAsia="宋体" w:cs="宋体"/>
              <w:szCs w:val="24"/>
            </w:rPr>
            <w:fldChar w:fldCharType="begin"/>
          </w:r>
          <w:r>
            <w:rPr>
              <w:rFonts w:ascii="宋体" w:hAnsi="宋体" w:eastAsia="宋体" w:cs="宋体"/>
              <w:szCs w:val="24"/>
            </w:rPr>
            <w:instrText xml:space="preserve"> HYPERLINK \l _Toc21136 </w:instrText>
          </w:r>
          <w:r>
            <w:rPr>
              <w:rFonts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t>评审结论</w:t>
          </w:r>
          <w:r>
            <w:tab/>
          </w:r>
          <w:r>
            <w:fldChar w:fldCharType="begin"/>
          </w:r>
          <w:r>
            <w:instrText xml:space="preserve"> PAGEREF _Toc21136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 w:cs="宋体"/>
              <w:szCs w:val="24"/>
            </w:rPr>
            <w:fldChar w:fldCharType="end"/>
          </w:r>
        </w:p>
        <w:p w14:paraId="0AA0B429">
          <w:pPr>
            <w:pStyle w:val="15"/>
            <w:tabs>
              <w:tab w:val="right" w:leader="dot" w:pos="8487"/>
            </w:tabs>
          </w:pPr>
          <w:r>
            <w:rPr>
              <w:rFonts w:ascii="宋体" w:hAnsi="宋体" w:eastAsia="宋体" w:cs="宋体"/>
              <w:szCs w:val="24"/>
            </w:rPr>
            <w:fldChar w:fldCharType="begin"/>
          </w:r>
          <w:r>
            <w:rPr>
              <w:rFonts w:ascii="宋体" w:hAnsi="宋体" w:eastAsia="宋体" w:cs="宋体"/>
              <w:szCs w:val="24"/>
            </w:rPr>
            <w:instrText xml:space="preserve"> HYPERLINK \l _Toc18933 </w:instrText>
          </w:r>
          <w:r>
            <w:rPr>
              <w:rFonts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6.1. </w:t>
          </w:r>
          <w:r>
            <w:t>运维能力体系运行的适宜性、有效性评审</w:t>
          </w:r>
          <w:r>
            <w:tab/>
          </w:r>
          <w:r>
            <w:fldChar w:fldCharType="begin"/>
          </w:r>
          <w:r>
            <w:instrText xml:space="preserve"> PAGEREF _Toc18933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 w:cs="宋体"/>
              <w:szCs w:val="24"/>
            </w:rPr>
            <w:fldChar w:fldCharType="end"/>
          </w:r>
        </w:p>
        <w:p w14:paraId="15C7D7E7">
          <w:pPr>
            <w:pStyle w:val="15"/>
            <w:tabs>
              <w:tab w:val="right" w:leader="dot" w:pos="8487"/>
            </w:tabs>
          </w:pPr>
          <w:r>
            <w:rPr>
              <w:rFonts w:ascii="宋体" w:hAnsi="宋体" w:eastAsia="宋体" w:cs="宋体"/>
              <w:szCs w:val="24"/>
            </w:rPr>
            <w:fldChar w:fldCharType="begin"/>
          </w:r>
          <w:r>
            <w:rPr>
              <w:rFonts w:ascii="宋体" w:hAnsi="宋体" w:eastAsia="宋体" w:cs="宋体"/>
              <w:szCs w:val="24"/>
            </w:rPr>
            <w:instrText xml:space="preserve"> HYPERLINK \l _Toc19784 </w:instrText>
          </w:r>
          <w:r>
            <w:rPr>
              <w:rFonts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6.2. </w:t>
          </w:r>
          <w:r>
            <w:t>2025年质量内部审核评审</w:t>
          </w:r>
          <w:r>
            <w:tab/>
          </w:r>
          <w:r>
            <w:fldChar w:fldCharType="begin"/>
          </w:r>
          <w:r>
            <w:instrText xml:space="preserve"> PAGEREF _Toc19784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 w:cs="宋体"/>
              <w:szCs w:val="24"/>
            </w:rPr>
            <w:fldChar w:fldCharType="end"/>
          </w:r>
        </w:p>
        <w:p w14:paraId="190298A5">
          <w:pPr>
            <w:pStyle w:val="15"/>
            <w:tabs>
              <w:tab w:val="right" w:leader="dot" w:pos="8487"/>
            </w:tabs>
          </w:pPr>
          <w:r>
            <w:rPr>
              <w:rFonts w:ascii="宋体" w:hAnsi="宋体" w:eastAsia="宋体" w:cs="宋体"/>
              <w:szCs w:val="24"/>
            </w:rPr>
            <w:fldChar w:fldCharType="begin"/>
          </w:r>
          <w:r>
            <w:rPr>
              <w:rFonts w:ascii="宋体" w:hAnsi="宋体" w:eastAsia="宋体" w:cs="宋体"/>
              <w:szCs w:val="24"/>
            </w:rPr>
            <w:instrText xml:space="preserve"> HYPERLINK \l _Toc27837 </w:instrText>
          </w:r>
          <w:r>
            <w:rPr>
              <w:rFonts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6.3. </w:t>
          </w:r>
          <w:r>
            <w:t>满意度调查评审</w:t>
          </w:r>
          <w:r>
            <w:tab/>
          </w:r>
          <w:r>
            <w:fldChar w:fldCharType="begin"/>
          </w:r>
          <w:r>
            <w:instrText xml:space="preserve"> PAGEREF _Toc27837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 w:cs="宋体"/>
              <w:szCs w:val="24"/>
            </w:rPr>
            <w:fldChar w:fldCharType="end"/>
          </w:r>
        </w:p>
        <w:p w14:paraId="7B5D0C98">
          <w:pPr>
            <w:pStyle w:val="15"/>
            <w:tabs>
              <w:tab w:val="right" w:leader="dot" w:pos="8487"/>
            </w:tabs>
          </w:pPr>
          <w:r>
            <w:rPr>
              <w:rFonts w:ascii="宋体" w:hAnsi="宋体" w:eastAsia="宋体" w:cs="宋体"/>
              <w:szCs w:val="24"/>
            </w:rPr>
            <w:fldChar w:fldCharType="begin"/>
          </w:r>
          <w:r>
            <w:rPr>
              <w:rFonts w:ascii="宋体" w:hAnsi="宋体" w:eastAsia="宋体" w:cs="宋体"/>
              <w:szCs w:val="24"/>
            </w:rPr>
            <w:instrText xml:space="preserve"> HYPERLINK \l _Toc8261 </w:instrText>
          </w:r>
          <w:r>
            <w:rPr>
              <w:rFonts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6.4. </w:t>
          </w:r>
          <w:r>
            <w:t>客户投诉情况评审</w:t>
          </w:r>
          <w:r>
            <w:tab/>
          </w:r>
          <w:r>
            <w:fldChar w:fldCharType="begin"/>
          </w:r>
          <w:r>
            <w:instrText xml:space="preserve"> PAGEREF _Toc8261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 w:cs="宋体"/>
              <w:szCs w:val="24"/>
            </w:rPr>
            <w:fldChar w:fldCharType="end"/>
          </w:r>
        </w:p>
        <w:p w14:paraId="4382A28F">
          <w:pPr>
            <w:pStyle w:val="15"/>
            <w:tabs>
              <w:tab w:val="right" w:leader="dot" w:pos="8487"/>
            </w:tabs>
          </w:pPr>
          <w:r>
            <w:rPr>
              <w:rFonts w:ascii="宋体" w:hAnsi="宋体" w:eastAsia="宋体" w:cs="宋体"/>
              <w:szCs w:val="24"/>
            </w:rPr>
            <w:fldChar w:fldCharType="begin"/>
          </w:r>
          <w:r>
            <w:rPr>
              <w:rFonts w:ascii="宋体" w:hAnsi="宋体" w:eastAsia="宋体" w:cs="宋体"/>
              <w:szCs w:val="24"/>
            </w:rPr>
            <w:instrText xml:space="preserve"> HYPERLINK \l _Toc25960 </w:instrText>
          </w:r>
          <w:r>
            <w:rPr>
              <w:rFonts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6.5. </w:t>
          </w:r>
          <w:r>
            <w:t>结论</w:t>
          </w:r>
          <w:r>
            <w:tab/>
          </w:r>
          <w:r>
            <w:fldChar w:fldCharType="begin"/>
          </w:r>
          <w:r>
            <w:instrText xml:space="preserve"> PAGEREF _Toc25960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eastAsia="宋体" w:cs="宋体"/>
              <w:szCs w:val="24"/>
            </w:rPr>
            <w:fldChar w:fldCharType="end"/>
          </w:r>
        </w:p>
        <w:p w14:paraId="7C8635D8">
          <w:pPr>
            <w:spacing w:line="220" w:lineRule="auto"/>
            <w:rPr>
              <w:rFonts w:ascii="宋体" w:hAnsi="宋体" w:eastAsia="宋体" w:cs="宋体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宋体" w:hAnsi="宋体" w:eastAsia="宋体" w:cs="宋体"/>
              <w:szCs w:val="24"/>
            </w:rPr>
            <w:fldChar w:fldCharType="end"/>
          </w:r>
        </w:p>
      </w:sdtContent>
    </w:sdt>
    <w:p w14:paraId="621481BD">
      <w:pPr>
        <w:spacing w:line="220" w:lineRule="auto"/>
        <w:rPr>
          <w:rFonts w:ascii="宋体" w:hAnsi="宋体" w:eastAsia="宋体" w:cs="宋体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footerReference r:id="rId9" w:type="default"/>
          <w:pgSz w:w="11906" w:h="16839"/>
          <w:pgMar w:top="400" w:right="1710" w:bottom="1234" w:left="1709" w:header="0" w:footer="1070" w:gutter="0"/>
          <w:cols w:space="720" w:num="1"/>
        </w:sectPr>
      </w:pPr>
    </w:p>
    <w:p w14:paraId="76D17032">
      <w:pPr>
        <w:pStyle w:val="20"/>
        <w:bidi w:val="0"/>
      </w:pPr>
      <w:bookmarkStart w:id="2" w:name="_Toc15418"/>
      <w:r>
        <w:t>审核目的</w:t>
      </w:r>
      <w:bookmarkEnd w:id="2"/>
    </w:p>
    <w:p w14:paraId="7C7C08C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对公司运</w:t>
      </w:r>
      <w:r>
        <w:rPr>
          <w:rFonts w:ascii="宋体" w:hAnsi="宋体" w:eastAsia="宋体" w:cs="宋体"/>
          <w:spacing w:val="-2"/>
          <w:sz w:val="24"/>
          <w:szCs w:val="24"/>
        </w:rPr>
        <w:t>维能力体系运行</w:t>
      </w:r>
      <w:r>
        <w:rPr>
          <w:rFonts w:ascii="宋体" w:hAnsi="宋体" w:eastAsia="宋体" w:cs="宋体"/>
          <w:spacing w:val="-2"/>
          <w:sz w:val="24"/>
          <w:szCs w:val="24"/>
        </w:rPr>
        <w:t>现状</w:t>
      </w:r>
      <w:r>
        <w:rPr>
          <w:rFonts w:ascii="宋体" w:hAnsi="宋体" w:eastAsia="宋体" w:cs="宋体"/>
          <w:spacing w:val="-2"/>
          <w:sz w:val="24"/>
          <w:szCs w:val="24"/>
        </w:rPr>
        <w:t>进行</w:t>
      </w:r>
      <w:r>
        <w:rPr>
          <w:rFonts w:ascii="宋体" w:hAnsi="宋体" w:eastAsia="宋体" w:cs="宋体"/>
          <w:spacing w:val="-2"/>
          <w:sz w:val="24"/>
          <w:szCs w:val="24"/>
        </w:rPr>
        <w:t>评审，</w:t>
      </w:r>
      <w:r>
        <w:rPr>
          <w:rFonts w:ascii="宋体" w:hAnsi="宋体" w:eastAsia="宋体" w:cs="宋体"/>
          <w:spacing w:val="-2"/>
          <w:sz w:val="24"/>
          <w:szCs w:val="24"/>
        </w:rPr>
        <w:t>评价其持</w:t>
      </w:r>
      <w:r>
        <w:rPr>
          <w:rFonts w:ascii="宋体" w:hAnsi="宋体" w:eastAsia="宋体" w:cs="宋体"/>
          <w:spacing w:val="-2"/>
          <w:sz w:val="24"/>
          <w:szCs w:val="24"/>
        </w:rPr>
        <w:t>续的适宜性和有效性。</w:t>
      </w:r>
    </w:p>
    <w:p w14:paraId="40B73EBD">
      <w:pPr>
        <w:pStyle w:val="20"/>
        <w:bidi w:val="0"/>
      </w:pPr>
      <w:bookmarkStart w:id="3" w:name="_Toc17018"/>
      <w:r>
        <w:t>审核依据</w:t>
      </w:r>
      <w:bookmarkEnd w:id="3"/>
    </w:p>
    <w:p w14:paraId="06875654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T/CESA 1299—2023《信息技术服务 运行维护服务能力成熟度模型》</w:t>
      </w:r>
    </w:p>
    <w:p w14:paraId="751DB7E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GB/ T 28827.1-20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2《信息技术服务 运行维护 第 1 部分：通用要求》</w:t>
      </w:r>
    </w:p>
    <w:p w14:paraId="06035588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GB/ T 29264-2012 《信息技术服务 分类与代码》</w:t>
      </w:r>
    </w:p>
    <w:p w14:paraId="6CB7FADE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GB/ T 28827.2-2012 《信息技术服务 运行维护 第 2 部分:交付规范》</w:t>
      </w:r>
    </w:p>
    <w:p w14:paraId="33CE2A65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GB/  T 28827.3-2012 《信息技术服务 运行维护 第 3 部分:应急响应规范》</w:t>
      </w:r>
    </w:p>
    <w:p w14:paraId="541E7492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国家有关法律、法规及行业标准</w:t>
      </w:r>
    </w:p>
    <w:p w14:paraId="2BD1000A">
      <w:pPr>
        <w:pStyle w:val="20"/>
        <w:bidi w:val="0"/>
      </w:pPr>
      <w:bookmarkStart w:id="4" w:name="_Toc7231"/>
      <w:r>
        <w:t>参会人员</w:t>
      </w:r>
      <w:bookmarkEnd w:id="4"/>
    </w:p>
    <w:p w14:paraId="57BA6D8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default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组长：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李琳</w:t>
      </w:r>
    </w:p>
    <w:p w14:paraId="63A06ED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组员：孙人杰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郑永伟、刘培培、隋嘉宾</w:t>
      </w:r>
    </w:p>
    <w:p w14:paraId="7079772E">
      <w:pPr>
        <w:pStyle w:val="20"/>
        <w:bidi w:val="0"/>
      </w:pPr>
      <w:bookmarkStart w:id="5" w:name="_Toc2836"/>
      <w:r>
        <w:t>评审主要步骤</w:t>
      </w:r>
      <w:bookmarkEnd w:id="5"/>
    </w:p>
    <w:p w14:paraId="42212B05">
      <w:pPr>
        <w:numPr>
          <w:ilvl w:val="0"/>
          <w:numId w:val="3"/>
        </w:numPr>
        <w:spacing w:before="267" w:line="301" w:lineRule="auto"/>
        <w:ind w:left="425" w:leftChars="0" w:right="36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质量中心汇总公司IT</w:t>
      </w:r>
      <w:r>
        <w:rPr>
          <w:rFonts w:ascii="宋体" w:hAnsi="宋体" w:eastAsia="宋体" w:cs="宋体"/>
          <w:spacing w:val="-3"/>
          <w:sz w:val="24"/>
          <w:szCs w:val="24"/>
        </w:rPr>
        <w:t>运维服务管理指标、管理能力情况、体系实施情况、客户满意度调查结果、内审报告、不符合项报告及其关闭材料</w:t>
      </w:r>
      <w:r>
        <w:rPr>
          <w:rFonts w:ascii="宋体" w:hAnsi="宋体" w:eastAsia="宋体" w:cs="宋体"/>
          <w:spacing w:val="-3"/>
          <w:sz w:val="24"/>
          <w:szCs w:val="24"/>
        </w:rPr>
        <w:t>等；</w:t>
      </w:r>
    </w:p>
    <w:p w14:paraId="0B891195">
      <w:pPr>
        <w:numPr>
          <w:ilvl w:val="0"/>
          <w:numId w:val="3"/>
        </w:numPr>
        <w:spacing w:before="267" w:line="301" w:lineRule="auto"/>
        <w:ind w:left="425" w:leftChars="0" w:right="36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公司管理层对管理评审材料进行审核并签署评审意见；</w:t>
      </w:r>
    </w:p>
    <w:p w14:paraId="5766B807">
      <w:pPr>
        <w:numPr>
          <w:ilvl w:val="0"/>
          <w:numId w:val="3"/>
        </w:numPr>
        <w:spacing w:before="267" w:line="301" w:lineRule="auto"/>
        <w:ind w:left="425" w:leftChars="0" w:right="36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质量中心负责协助管理者代表纠正各部门发现的问题，并跟踪验证纠正</w:t>
      </w:r>
    </w:p>
    <w:p w14:paraId="1FFDCDC5">
      <w:pPr>
        <w:numPr>
          <w:ilvl w:val="0"/>
          <w:numId w:val="3"/>
        </w:numPr>
        <w:spacing w:before="267" w:line="301" w:lineRule="auto"/>
        <w:ind w:left="425" w:leftChars="0" w:right="36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预防措施的执行情况；</w:t>
      </w:r>
    </w:p>
    <w:p w14:paraId="5A4E82AD">
      <w:pPr>
        <w:numPr>
          <w:ilvl w:val="0"/>
          <w:numId w:val="3"/>
        </w:numPr>
        <w:spacing w:before="267" w:line="301" w:lineRule="auto"/>
        <w:ind w:left="425" w:leftChars="0" w:right="36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总经理对管理评审报告进行审批。</w:t>
      </w:r>
    </w:p>
    <w:p w14:paraId="1EABF45C">
      <w:pPr>
        <w:pStyle w:val="20"/>
        <w:bidi w:val="0"/>
      </w:pPr>
      <w:bookmarkStart w:id="6" w:name="_Toc17694"/>
      <w:r>
        <w:t>评审内容</w:t>
      </w:r>
      <w:bookmarkEnd w:id="6"/>
    </w:p>
    <w:p w14:paraId="03293495">
      <w:pPr>
        <w:numPr>
          <w:ilvl w:val="0"/>
          <w:numId w:val="4"/>
        </w:numPr>
        <w:spacing w:before="264" w:line="220" w:lineRule="auto"/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>2025年内部审核报告</w:t>
      </w:r>
    </w:p>
    <w:p w14:paraId="443350E7">
      <w:pPr>
        <w:numPr>
          <w:ilvl w:val="0"/>
          <w:numId w:val="4"/>
        </w:numPr>
        <w:spacing w:before="214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各部门指标完成情况</w:t>
      </w:r>
    </w:p>
    <w:p w14:paraId="27E0BC11">
      <w:pPr>
        <w:numPr>
          <w:ilvl w:val="0"/>
          <w:numId w:val="4"/>
        </w:numPr>
        <w:spacing w:before="214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客户满意度调查和客户投诉情况</w:t>
      </w:r>
    </w:p>
    <w:p w14:paraId="2E01DC7C">
      <w:pPr>
        <w:numPr>
          <w:ilvl w:val="0"/>
          <w:numId w:val="4"/>
        </w:numPr>
        <w:spacing w:before="78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公司的组织结构、职责分配、资源配备的</w:t>
      </w:r>
      <w:r>
        <w:rPr>
          <w:rFonts w:ascii="宋体" w:hAnsi="宋体" w:eastAsia="宋体" w:cs="宋体"/>
          <w:spacing w:val="-3"/>
          <w:sz w:val="24"/>
          <w:szCs w:val="24"/>
        </w:rPr>
        <w:t>适宜性</w:t>
      </w:r>
    </w:p>
    <w:p w14:paraId="5CE72A78">
      <w:pPr>
        <w:numPr>
          <w:ilvl w:val="0"/>
          <w:numId w:val="4"/>
        </w:numPr>
        <w:spacing w:before="213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体系要素及文件的适宜性</w:t>
      </w:r>
    </w:p>
    <w:p w14:paraId="39477A94">
      <w:pPr>
        <w:numPr>
          <w:ilvl w:val="0"/>
          <w:numId w:val="4"/>
        </w:numPr>
        <w:spacing w:before="214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客户及员工对运维服务能力体系的合理化建议</w:t>
      </w:r>
    </w:p>
    <w:p w14:paraId="6218D94B">
      <w:pPr>
        <w:numPr>
          <w:ilvl w:val="0"/>
          <w:numId w:val="4"/>
        </w:numPr>
        <w:spacing w:before="214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1"/>
          <w:sz w:val="24"/>
          <w:szCs w:val="24"/>
        </w:rPr>
        <w:t>其他</w:t>
      </w:r>
    </w:p>
    <w:p w14:paraId="777C063A">
      <w:pPr>
        <w:pStyle w:val="20"/>
        <w:bidi w:val="0"/>
      </w:pPr>
      <w:bookmarkStart w:id="7" w:name="_Toc21136"/>
      <w:r>
        <w:t>评审结论</w:t>
      </w:r>
      <w:bookmarkEnd w:id="7"/>
    </w:p>
    <w:p w14:paraId="4760EA62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firstLine="480" w:firstLineChars="20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根据各部门所提交的项目实施和部门总结资料，评审组成员经过认真的审核和讨论，就下面几项内容达成共识：</w:t>
      </w:r>
    </w:p>
    <w:p w14:paraId="399F29F4">
      <w:pPr>
        <w:pStyle w:val="21"/>
        <w:bidi w:val="0"/>
      </w:pPr>
      <w:bookmarkStart w:id="8" w:name="_Toc18933"/>
      <w:r>
        <w:t>运维能力体系运行的适宜性、有效性评审</w:t>
      </w:r>
      <w:bookmarkEnd w:id="8"/>
    </w:p>
    <w:p w14:paraId="18020F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公司运维能力体系自建设和运行以来，公司的运维服务能力和项目服务质量有了明显的提高。由于在管理和服务过程中明确了相关标准，整合了公司的组织架构，搭建了相关体系，完善了过程的可追朔性，明确了各部门及各岗位的职责，使得公司的职责权限更加合理分明，业务流程更加顺畅。</w:t>
      </w:r>
    </w:p>
    <w:p w14:paraId="29229EE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公司在2025年对全体员工加大了运维能力体系方面的培训力度，能力体系得到全体员工的理解和支持。评审认为：我公司运维能力体系提高了公司的管理水平，增强了公司的实力和竞争力，它是适宜的、充分的和有效的。</w:t>
      </w:r>
    </w:p>
    <w:p w14:paraId="5A476919">
      <w:pPr>
        <w:pStyle w:val="21"/>
        <w:bidi w:val="0"/>
      </w:pPr>
      <w:bookmarkStart w:id="9" w:name="_Toc19784"/>
      <w:r>
        <w:t>2025年质量内部审核评审</w:t>
      </w:r>
      <w:bookmarkEnd w:id="9"/>
    </w:p>
    <w:p w14:paraId="0AD6FE6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2025年我公司于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z w:val="24"/>
          <w:szCs w:val="24"/>
        </w:rPr>
        <w:t>月组织了1次内部审核，共开出1份不符合项报告下发到相关部门，相关责任部门认真进行了原因分析，制定了相应的纠正措施。质量中心在规定期限内做了实际验证，现已全部纠正完毕，全部达到运维管理体系的要求。</w:t>
      </w:r>
    </w:p>
    <w:p w14:paraId="5DFC1C8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</w:pPr>
      <w:r>
        <w:rPr>
          <w:rFonts w:ascii="宋体" w:hAnsi="宋体" w:eastAsia="宋体" w:cs="宋体"/>
          <w:sz w:val="24"/>
          <w:szCs w:val="24"/>
        </w:rPr>
        <w:t>通过本次审核，对我公司的运维能力体系运行情况进行了一次全面的了解及检查，发现问题并及时解决，完善了公司管理体制，提高了公司的管理水平，保证了公司的正常运作及持续发展。</w:t>
      </w:r>
    </w:p>
    <w:p w14:paraId="07D5C1D4">
      <w:pPr>
        <w:pStyle w:val="21"/>
        <w:bidi w:val="0"/>
      </w:pPr>
      <w:bookmarkStart w:id="10" w:name="_Toc27837"/>
      <w:r>
        <w:t>满意度调查评审</w:t>
      </w:r>
      <w:bookmarkEnd w:id="10"/>
    </w:p>
    <w:p w14:paraId="0A030EF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通过项目满意度调查统计分析，公司客户满意度平均分为 96 分，达到了公司满意度指标要求，客户对我公司服务质量持认可态度。评审认为 ：我公司当前项目运行情况是正常的，达到了2025年年度规划的要求。希望各部门再接再厉，不断的改进我们的工作。</w:t>
      </w:r>
    </w:p>
    <w:p w14:paraId="5FD1A65D">
      <w:pPr>
        <w:pStyle w:val="21"/>
        <w:bidi w:val="0"/>
      </w:pPr>
      <w:bookmarkStart w:id="11" w:name="_Toc8261"/>
      <w:r>
        <w:t>客户投诉情况评审</w:t>
      </w:r>
      <w:bookmarkEnd w:id="11"/>
    </w:p>
    <w:p w14:paraId="47BB42F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暂无接受到任何有效投诉事件。</w:t>
      </w:r>
    </w:p>
    <w:p w14:paraId="21BBC0D0">
      <w:pPr>
        <w:pStyle w:val="21"/>
        <w:bidi w:val="0"/>
      </w:pPr>
      <w:bookmarkStart w:id="12" w:name="_Toc25960"/>
      <w:r>
        <w:t>结论</w:t>
      </w:r>
      <w:bookmarkEnd w:id="12"/>
    </w:p>
    <w:p w14:paraId="691E49A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2025年度公司管理评审在公司各部门的积极配合下圆满地结束了，对本次管理评审公司各相关部门做了周密的安排，参加会议的各部门人员也做了充分的准备，对公司的运维管理目标进行了认真的评议，全面的总结了公司运维能力体系的运行情况，肯定了2025年质量管理体系运行的适宜性、有效性。通过这次管理评审，总结了经验，将更有力的推动公司持续发展。</w:t>
      </w:r>
    </w:p>
    <w:p w14:paraId="6001507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</w:p>
    <w:p w14:paraId="5861EDCC">
      <w:pPr>
        <w:spacing w:before="64" w:line="220" w:lineRule="auto"/>
        <w:ind w:left="22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评审人：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张琳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                               </w:t>
      </w:r>
      <w:r>
        <w:rPr>
          <w:rFonts w:ascii="宋体" w:hAnsi="宋体" w:eastAsia="宋体" w:cs="宋体"/>
          <w:spacing w:val="-1"/>
          <w:sz w:val="24"/>
          <w:szCs w:val="24"/>
        </w:rPr>
        <w:t>审核人：张仲全</w:t>
      </w:r>
    </w:p>
    <w:p w14:paraId="25A4662E">
      <w:pPr>
        <w:spacing w:before="64" w:line="220" w:lineRule="auto"/>
        <w:ind w:left="22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时间： 2025</w:t>
      </w:r>
      <w:bookmarkStart w:id="13" w:name="_GoBack"/>
      <w:bookmarkEnd w:id="13"/>
      <w:r>
        <w:rPr>
          <w:rFonts w:ascii="宋体" w:hAnsi="宋体" w:eastAsia="宋体" w:cs="宋体"/>
          <w:spacing w:val="-1"/>
          <w:sz w:val="24"/>
          <w:szCs w:val="24"/>
        </w:rPr>
        <w:t>年0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pacing w:val="-1"/>
          <w:sz w:val="24"/>
          <w:szCs w:val="24"/>
        </w:rPr>
        <w:t>月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26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日             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spacing w:val="-1"/>
          <w:sz w:val="24"/>
          <w:szCs w:val="24"/>
        </w:rPr>
        <w:t>时间： 2025年0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pacing w:val="-1"/>
          <w:sz w:val="24"/>
          <w:szCs w:val="24"/>
        </w:rPr>
        <w:t>月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26</w:t>
      </w:r>
      <w:r>
        <w:rPr>
          <w:rFonts w:ascii="宋体" w:hAnsi="宋体" w:eastAsia="宋体" w:cs="宋体"/>
          <w:spacing w:val="-1"/>
          <w:sz w:val="24"/>
          <w:szCs w:val="24"/>
        </w:rPr>
        <w:t>日</w:t>
      </w:r>
    </w:p>
    <w:sectPr>
      <w:footerReference r:id="rId10" w:type="default"/>
      <w:pgSz w:w="11906" w:h="16839"/>
      <w:pgMar w:top="400" w:right="1785" w:bottom="686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Gothic">
    <w:panose1 w:val="020B0609070205080204"/>
    <w:charset w:val="86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6A7FA6">
    <w:pPr>
      <w:pStyle w:val="11"/>
      <w:spacing w:line="63" w:lineRule="auto"/>
      <w:rPr>
        <w:sz w:val="2"/>
      </w:rPr>
    </w:pPr>
    <w:r>
      <w:pict>
        <v:group id="_x0000_s4098" o:spid="_x0000_s4098" o:spt="203" style="position:absolute;left:0pt;margin-left:85.85pt;margin-top:773.85pt;height:0.85pt;width:451.9pt;mso-position-horizontal-relative:page;mso-position-vertical-relative:page;z-index:251659264;mso-width-relative:page;mso-height-relative:page;" coordsize="9037,17" o:allowincell="f">
          <o:lock v:ext="edit"/>
          <v:shape id="_x0000_s4099" o:spid="_x0000_s4099" style="position:absolute;left:0;top:7;height:2;width:9037;" fillcolor="#FFFFFF" filled="t" stroked="f" coordsize="9037,2" path="m0,0l9036,1e">
            <v:path/>
            <v:fill on="t" focussize="0,0"/>
            <v:stroke on="f"/>
            <v:imagedata o:title=""/>
            <o:lock v:ext="edit"/>
          </v:shape>
          <v:shape id="_x0000_s4100" o:spid="_x0000_s4100" style="position:absolute;left:0;top:0;height:17;width:9037;" filled="f" stroked="t" coordsize="9037,17" path="m0,7l9036,8e">
            <v:fill on="f" focussize="0,0"/>
            <v:stroke color="#000000" miterlimit="10" joinstyle="miter"/>
            <v:imagedata o:title=""/>
            <o:lock v:ext="edit"/>
          </v:shape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B6BACC">
    <w:pPr>
      <w:spacing w:line="166" w:lineRule="auto"/>
      <w:ind w:left="4327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25B8E3">
    <w:pPr>
      <w:spacing w:line="167" w:lineRule="auto"/>
      <w:ind w:left="4208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209967">
    <w:pPr>
      <w:pStyle w:val="11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4D2788">
    <w:pPr>
      <w:pStyle w:val="11"/>
      <w:spacing w:line="52" w:lineRule="auto"/>
      <w:rPr>
        <w:sz w:val="2"/>
      </w:rPr>
    </w:pPr>
    <w:r>
      <w:pict>
        <v:shape id="_x0000_s4097" o:spid="_x0000_s4097" style="position:absolute;left:0pt;margin-left:83.6pt;margin-top:54.5pt;height:0.75pt;width:428.15pt;mso-position-horizontal-relative:page;mso-position-vertical-relative:page;z-index:251660288;mso-width-relative:page;mso-height-relative:page;" filled="f" stroked="t" coordsize="8562,15" o:allowincell="f" path="m0,7l8562,7e">
          <v:fill on="f" focussize="0,0"/>
          <v:stroke color="#000000" miterlimit="10" joinstyle="miter"/>
          <v:imagedata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B31529">
    <w:pPr>
      <w:pStyle w:val="11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4A5017F"/>
    <w:multiLevelType w:val="singleLevel"/>
    <w:tmpl w:val="A4A5017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BD509F96"/>
    <w:multiLevelType w:val="singleLevel"/>
    <w:tmpl w:val="BD509F9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AD539FE"/>
    <w:multiLevelType w:val="singleLevel"/>
    <w:tmpl w:val="1AD539FE"/>
    <w:lvl w:ilvl="0" w:tentative="0">
      <w:start w:val="1"/>
      <w:numFmt w:val="decimal"/>
      <w:lvlText w:val="(%1)"/>
      <w:lvlJc w:val="left"/>
      <w:pPr>
        <w:ind w:left="63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5D2854"/>
    <w:rsid w:val="00782FF5"/>
    <w:rsid w:val="02353A89"/>
    <w:rsid w:val="029A0446"/>
    <w:rsid w:val="06905732"/>
    <w:rsid w:val="070E2AFA"/>
    <w:rsid w:val="073D0CEA"/>
    <w:rsid w:val="07807554"/>
    <w:rsid w:val="0808754A"/>
    <w:rsid w:val="08F0070A"/>
    <w:rsid w:val="099B050A"/>
    <w:rsid w:val="0CD10852"/>
    <w:rsid w:val="0DA815B3"/>
    <w:rsid w:val="0DF91865"/>
    <w:rsid w:val="0E562251"/>
    <w:rsid w:val="0FAC4C5F"/>
    <w:rsid w:val="100638F8"/>
    <w:rsid w:val="12B74046"/>
    <w:rsid w:val="141A488D"/>
    <w:rsid w:val="1536197C"/>
    <w:rsid w:val="153B2D0D"/>
    <w:rsid w:val="156A0E93"/>
    <w:rsid w:val="16574B35"/>
    <w:rsid w:val="183121A5"/>
    <w:rsid w:val="18EB2C9C"/>
    <w:rsid w:val="1A4D7795"/>
    <w:rsid w:val="1B0818E3"/>
    <w:rsid w:val="1DAB2B18"/>
    <w:rsid w:val="1EE54F43"/>
    <w:rsid w:val="22342FBD"/>
    <w:rsid w:val="2241392C"/>
    <w:rsid w:val="22D17CD0"/>
    <w:rsid w:val="23270D74"/>
    <w:rsid w:val="23452FA8"/>
    <w:rsid w:val="234A44CD"/>
    <w:rsid w:val="24C26FA6"/>
    <w:rsid w:val="28321D4D"/>
    <w:rsid w:val="28942A08"/>
    <w:rsid w:val="29064F88"/>
    <w:rsid w:val="296F6FD1"/>
    <w:rsid w:val="2AC479D7"/>
    <w:rsid w:val="2DE81100"/>
    <w:rsid w:val="2F4326D1"/>
    <w:rsid w:val="2FEC4ED7"/>
    <w:rsid w:val="328B4E7C"/>
    <w:rsid w:val="329448A6"/>
    <w:rsid w:val="35C67F79"/>
    <w:rsid w:val="36C00E6C"/>
    <w:rsid w:val="39AE1450"/>
    <w:rsid w:val="39EC63F1"/>
    <w:rsid w:val="3A916DA7"/>
    <w:rsid w:val="3BD333EF"/>
    <w:rsid w:val="3BF70E8C"/>
    <w:rsid w:val="3DB37034"/>
    <w:rsid w:val="3EF773F5"/>
    <w:rsid w:val="411029F0"/>
    <w:rsid w:val="419A5ACF"/>
    <w:rsid w:val="438A4CDB"/>
    <w:rsid w:val="43BF2BD7"/>
    <w:rsid w:val="44CE29A6"/>
    <w:rsid w:val="45CE26E6"/>
    <w:rsid w:val="464E0242"/>
    <w:rsid w:val="465B470D"/>
    <w:rsid w:val="4867383D"/>
    <w:rsid w:val="49DC7913"/>
    <w:rsid w:val="4AE274E7"/>
    <w:rsid w:val="4BDA4326"/>
    <w:rsid w:val="4CB86415"/>
    <w:rsid w:val="4D994499"/>
    <w:rsid w:val="501C0729"/>
    <w:rsid w:val="50AC44E3"/>
    <w:rsid w:val="530323B4"/>
    <w:rsid w:val="55E738C7"/>
    <w:rsid w:val="577B69BD"/>
    <w:rsid w:val="583B7EFB"/>
    <w:rsid w:val="58DC1375"/>
    <w:rsid w:val="5ABA77FD"/>
    <w:rsid w:val="5CCF51F0"/>
    <w:rsid w:val="5CDB58A1"/>
    <w:rsid w:val="5CF27722"/>
    <w:rsid w:val="5E224037"/>
    <w:rsid w:val="5E541D16"/>
    <w:rsid w:val="5E59557E"/>
    <w:rsid w:val="5ECE7D1A"/>
    <w:rsid w:val="5F351B48"/>
    <w:rsid w:val="60432042"/>
    <w:rsid w:val="61A905CB"/>
    <w:rsid w:val="61F77588"/>
    <w:rsid w:val="62662018"/>
    <w:rsid w:val="646E5E05"/>
    <w:rsid w:val="66042274"/>
    <w:rsid w:val="665E2C03"/>
    <w:rsid w:val="68AA7102"/>
    <w:rsid w:val="6AF208ED"/>
    <w:rsid w:val="6FF255CE"/>
    <w:rsid w:val="713F6856"/>
    <w:rsid w:val="733F0D8F"/>
    <w:rsid w:val="73CD5D51"/>
    <w:rsid w:val="743D1A55"/>
    <w:rsid w:val="749D3FBF"/>
    <w:rsid w:val="75986327"/>
    <w:rsid w:val="75DE284A"/>
    <w:rsid w:val="770C0F88"/>
    <w:rsid w:val="793D7B1F"/>
    <w:rsid w:val="7AFD7566"/>
    <w:rsid w:val="7C43544C"/>
    <w:rsid w:val="7C920181"/>
    <w:rsid w:val="7CAD6D69"/>
    <w:rsid w:val="7D6E64F9"/>
    <w:rsid w:val="7DC46119"/>
    <w:rsid w:val="7E556B04"/>
    <w:rsid w:val="7ECF1219"/>
    <w:rsid w:val="7F4067B2"/>
    <w:rsid w:val="7FB623D9"/>
    <w:rsid w:val="7FFF5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9"/>
    <customShpInfo spid="_x0000_s4100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1435</Words>
  <Characters>1567</Characters>
  <TotalTime>2</TotalTime>
  <ScaleCrop>false</ScaleCrop>
  <LinksUpToDate>false</LinksUpToDate>
  <CharactersWithSpaces>1709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2025-08-17T00:51:00Z</dcterms:created>
  <dc:creator>谢永刚</dc:creator>
  <cp:lastModifiedBy>郝宇</cp:lastModifiedBy>
  <dcterms:modified xsi:type="dcterms:W3CDTF">2025-08-26T19:36:40Z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2025-08-21T01:03:30Z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6AE8547ADC404C168D85BE2DE8C41801_12</vt:lpwstr>
  </property>
</Properties>
</file>