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B5823">
      <w:pPr>
        <w:pStyle w:val="11"/>
        <w:spacing w:line="252" w:lineRule="auto"/>
      </w:pPr>
    </w:p>
    <w:p w14:paraId="14FF6AF8">
      <w:pPr>
        <w:pStyle w:val="11"/>
        <w:spacing w:line="252" w:lineRule="auto"/>
      </w:pPr>
    </w:p>
    <w:p w14:paraId="79F635FD">
      <w:pPr>
        <w:pStyle w:val="11"/>
        <w:spacing w:line="252" w:lineRule="auto"/>
      </w:pPr>
    </w:p>
    <w:p w14:paraId="2F3F059B">
      <w:pPr>
        <w:pStyle w:val="11"/>
        <w:spacing w:line="253" w:lineRule="auto"/>
      </w:pPr>
    </w:p>
    <w:p w14:paraId="0E1B4E8F">
      <w:pPr>
        <w:pStyle w:val="11"/>
        <w:spacing w:line="253" w:lineRule="auto"/>
      </w:pPr>
    </w:p>
    <w:p w14:paraId="30C6C347">
      <w:pPr>
        <w:pStyle w:val="11"/>
        <w:spacing w:line="253" w:lineRule="auto"/>
      </w:pPr>
    </w:p>
    <w:p w14:paraId="75DF06AD">
      <w:pPr>
        <w:pStyle w:val="11"/>
        <w:spacing w:line="253" w:lineRule="auto"/>
      </w:pPr>
    </w:p>
    <w:p w14:paraId="2D595407">
      <w:pPr>
        <w:pStyle w:val="11"/>
        <w:spacing w:line="253" w:lineRule="auto"/>
      </w:pPr>
    </w:p>
    <w:p w14:paraId="432F67A7">
      <w:pPr>
        <w:pStyle w:val="11"/>
        <w:spacing w:line="253" w:lineRule="auto"/>
      </w:pPr>
    </w:p>
    <w:p w14:paraId="3AAF6ADB">
      <w:pPr>
        <w:spacing w:before="169" w:line="220" w:lineRule="auto"/>
        <w:ind w:left="74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4"/>
          <w:sz w:val="52"/>
          <w:szCs w:val="52"/>
        </w:rPr>
        <w:t>2025</w:t>
      </w:r>
      <w:r>
        <w:rPr>
          <w:rFonts w:ascii="宋体" w:hAnsi="宋体" w:eastAsia="宋体" w:cs="宋体"/>
          <w:spacing w:val="-96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4"/>
          <w:sz w:val="52"/>
          <w:szCs w:val="52"/>
        </w:rPr>
        <w:t>年运维服务质量管理计划</w:t>
      </w:r>
    </w:p>
    <w:p w14:paraId="289FE559">
      <w:pPr>
        <w:pStyle w:val="11"/>
        <w:spacing w:line="251" w:lineRule="auto"/>
      </w:pPr>
    </w:p>
    <w:p w14:paraId="169532C0">
      <w:pPr>
        <w:pStyle w:val="11"/>
        <w:spacing w:line="251" w:lineRule="auto"/>
      </w:pPr>
    </w:p>
    <w:p w14:paraId="473AB85E">
      <w:pPr>
        <w:pStyle w:val="11"/>
        <w:spacing w:line="251" w:lineRule="auto"/>
      </w:pPr>
    </w:p>
    <w:p w14:paraId="581391E5">
      <w:pPr>
        <w:pStyle w:val="11"/>
        <w:spacing w:line="251" w:lineRule="auto"/>
      </w:pPr>
    </w:p>
    <w:p w14:paraId="60CC9F50">
      <w:pPr>
        <w:pStyle w:val="11"/>
        <w:spacing w:line="251" w:lineRule="auto"/>
      </w:pPr>
    </w:p>
    <w:p w14:paraId="71611054">
      <w:pPr>
        <w:pStyle w:val="11"/>
        <w:spacing w:line="251" w:lineRule="auto"/>
      </w:pPr>
    </w:p>
    <w:p w14:paraId="4B2EF9DE">
      <w:pPr>
        <w:pStyle w:val="11"/>
        <w:spacing w:line="251" w:lineRule="auto"/>
      </w:pPr>
    </w:p>
    <w:p w14:paraId="107D9B22">
      <w:pPr>
        <w:pStyle w:val="11"/>
        <w:spacing w:line="251" w:lineRule="auto"/>
      </w:pPr>
    </w:p>
    <w:p w14:paraId="72AD0AE0">
      <w:pPr>
        <w:pStyle w:val="11"/>
        <w:spacing w:line="251" w:lineRule="auto"/>
      </w:pPr>
    </w:p>
    <w:p w14:paraId="247B4D7D">
      <w:pPr>
        <w:pStyle w:val="11"/>
        <w:spacing w:line="251" w:lineRule="auto"/>
      </w:pPr>
    </w:p>
    <w:p w14:paraId="21963444">
      <w:pPr>
        <w:pStyle w:val="11"/>
        <w:spacing w:line="251" w:lineRule="auto"/>
      </w:pPr>
    </w:p>
    <w:p w14:paraId="3A2B6717">
      <w:pPr>
        <w:pStyle w:val="11"/>
        <w:spacing w:line="251" w:lineRule="auto"/>
      </w:pPr>
    </w:p>
    <w:p w14:paraId="43B1692A">
      <w:pPr>
        <w:pStyle w:val="11"/>
        <w:spacing w:line="251" w:lineRule="auto"/>
      </w:pPr>
    </w:p>
    <w:p w14:paraId="4D5B7C8F">
      <w:pPr>
        <w:pStyle w:val="11"/>
        <w:spacing w:line="252" w:lineRule="auto"/>
      </w:pPr>
    </w:p>
    <w:p w14:paraId="7E9B95F0">
      <w:pPr>
        <w:pStyle w:val="11"/>
        <w:spacing w:line="252" w:lineRule="auto"/>
      </w:pPr>
    </w:p>
    <w:p w14:paraId="4D914D28">
      <w:pPr>
        <w:pStyle w:val="11"/>
        <w:spacing w:line="252" w:lineRule="auto"/>
      </w:pPr>
    </w:p>
    <w:p w14:paraId="12952437">
      <w:pPr>
        <w:spacing w:line="1293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8F8">
      <w:pPr>
        <w:pStyle w:val="11"/>
        <w:spacing w:line="246" w:lineRule="auto"/>
      </w:pPr>
    </w:p>
    <w:p w14:paraId="63FB1A93">
      <w:pPr>
        <w:pStyle w:val="11"/>
        <w:spacing w:line="246" w:lineRule="auto"/>
      </w:pPr>
    </w:p>
    <w:p w14:paraId="40F9357B">
      <w:pPr>
        <w:pStyle w:val="11"/>
        <w:spacing w:line="246" w:lineRule="auto"/>
      </w:pPr>
    </w:p>
    <w:p w14:paraId="06F09FBD">
      <w:pPr>
        <w:pStyle w:val="11"/>
        <w:spacing w:line="246" w:lineRule="auto"/>
      </w:pPr>
    </w:p>
    <w:p w14:paraId="4986C7EA">
      <w:pPr>
        <w:pStyle w:val="11"/>
        <w:spacing w:line="246" w:lineRule="auto"/>
      </w:pPr>
    </w:p>
    <w:p w14:paraId="136C9A23">
      <w:pPr>
        <w:pStyle w:val="11"/>
        <w:spacing w:line="246" w:lineRule="auto"/>
      </w:pPr>
    </w:p>
    <w:p w14:paraId="49F08955">
      <w:pPr>
        <w:pStyle w:val="11"/>
        <w:spacing w:line="246" w:lineRule="auto"/>
      </w:pPr>
    </w:p>
    <w:p w14:paraId="1E3DA7B5">
      <w:pPr>
        <w:pStyle w:val="11"/>
        <w:spacing w:line="246" w:lineRule="auto"/>
      </w:pPr>
    </w:p>
    <w:p w14:paraId="2D60562A">
      <w:pPr>
        <w:pStyle w:val="11"/>
        <w:spacing w:line="246" w:lineRule="auto"/>
      </w:pPr>
    </w:p>
    <w:p w14:paraId="33A1B3A8">
      <w:pPr>
        <w:pStyle w:val="11"/>
        <w:spacing w:line="246" w:lineRule="auto"/>
      </w:pPr>
    </w:p>
    <w:p w14:paraId="1159B6FD">
      <w:pPr>
        <w:pStyle w:val="11"/>
        <w:spacing w:line="246" w:lineRule="auto"/>
      </w:pPr>
    </w:p>
    <w:p w14:paraId="0ED6BE45">
      <w:pPr>
        <w:pStyle w:val="11"/>
        <w:spacing w:line="246" w:lineRule="auto"/>
      </w:pPr>
    </w:p>
    <w:p w14:paraId="43C4F57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2907361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2025年</w:t>
      </w:r>
      <w:r>
        <w:rPr>
          <w:rFonts w:ascii="宋体" w:hAnsi="宋体" w:eastAsia="宋体" w:cs="宋体"/>
          <w:spacing w:val="-4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6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3 日</w:t>
      </w:r>
    </w:p>
    <w:p w14:paraId="6A220F2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C697927">
      <w:pPr>
        <w:pStyle w:val="11"/>
        <w:spacing w:line="363" w:lineRule="auto"/>
      </w:pPr>
    </w:p>
    <w:p w14:paraId="6C2A2B57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209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0"/>
    </w:p>
    <w:p w14:paraId="4CD3A428">
      <w:pPr>
        <w:spacing w:line="131" w:lineRule="exact"/>
      </w:pPr>
    </w:p>
    <w:tbl>
      <w:tblPr>
        <w:tblStyle w:val="19"/>
        <w:tblW w:w="9071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44"/>
        <w:gridCol w:w="2271"/>
        <w:gridCol w:w="1557"/>
        <w:gridCol w:w="1953"/>
      </w:tblGrid>
      <w:tr w14:paraId="6A334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A90BC0A">
            <w:pPr>
              <w:pStyle w:val="20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140D02F4">
            <w:pPr>
              <w:pStyle w:val="20"/>
              <w:spacing w:before="185" w:line="218" w:lineRule="auto"/>
              <w:ind w:left="112"/>
            </w:pPr>
            <w:r>
              <w:t>2025年运维服务质量管理计划（HHLC-IT</w:t>
            </w:r>
            <w:r>
              <w:rPr>
                <w:spacing w:val="-1"/>
              </w:rPr>
              <w:t>SS-YWFWZLGLJH）</w:t>
            </w:r>
          </w:p>
        </w:tc>
      </w:tr>
      <w:tr w14:paraId="0FF41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1A9F9EC">
            <w:pPr>
              <w:pStyle w:val="20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E371411">
            <w:pPr>
              <w:pStyle w:val="20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3793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1387EB32">
            <w:pPr>
              <w:pStyle w:val="20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44" w:type="dxa"/>
            <w:vAlign w:val="top"/>
          </w:tcPr>
          <w:p w14:paraId="127848CD">
            <w:pPr>
              <w:pStyle w:val="20"/>
              <w:spacing w:before="184" w:line="219" w:lineRule="auto"/>
              <w:ind w:left="245"/>
            </w:pPr>
            <w:r>
              <w:rPr>
                <w:spacing w:val="-2"/>
              </w:rPr>
              <w:t>版本日期</w:t>
            </w:r>
          </w:p>
        </w:tc>
        <w:tc>
          <w:tcPr>
            <w:tcW w:w="2271" w:type="dxa"/>
            <w:vAlign w:val="top"/>
          </w:tcPr>
          <w:p w14:paraId="5E1EED1E">
            <w:pPr>
              <w:pStyle w:val="20"/>
              <w:spacing w:before="184" w:line="219" w:lineRule="auto"/>
              <w:ind w:left="661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8BB6BBE">
            <w:pPr>
              <w:pStyle w:val="20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0412F024">
            <w:pPr>
              <w:pStyle w:val="20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60A480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6DBACF0">
            <w:pPr>
              <w:pStyle w:val="20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44" w:type="dxa"/>
            <w:vAlign w:val="top"/>
          </w:tcPr>
          <w:p w14:paraId="3CA02D99">
            <w:pPr>
              <w:pStyle w:val="20"/>
              <w:spacing w:before="154" w:line="238" w:lineRule="auto"/>
              <w:ind w:left="247"/>
            </w:pPr>
            <w:r>
              <w:rPr>
                <w:spacing w:val="-2"/>
              </w:rPr>
              <w:t>2025-1-3</w:t>
            </w:r>
          </w:p>
        </w:tc>
        <w:tc>
          <w:tcPr>
            <w:tcW w:w="2271" w:type="dxa"/>
            <w:vAlign w:val="top"/>
          </w:tcPr>
          <w:p w14:paraId="23F30080">
            <w:pPr>
              <w:pStyle w:val="20"/>
              <w:spacing w:before="119" w:line="219" w:lineRule="auto"/>
              <w:ind w:left="664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EBCED17">
            <w:pPr>
              <w:pStyle w:val="20"/>
              <w:spacing w:before="119" w:line="220" w:lineRule="auto"/>
              <w:ind w:left="42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李琳</w:t>
            </w:r>
          </w:p>
        </w:tc>
        <w:tc>
          <w:tcPr>
            <w:tcW w:w="1953" w:type="dxa"/>
            <w:vAlign w:val="top"/>
          </w:tcPr>
          <w:p w14:paraId="74216017">
            <w:pPr>
              <w:pStyle w:val="20"/>
              <w:spacing w:before="120" w:line="221" w:lineRule="auto"/>
              <w:ind w:left="62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张仲全</w:t>
            </w:r>
          </w:p>
        </w:tc>
      </w:tr>
      <w:tr w14:paraId="2A694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2CC3AD1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096541B0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7640E46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84CECBC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9211409">
            <w:pPr>
              <w:rPr>
                <w:rFonts w:ascii="Arial"/>
                <w:sz w:val="21"/>
              </w:rPr>
            </w:pPr>
          </w:p>
        </w:tc>
      </w:tr>
      <w:tr w14:paraId="2528D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31C53992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5705111E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1044A089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A386F9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F5F5BF7">
            <w:pPr>
              <w:rPr>
                <w:rFonts w:ascii="Arial"/>
                <w:sz w:val="21"/>
              </w:rPr>
            </w:pPr>
          </w:p>
        </w:tc>
      </w:tr>
    </w:tbl>
    <w:p w14:paraId="0B0739E4">
      <w:pPr>
        <w:pStyle w:val="11"/>
      </w:pPr>
    </w:p>
    <w:p w14:paraId="2A7B4E74">
      <w:pPr>
        <w:sectPr>
          <w:pgSz w:w="11906" w:h="16839"/>
          <w:pgMar w:top="1431" w:right="1015" w:bottom="0" w:left="1785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41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F0088B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42EFE1E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8F715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_Toc23710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_Toc23710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8E6B1D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_Toc25913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367CF92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_Toc13875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_Toc13875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72FBD6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95BD36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5F37D5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_Toc4798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服务质量管理活动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886B97A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_Toc24139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运维服务能力内审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_Toc24139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7AAEE1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_Toc5846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运维服务能力管理评审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_Toc5846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7CF487A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_Toc11470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_Toc11470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80DFE2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运维服务体系过程改进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45AFBE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_Toc18184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6.5.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质量培训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_Toc18184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5EFFA1">
          <w:pPr>
            <w:pStyle w:val="14"/>
            <w:tabs>
              <w:tab w:val="right" w:leader="dot" w:pos="849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_Toc30296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运维服务质量管理计划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_Toc30296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D452E7">
          <w:pPr>
            <w:spacing w:line="221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3F731707">
      <w:pPr>
        <w:spacing w:line="221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0A5CAED">
      <w:pPr>
        <w:pStyle w:val="21"/>
        <w:bidi w:val="0"/>
      </w:pPr>
      <w:bookmarkStart w:id="1" w:name="_Toc23710"/>
      <w:r>
        <w:t>目的</w:t>
      </w:r>
      <w:bookmarkEnd w:id="1"/>
    </w:p>
    <w:p w14:paraId="519EF7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4"/>
          <w:sz w:val="24"/>
          <w:szCs w:val="24"/>
        </w:rPr>
        <w:t>内容和要求，提高服务质量特制定此服务目录。</w:t>
      </w:r>
    </w:p>
    <w:p w14:paraId="11B12683">
      <w:pPr>
        <w:pStyle w:val="21"/>
        <w:bidi w:val="0"/>
      </w:pPr>
      <w:bookmarkStart w:id="2" w:name="_Toc25913"/>
      <w:r>
        <w:t>适用范围</w:t>
      </w:r>
      <w:bookmarkEnd w:id="2"/>
    </w:p>
    <w:p w14:paraId="16C53E3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本手册适用于本公司参与运维服务业务的部门和人员</w:t>
      </w:r>
    </w:p>
    <w:p w14:paraId="5EDAEEE1">
      <w:pPr>
        <w:pStyle w:val="21"/>
        <w:bidi w:val="0"/>
      </w:pPr>
      <w:bookmarkStart w:id="3" w:name="_Toc13875"/>
      <w:r>
        <w:t>引用文件</w:t>
      </w:r>
      <w:bookmarkEnd w:id="3"/>
    </w:p>
    <w:p w14:paraId="0BFFE16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position w:val="1"/>
          <w:sz w:val="24"/>
          <w:szCs w:val="24"/>
        </w:rPr>
        <w:t>T/CESA 1299—2023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运行维护服务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能力成熟度模型》</w:t>
      </w:r>
    </w:p>
    <w:p w14:paraId="40BF9DF5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>GB/T 28827.1-2</w:t>
      </w:r>
      <w:r>
        <w:rPr>
          <w:spacing w:val="-1"/>
          <w:position w:val="1"/>
          <w:sz w:val="24"/>
          <w:szCs w:val="24"/>
        </w:rPr>
        <w:t>0</w:t>
      </w:r>
      <w:r>
        <w:rPr>
          <w:rFonts w:hint="eastAsia" w:eastAsia="宋体"/>
          <w:spacing w:val="-1"/>
          <w:position w:val="1"/>
          <w:sz w:val="24"/>
          <w:szCs w:val="24"/>
          <w:lang w:val="en-US" w:eastAsia="zh-CN"/>
        </w:rPr>
        <w:t>2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1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部分：通用要求》</w:t>
      </w:r>
    </w:p>
    <w:p w14:paraId="0906863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12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分类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与代码》</w:t>
      </w:r>
    </w:p>
    <w:p w14:paraId="3F1B0B5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</w:t>
      </w:r>
      <w:r>
        <w:rPr>
          <w:spacing w:val="5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部分</w:t>
      </w:r>
      <w:r>
        <w:rPr>
          <w:position w:val="1"/>
          <w:sz w:val="24"/>
          <w:szCs w:val="24"/>
        </w:rPr>
        <w:t>:</w:t>
      </w:r>
      <w:r>
        <w:rPr>
          <w:rFonts w:ascii="宋体" w:hAnsi="宋体" w:eastAsia="宋体" w:cs="宋体"/>
          <w:position w:val="1"/>
          <w:sz w:val="24"/>
          <w:szCs w:val="24"/>
        </w:rPr>
        <w:t>交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付规范》</w:t>
      </w:r>
    </w:p>
    <w:p w14:paraId="117A2E24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GB/T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28827.3-2012</w:t>
      </w:r>
      <w:r>
        <w:rPr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运行维护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1"/>
          <w:sz w:val="24"/>
          <w:szCs w:val="24"/>
        </w:rPr>
        <w:t>部分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1390E25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position w:val="1"/>
          <w:sz w:val="24"/>
          <w:szCs w:val="24"/>
        </w:rPr>
        <w:t>国家有关法律、法规及行业标准</w:t>
      </w:r>
    </w:p>
    <w:p w14:paraId="1C3BAEED">
      <w:pPr>
        <w:pStyle w:val="21"/>
        <w:bidi w:val="0"/>
      </w:pPr>
      <w:bookmarkStart w:id="4" w:name="_Toc19670"/>
      <w:r>
        <w:t>术语与定义</w:t>
      </w:r>
      <w:bookmarkEnd w:id="4"/>
    </w:p>
    <w:p w14:paraId="03D7DAC6">
      <w:pPr>
        <w:spacing w:before="115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0B4C03A1">
      <w:pPr>
        <w:pStyle w:val="21"/>
        <w:bidi w:val="0"/>
      </w:pPr>
      <w:bookmarkStart w:id="5" w:name="_Toc20070"/>
      <w:r>
        <w:t>角色与职责</w:t>
      </w:r>
      <w:bookmarkEnd w:id="5"/>
    </w:p>
    <w:p w14:paraId="11E43EB9">
      <w:pPr>
        <w:spacing w:before="157"/>
      </w:pPr>
    </w:p>
    <w:tbl>
      <w:tblPr>
        <w:tblStyle w:val="19"/>
        <w:tblW w:w="8364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6849"/>
      </w:tblGrid>
      <w:tr w14:paraId="6B2B07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515" w:type="dxa"/>
            <w:shd w:val="clear" w:color="auto" w:fill="F2F2F2"/>
            <w:vAlign w:val="top"/>
          </w:tcPr>
          <w:p w14:paraId="0470BD93">
            <w:pPr>
              <w:pStyle w:val="20"/>
              <w:spacing w:before="125" w:line="219" w:lineRule="auto"/>
              <w:ind w:left="524"/>
            </w:pPr>
            <w:r>
              <w:rPr>
                <w:b/>
                <w:bCs/>
                <w:spacing w:val="-6"/>
              </w:rPr>
              <w:t>角色</w:t>
            </w:r>
          </w:p>
        </w:tc>
        <w:tc>
          <w:tcPr>
            <w:tcW w:w="6849" w:type="dxa"/>
            <w:shd w:val="clear" w:color="auto" w:fill="F2F2F2"/>
            <w:vAlign w:val="top"/>
          </w:tcPr>
          <w:p w14:paraId="119FF948">
            <w:pPr>
              <w:pStyle w:val="20"/>
              <w:spacing w:before="126" w:line="221" w:lineRule="auto"/>
              <w:ind w:left="3188"/>
            </w:pPr>
            <w:r>
              <w:rPr>
                <w:b/>
                <w:bCs/>
                <w:spacing w:val="-6"/>
              </w:rPr>
              <w:t>职责</w:t>
            </w:r>
          </w:p>
        </w:tc>
      </w:tr>
      <w:tr w14:paraId="451F2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vAlign w:val="top"/>
          </w:tcPr>
          <w:p w14:paraId="773FDB6B">
            <w:pPr>
              <w:spacing w:line="265" w:lineRule="auto"/>
              <w:rPr>
                <w:rFonts w:ascii="Arial"/>
                <w:sz w:val="21"/>
              </w:rPr>
            </w:pPr>
          </w:p>
          <w:p w14:paraId="5E9FF7E3">
            <w:pPr>
              <w:spacing w:line="266" w:lineRule="auto"/>
              <w:rPr>
                <w:rFonts w:ascii="Arial"/>
                <w:sz w:val="21"/>
              </w:rPr>
            </w:pPr>
          </w:p>
          <w:p w14:paraId="7D8A09B6">
            <w:pPr>
              <w:pStyle w:val="20"/>
              <w:spacing w:before="78" w:line="220" w:lineRule="auto"/>
              <w:ind w:left="118"/>
            </w:pPr>
            <w:r>
              <w:rPr>
                <w:spacing w:val="-4"/>
              </w:rPr>
              <w:t>管理层</w:t>
            </w:r>
          </w:p>
        </w:tc>
        <w:tc>
          <w:tcPr>
            <w:tcW w:w="6849" w:type="dxa"/>
            <w:vAlign w:val="top"/>
          </w:tcPr>
          <w:p w14:paraId="45BAAA51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负责审批年度服务能力管理计划。</w:t>
            </w:r>
          </w:p>
          <w:p w14:paraId="6B89F460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定期对服务实施过程和服务实施过程的改进进行监控管理。</w:t>
            </w:r>
          </w:p>
          <w:p w14:paraId="21DE0928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负责公司运维服务体系的管理评审，以确保运维服务能力适</w:t>
            </w:r>
          </w:p>
          <w:p w14:paraId="19ED47C7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t>应性和有效性。</w:t>
            </w:r>
          </w:p>
        </w:tc>
      </w:tr>
      <w:tr w14:paraId="49D1AE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shd w:val="clear" w:color="auto" w:fill="auto"/>
            <w:vAlign w:val="top"/>
          </w:tcPr>
          <w:p w14:paraId="4DD5F36C">
            <w:pPr>
              <w:spacing w:line="247" w:lineRule="auto"/>
              <w:rPr>
                <w:rFonts w:ascii="Arial"/>
                <w:sz w:val="21"/>
              </w:rPr>
            </w:pPr>
          </w:p>
          <w:p w14:paraId="457BC7BC">
            <w:pPr>
              <w:spacing w:line="247" w:lineRule="auto"/>
              <w:rPr>
                <w:rFonts w:ascii="Arial"/>
                <w:sz w:val="21"/>
              </w:rPr>
            </w:pPr>
          </w:p>
          <w:p w14:paraId="177FF409">
            <w:pPr>
              <w:spacing w:line="247" w:lineRule="auto"/>
              <w:rPr>
                <w:rFonts w:ascii="Arial"/>
                <w:sz w:val="21"/>
              </w:rPr>
            </w:pPr>
          </w:p>
          <w:p w14:paraId="60258F48">
            <w:pPr>
              <w:spacing w:line="247" w:lineRule="auto"/>
              <w:rPr>
                <w:rFonts w:ascii="Arial"/>
                <w:sz w:val="21"/>
              </w:rPr>
            </w:pPr>
          </w:p>
          <w:p w14:paraId="08AF7C30">
            <w:pPr>
              <w:spacing w:line="247" w:lineRule="auto"/>
              <w:rPr>
                <w:rFonts w:ascii="Arial"/>
                <w:sz w:val="21"/>
              </w:rPr>
            </w:pPr>
          </w:p>
          <w:p w14:paraId="63223390">
            <w:pPr>
              <w:spacing w:line="247" w:lineRule="auto"/>
              <w:rPr>
                <w:rFonts w:ascii="Arial"/>
                <w:sz w:val="21"/>
              </w:rPr>
            </w:pPr>
          </w:p>
          <w:p w14:paraId="26F807A2">
            <w:pPr>
              <w:spacing w:line="248" w:lineRule="auto"/>
              <w:rPr>
                <w:rFonts w:ascii="Arial"/>
                <w:sz w:val="21"/>
              </w:rPr>
            </w:pPr>
          </w:p>
          <w:p w14:paraId="2C38C047">
            <w:pPr>
              <w:spacing w:line="248" w:lineRule="auto"/>
              <w:rPr>
                <w:rFonts w:ascii="Arial"/>
                <w:sz w:val="21"/>
              </w:rPr>
            </w:pPr>
          </w:p>
          <w:p w14:paraId="7592E7C9">
            <w:pPr>
              <w:spacing w:line="248" w:lineRule="auto"/>
              <w:rPr>
                <w:rFonts w:ascii="Arial"/>
                <w:sz w:val="21"/>
              </w:rPr>
            </w:pPr>
          </w:p>
          <w:p w14:paraId="323438D9">
            <w:pPr>
              <w:spacing w:line="248" w:lineRule="auto"/>
              <w:rPr>
                <w:rFonts w:ascii="Arial"/>
                <w:sz w:val="21"/>
              </w:rPr>
            </w:pPr>
          </w:p>
          <w:p w14:paraId="2EF5367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6849" w:type="dxa"/>
            <w:shd w:val="clear" w:color="auto" w:fill="auto"/>
            <w:vAlign w:val="top"/>
          </w:tcPr>
          <w:p w14:paraId="2C0B2509">
            <w:pPr>
              <w:pStyle w:val="20"/>
              <w:spacing w:before="113" w:line="302" w:lineRule="auto"/>
              <w:ind w:left="572" w:right="279" w:hanging="417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负责运维服务的公司级质量保证，制定总体的服务质量管</w:t>
            </w:r>
            <w:r>
              <w:rPr>
                <w:spacing w:val="-9"/>
              </w:rPr>
              <w:t>理计划。</w:t>
            </w:r>
          </w:p>
          <w:p w14:paraId="671F4F58">
            <w:pPr>
              <w:pStyle w:val="20"/>
              <w:spacing w:before="191" w:line="301" w:lineRule="auto"/>
              <w:ind w:left="570" w:right="103" w:hanging="41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监控运维服务质量,</w:t>
            </w:r>
            <w:r>
              <w:rPr>
                <w:spacing w:val="36"/>
              </w:rPr>
              <w:t xml:space="preserve">  </w:t>
            </w:r>
            <w:r>
              <w:rPr>
                <w:spacing w:val="-1"/>
              </w:rPr>
              <w:t>定期组织质量分析会议，对运维</w:t>
            </w:r>
            <w:r>
              <w:rPr>
                <w:spacing w:val="-2"/>
              </w:rPr>
              <w:t>业务</w:t>
            </w:r>
            <w:r>
              <w:rPr>
                <w:spacing w:val="-5"/>
              </w:rPr>
              <w:t>开展情况进行评估。</w:t>
            </w:r>
          </w:p>
          <w:p w14:paraId="24A53D2C">
            <w:pPr>
              <w:pStyle w:val="20"/>
              <w:spacing w:before="196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3"/>
              </w:rPr>
              <w:t>对公司运维服务业务的质量进行监控。</w:t>
            </w:r>
          </w:p>
          <w:p w14:paraId="1B954E4D">
            <w:pPr>
              <w:pStyle w:val="20"/>
              <w:spacing w:before="202" w:line="302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负责公司运维服务体系的定期内部评审，对内审中不符合</w:t>
            </w:r>
            <w:r>
              <w:rPr>
                <w:spacing w:val="-4"/>
              </w:rPr>
              <w:t>项的处理进行跟踪记录。</w:t>
            </w:r>
          </w:p>
          <w:p w14:paraId="60CD64E8">
            <w:pPr>
              <w:pStyle w:val="20"/>
              <w:spacing w:before="19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负责改进措施的监督及检查。</w:t>
            </w:r>
          </w:p>
          <w:p w14:paraId="17B89A10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3"/>
              </w:rPr>
              <w:t>对重大投诉进行原因分析、处理和回访。</w:t>
            </w:r>
          </w:p>
          <w:p w14:paraId="16B21C0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对每年运维服务报告进行审查。</w:t>
            </w:r>
          </w:p>
          <w:p w14:paraId="102F9D4E">
            <w:pPr>
              <w:pStyle w:val="20"/>
              <w:spacing w:before="203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负责客户满意度调查。</w:t>
            </w:r>
          </w:p>
        </w:tc>
      </w:tr>
      <w:tr w14:paraId="2E74D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 w:color="auto" w:fill="auto"/>
            <w:vAlign w:val="top"/>
          </w:tcPr>
          <w:p w14:paraId="6E01CF39">
            <w:pPr>
              <w:spacing w:line="247" w:lineRule="auto"/>
              <w:rPr>
                <w:rFonts w:ascii="Arial"/>
                <w:sz w:val="21"/>
              </w:rPr>
            </w:pPr>
          </w:p>
          <w:p w14:paraId="4212B990">
            <w:pPr>
              <w:spacing w:line="247" w:lineRule="auto"/>
              <w:rPr>
                <w:rFonts w:ascii="Arial"/>
                <w:sz w:val="21"/>
              </w:rPr>
            </w:pPr>
          </w:p>
          <w:p w14:paraId="1778E802">
            <w:pPr>
              <w:spacing w:line="247" w:lineRule="auto"/>
              <w:rPr>
                <w:rFonts w:ascii="Arial"/>
                <w:sz w:val="21"/>
              </w:rPr>
            </w:pPr>
          </w:p>
          <w:p w14:paraId="5C5667D1">
            <w:pPr>
              <w:spacing w:line="247" w:lineRule="auto"/>
              <w:rPr>
                <w:rFonts w:ascii="Arial"/>
                <w:sz w:val="21"/>
              </w:rPr>
            </w:pPr>
          </w:p>
          <w:p w14:paraId="69021A58">
            <w:pPr>
              <w:spacing w:line="247" w:lineRule="auto"/>
              <w:rPr>
                <w:rFonts w:ascii="Arial"/>
                <w:sz w:val="21"/>
              </w:rPr>
            </w:pPr>
          </w:p>
          <w:p w14:paraId="5C51D51F">
            <w:pPr>
              <w:spacing w:line="247" w:lineRule="auto"/>
              <w:rPr>
                <w:rFonts w:ascii="Arial"/>
                <w:sz w:val="21"/>
              </w:rPr>
            </w:pPr>
          </w:p>
          <w:p w14:paraId="59D4BA52">
            <w:pPr>
              <w:spacing w:line="247" w:lineRule="auto"/>
              <w:rPr>
                <w:rFonts w:ascii="Arial"/>
                <w:sz w:val="21"/>
              </w:rPr>
            </w:pPr>
          </w:p>
          <w:p w14:paraId="08958E50">
            <w:pPr>
              <w:spacing w:line="247" w:lineRule="auto"/>
              <w:rPr>
                <w:rFonts w:ascii="Arial"/>
                <w:sz w:val="21"/>
              </w:rPr>
            </w:pPr>
          </w:p>
          <w:p w14:paraId="48591D2B">
            <w:pPr>
              <w:spacing w:line="248" w:lineRule="auto"/>
              <w:rPr>
                <w:rFonts w:ascii="Arial"/>
                <w:sz w:val="21"/>
              </w:rPr>
            </w:pPr>
          </w:p>
          <w:p w14:paraId="3A134E2A">
            <w:pPr>
              <w:spacing w:line="248" w:lineRule="auto"/>
              <w:rPr>
                <w:rFonts w:ascii="Arial"/>
                <w:sz w:val="21"/>
              </w:rPr>
            </w:pPr>
          </w:p>
          <w:p w14:paraId="75C83131">
            <w:pPr>
              <w:spacing w:line="248" w:lineRule="auto"/>
              <w:rPr>
                <w:rFonts w:ascii="Arial"/>
                <w:sz w:val="21"/>
              </w:rPr>
            </w:pPr>
          </w:p>
          <w:p w14:paraId="4C8BD45E">
            <w:pPr>
              <w:pStyle w:val="20"/>
              <w:spacing w:before="78" w:line="220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E683D1">
            <w:pPr>
              <w:pStyle w:val="20"/>
              <w:spacing w:before="117" w:line="301" w:lineRule="auto"/>
              <w:ind w:left="571" w:right="159" w:hanging="416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负责对所运维业务进行质量控制,对质量部和服务台提供的</w:t>
            </w:r>
            <w:r>
              <w:rPr>
                <w:spacing w:val="-3"/>
              </w:rPr>
              <w:t>客户服务质量调查结果进行分析和处理。</w:t>
            </w:r>
          </w:p>
          <w:p w14:paraId="551FBE27">
            <w:pPr>
              <w:pStyle w:val="20"/>
              <w:spacing w:before="194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定期组织召开质量分析会。</w:t>
            </w:r>
          </w:p>
          <w:p w14:paraId="4D6D3F51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跟踪客户投诉的处理过程。</w:t>
            </w:r>
          </w:p>
          <w:p w14:paraId="18BD34B8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2"/>
              </w:rPr>
              <w:t>定期编写总结报告，持续改进完善维护服务能力和质量。</w:t>
            </w:r>
          </w:p>
          <w:p w14:paraId="6CEF17A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负责监控服务的处理过程。</w:t>
            </w:r>
          </w:p>
          <w:p w14:paraId="3DA3E8D4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对每个处理事件进行客户回访。</w:t>
            </w:r>
          </w:p>
          <w:p w14:paraId="156D4AA8">
            <w:pPr>
              <w:pStyle w:val="20"/>
              <w:spacing w:before="204" w:line="301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接收和处理客户投诉，重要的客户投诉信息及时反馈给相</w:t>
            </w:r>
            <w:r>
              <w:rPr>
                <w:spacing w:val="-7"/>
              </w:rPr>
              <w:t>关部门处理。</w:t>
            </w:r>
          </w:p>
          <w:p w14:paraId="3243D77F">
            <w:pPr>
              <w:pStyle w:val="20"/>
              <w:spacing w:before="195" w:line="326" w:lineRule="auto"/>
              <w:ind w:left="571" w:leftChars="0" w:right="279" w:rightChars="0" w:hanging="41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包括运维项目经理、技术支持工程师、网络工程师等相关人员，按照运维岗位职责的要求、工作流程及质量要求，</w:t>
            </w:r>
            <w:r>
              <w:rPr>
                <w:spacing w:val="-3"/>
              </w:rPr>
              <w:t>实施具体运维服务任务，并将过程形成记录。</w:t>
            </w:r>
          </w:p>
        </w:tc>
      </w:tr>
      <w:tr w14:paraId="1F827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 w:color="auto" w:fill="auto"/>
            <w:vAlign w:val="top"/>
          </w:tcPr>
          <w:p w14:paraId="213B8D1A">
            <w:pPr>
              <w:spacing w:line="269" w:lineRule="auto"/>
              <w:rPr>
                <w:rFonts w:ascii="Arial"/>
                <w:sz w:val="21"/>
              </w:rPr>
            </w:pPr>
          </w:p>
          <w:p w14:paraId="25BE9155">
            <w:pPr>
              <w:spacing w:line="269" w:lineRule="auto"/>
              <w:rPr>
                <w:rFonts w:ascii="Arial"/>
                <w:sz w:val="21"/>
              </w:rPr>
            </w:pPr>
          </w:p>
          <w:p w14:paraId="49ABA59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其他部门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C31906">
            <w:pPr>
              <w:pStyle w:val="20"/>
              <w:spacing w:before="121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6"/>
              </w:rPr>
              <w:t>参与能力管理计划的制定；</w:t>
            </w:r>
          </w:p>
          <w:p w14:paraId="6253B28A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</w:t>
            </w:r>
            <w:r>
              <w:rPr>
                <w:spacing w:val="-6"/>
              </w:rPr>
              <w:t>按照能力管理计划实施；</w:t>
            </w:r>
          </w:p>
          <w:p w14:paraId="4E86E509">
            <w:pPr>
              <w:pStyle w:val="20"/>
              <w:spacing w:before="202" w:line="220" w:lineRule="auto"/>
              <w:ind w:left="155"/>
              <w:rPr>
                <w:spacing w:val="-3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接受质量中心的监督和检查，并定期汇报计划的实施情况；</w:t>
            </w:r>
          </w:p>
          <w:p w14:paraId="796D693E">
            <w:pPr>
              <w:pStyle w:val="20"/>
              <w:spacing w:before="202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针对实施过程中发现的问题采取有效的改进措施。</w:t>
            </w:r>
          </w:p>
        </w:tc>
      </w:tr>
    </w:tbl>
    <w:p w14:paraId="0D9A4FC8">
      <w:pPr>
        <w:spacing w:line="91" w:lineRule="auto"/>
        <w:rPr>
          <w:rFonts w:ascii="Arial"/>
          <w:sz w:val="2"/>
        </w:rPr>
      </w:pPr>
    </w:p>
    <w:p w14:paraId="561F0B1F">
      <w:pPr>
        <w:spacing w:line="91" w:lineRule="auto"/>
        <w:rPr>
          <w:rFonts w:ascii="Arial"/>
          <w:sz w:val="2"/>
        </w:rPr>
      </w:pPr>
    </w:p>
    <w:p w14:paraId="3C267201">
      <w:pPr>
        <w:pStyle w:val="21"/>
        <w:bidi w:val="0"/>
      </w:pPr>
      <w:bookmarkStart w:id="6" w:name="bookmark1"/>
      <w:bookmarkEnd w:id="6"/>
      <w:bookmarkStart w:id="7" w:name="_Toc4798"/>
      <w:r>
        <w:t>服务质量管理活动</w:t>
      </w:r>
      <w:bookmarkEnd w:id="7"/>
    </w:p>
    <w:p w14:paraId="14FF7D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为达成服务质量目标，检查运维体系的实施情况，2025年度计划执行的服务质量管理活动，具体目标如下：</w:t>
      </w:r>
    </w:p>
    <w:p w14:paraId="483E26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提高客户满意度：客户满意度平均分≥9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</w:t>
      </w:r>
    </w:p>
    <w:p w14:paraId="12CB49C2">
      <w:pPr>
        <w:pStyle w:val="22"/>
        <w:bidi w:val="0"/>
      </w:pPr>
      <w:bookmarkStart w:id="8" w:name="bookmark1"/>
      <w:bookmarkEnd w:id="8"/>
      <w:bookmarkStart w:id="9" w:name="_Toc24139"/>
      <w:r>
        <w:t>运维服务能力内审</w:t>
      </w:r>
      <w:bookmarkEnd w:id="9"/>
    </w:p>
    <w:p w14:paraId="7FADC04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pacing w:val="-1"/>
          <w:sz w:val="24"/>
          <w:szCs w:val="24"/>
        </w:rPr>
        <w:t>审核运维服务活动及其结果是否符合策划的安排，确保运维服务体系的</w:t>
      </w:r>
      <w:r>
        <w:rPr>
          <w:rFonts w:ascii="宋体" w:hAnsi="宋体" w:eastAsia="宋体" w:cs="宋体"/>
          <w:spacing w:val="-9"/>
          <w:sz w:val="24"/>
          <w:szCs w:val="24"/>
        </w:rPr>
        <w:t>有效性。</w:t>
      </w:r>
    </w:p>
    <w:p w14:paraId="4246F8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pacing w:val="-1"/>
          <w:sz w:val="24"/>
          <w:szCs w:val="24"/>
        </w:rPr>
        <w:t>运维服务能力内审由质量中心负责组织实施。</w:t>
      </w:r>
    </w:p>
    <w:p w14:paraId="04768370">
      <w:pPr>
        <w:pStyle w:val="22"/>
        <w:bidi w:val="0"/>
      </w:pPr>
      <w:bookmarkStart w:id="10" w:name="bookmark1"/>
      <w:bookmarkEnd w:id="10"/>
      <w:bookmarkStart w:id="11" w:name="_Toc5846"/>
      <w:r>
        <w:t>运维服务能力管理评审</w:t>
      </w:r>
      <w:bookmarkEnd w:id="11"/>
    </w:p>
    <w:p w14:paraId="1BAB54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管理评审目的是对公司运维服务管理体系进行系统评审，识别并确定各种改进的机会和需要，确保运维服务管理体系持续的适宜性、充分性和有效性。</w:t>
      </w:r>
    </w:p>
    <w:p w14:paraId="76BC75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运维服务能力管理评审由管理者代表负责组织实施，质量中心协助。</w:t>
      </w:r>
    </w:p>
    <w:p w14:paraId="4A92FA1B">
      <w:pPr>
        <w:pStyle w:val="22"/>
        <w:bidi w:val="0"/>
      </w:pPr>
      <w:bookmarkStart w:id="12" w:name="_Toc11470"/>
      <w:r>
        <w:t>客户满意度调查</w:t>
      </w:r>
      <w:bookmarkEnd w:id="12"/>
    </w:p>
    <w:p w14:paraId="1824DE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满意度调查工作由服务台和质量中心组织完成，其中，服务台负责项目级客户满意度调查，质量中心负责公司级客户满意度调查。客户满意度调查可采取邮件、问卷、电话、面谈等多种方式。2025年至少进行一次公司级客户满意度调查，并进行汇总分析。</w:t>
      </w:r>
    </w:p>
    <w:p w14:paraId="721F62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项目级的客户满意度调查是对每个已解决的事件或问题在 24 小时内进行电话回访，确认工程师是否成功解决问题，了解客户对处理结果的满意度。</w:t>
      </w:r>
    </w:p>
    <w:p w14:paraId="4AB7E1D6">
      <w:pPr>
        <w:pStyle w:val="22"/>
        <w:bidi w:val="0"/>
      </w:pPr>
      <w:bookmarkStart w:id="13" w:name="bookmark1"/>
      <w:bookmarkEnd w:id="13"/>
      <w:bookmarkStart w:id="14" w:name="_Toc14478"/>
      <w:r>
        <w:t>运维服务体系过程改进</w:t>
      </w:r>
      <w:bookmarkEnd w:id="14"/>
    </w:p>
    <w:p w14:paraId="486039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日常工作中，通过对运维服务项目过程的监督检查，收集服务提供过程中存在的问题，确定运维服务改进的需求。</w:t>
      </w:r>
    </w:p>
    <w:p w14:paraId="4CC441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定期收集和分析运维服务指标完成情况，发现并确定运维服务改进需求。</w:t>
      </w:r>
    </w:p>
    <w:p w14:paraId="7C2866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对客户反馈意见进行收集和分析（包括满意度调查结果和客户投诉意见），了解客户意见和需求，为改进提供依据。</w:t>
      </w:r>
    </w:p>
    <w:p w14:paraId="1DFDE804">
      <w:pPr>
        <w:pStyle w:val="22"/>
        <w:bidi w:val="0"/>
      </w:pPr>
      <w:bookmarkStart w:id="15" w:name="bookmark1"/>
      <w:bookmarkEnd w:id="15"/>
      <w:bookmarkStart w:id="16" w:name="_Toc18184"/>
      <w:r>
        <w:rPr>
          <w:rFonts w:hint="eastAsia"/>
          <w:lang w:val="en-US" w:eastAsia="zh-CN"/>
        </w:rPr>
        <w:t>质量培训</w:t>
      </w:r>
      <w:bookmarkEnd w:id="16"/>
    </w:p>
    <w:p w14:paraId="1C3FD8B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通过对运维服务人员进行专业知识培训,提高运维服务人员的职业技能，从而提高服务质量和客户满意度、避免客户投诉</w:t>
      </w:r>
    </w:p>
    <w:p w14:paraId="2B6AEE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17" w:name="bookmark1"/>
      <w:bookmarkEnd w:id="17"/>
    </w:p>
    <w:p w14:paraId="4F5D88EB">
      <w:pPr>
        <w:pStyle w:val="21"/>
        <w:bidi w:val="0"/>
      </w:pPr>
      <w:bookmarkStart w:id="18" w:name="_Toc30296"/>
      <w:r>
        <w:t>运维服务质量管理计划</w:t>
      </w:r>
      <w:bookmarkEnd w:id="1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294"/>
        <w:gridCol w:w="4476"/>
        <w:gridCol w:w="1070"/>
        <w:gridCol w:w="643"/>
        <w:gridCol w:w="761"/>
        <w:gridCol w:w="1337"/>
      </w:tblGrid>
      <w:tr w14:paraId="1D122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76" w:type="dxa"/>
            <w:vAlign w:val="center"/>
          </w:tcPr>
          <w:p w14:paraId="6B27444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编号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BEEEFB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工作项目</w:t>
            </w:r>
          </w:p>
        </w:tc>
        <w:tc>
          <w:tcPr>
            <w:tcW w:w="3323" w:type="dxa"/>
            <w:shd w:val="clear" w:color="auto" w:fill="auto"/>
            <w:vAlign w:val="center"/>
          </w:tcPr>
          <w:p w14:paraId="7A14015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措施及要求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964B10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责任部门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96968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配合部门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D403C7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负责人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1A08FB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计划实施日期</w:t>
            </w:r>
          </w:p>
        </w:tc>
      </w:tr>
      <w:tr w14:paraId="48C5A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6EC34E4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41C765B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运维服务质量目标策划分解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1BC79164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组织制定部门运维服务质量目标；</w:t>
            </w:r>
          </w:p>
          <w:p w14:paraId="563FBF4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对部门运维服务质量目标进行分解，制定质量目标展开对策表。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259B53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5452339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28D9ACD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运维服务部经理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5FD230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2025年 1 月</w:t>
            </w:r>
          </w:p>
        </w:tc>
      </w:tr>
      <w:tr w14:paraId="0FA52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2C42D8C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43C0C3A9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质量信息反馈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3B09DA2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加强与用户的联系，主动征求意见；</w:t>
            </w:r>
          </w:p>
          <w:p w14:paraId="14F33056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按规定及时交流和采用反馈信息；</w:t>
            </w:r>
          </w:p>
          <w:p w14:paraId="5F8BF684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3. 通过公司、事件不同角度的用户满意度调查和统计分析，及时掌握用户要求和用户意见；</w:t>
            </w:r>
          </w:p>
          <w:p w14:paraId="76F71D3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4. 跟踪问题处置；</w:t>
            </w:r>
          </w:p>
          <w:p w14:paraId="414C645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5. 处理用户投诉；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FC9083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68915B3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4C0C05D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运维服务部经理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2F1BF1D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全年</w:t>
            </w:r>
          </w:p>
        </w:tc>
      </w:tr>
      <w:tr w14:paraId="0B35D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59B2F58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3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2654F97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运维服务制度的培训与学习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1AF4989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运维服务文件下发后，应及时组织学习。</w:t>
            </w:r>
          </w:p>
          <w:p w14:paraId="4E29A5E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结合监督检查、内审、管理评审中发现的不符合项，学习有关管理文件；</w:t>
            </w:r>
          </w:p>
          <w:p w14:paraId="1581296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3. 做好学习记录。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622779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人力资源部、</w:t>
            </w:r>
          </w:p>
          <w:p w14:paraId="61B4297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A30CA4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各相关部门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0DAECAB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人力资源部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5F9164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2025年 3 月</w:t>
            </w:r>
          </w:p>
          <w:p w14:paraId="36FC43A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2025年 6 月</w:t>
            </w:r>
          </w:p>
        </w:tc>
      </w:tr>
      <w:tr w14:paraId="259D5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C6E309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2B1D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运维服务能力管理体系过程控制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2CA3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各部门强化工作范围内的执行规范，严格按照管理规定，做好服务工作的过程控制，保障过程文档记录的有效性和完整性，做到有章可循、有据可查；</w:t>
            </w:r>
          </w:p>
          <w:p w14:paraId="4CA76324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运维服务部认真做好定期的服务回顾与报告分析，继续强化周例会、服务巡检、检查审核，针对总结出的问题认真处置，保持一种较好的服务状态；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A135E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BA48C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C7FD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运维服务部经理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E42F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全年</w:t>
            </w:r>
          </w:p>
        </w:tc>
      </w:tr>
      <w:tr w14:paraId="1760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9B567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F02D2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客户满意度调查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3A50D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质量中心每年对运维服务客户进行公司级客户满意度调查。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63E3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运维服务部、质量中心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B1285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64BF9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0AC2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2025年 6 月</w:t>
            </w:r>
          </w:p>
        </w:tc>
      </w:tr>
      <w:tr w14:paraId="74257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5CF34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74355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内审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0B952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 按规定要求制订审核计划，选好内审员，做好内审前培训；做好各项准备工作，开预备会议；</w:t>
            </w:r>
          </w:p>
          <w:p w14:paraId="395D298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现场审核，做好审核记录；</w:t>
            </w:r>
          </w:p>
          <w:p w14:paraId="23AE66A2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编写审核报告并及时下发；</w:t>
            </w:r>
          </w:p>
          <w:p w14:paraId="26577B99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对不符合项按规定认真进行整改和验证。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49016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40C0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D235D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77DBD6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2025年 </w:t>
            </w: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 月（外审前进行一次）</w:t>
            </w:r>
          </w:p>
        </w:tc>
      </w:tr>
      <w:tr w14:paraId="3160B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2DDC3A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78CE8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管理评审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A0D17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1. 根据总经理意见，质量中心编制运维服务管理评审计划，组织编制管理评审专题报告</w:t>
            </w:r>
          </w:p>
          <w:p w14:paraId="0F012FA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2. 副总经理组织汇报及评审材料，提交会议评审；</w:t>
            </w:r>
          </w:p>
          <w:p w14:paraId="575FCD1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3. 总经理主持，有关部门和人 员参加，实施运维服务管理评审，并做好记录；编制评审报告并发放；</w:t>
            </w:r>
          </w:p>
          <w:p w14:paraId="74AF8C8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4. 实施运维服务管理评审报告有关工作。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8D6C5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8495B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0C8A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AA13B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2025年 </w:t>
            </w: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9"/>
                <w:szCs w:val="19"/>
              </w:rPr>
              <w:t>月</w:t>
            </w:r>
          </w:p>
          <w:p w14:paraId="4709F535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（外审前进行一次）</w:t>
            </w:r>
          </w:p>
        </w:tc>
      </w:tr>
      <w:tr w14:paraId="2DB39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91565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80B1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运维服务质量目标实施效</w:t>
            </w:r>
            <w:bookmarkStart w:id="19" w:name="_GoBack"/>
            <w:bookmarkEnd w:id="19"/>
            <w:r>
              <w:rPr>
                <w:rFonts w:hint="eastAsia" w:ascii="宋体" w:hAnsi="宋体" w:eastAsia="宋体" w:cs="宋体"/>
                <w:sz w:val="19"/>
                <w:szCs w:val="19"/>
              </w:rPr>
              <w:t>果分析评价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575E4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1. 运维服务部经理结合部门年 初制定的运维服务质量目标对策表，针对质量目标进行逐条评价，形成运维服务质量目标实施效果分析评价报告。</w:t>
            </w:r>
          </w:p>
          <w:p w14:paraId="3BBAA07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2. 质量中心根据质量目标分析 评价报告，形成公司级运维服务质量目标实施效果分析评价报告。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7060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3AC9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C881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运维服务部经理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182C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2025年 </w:t>
            </w: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9"/>
                <w:szCs w:val="19"/>
              </w:rPr>
              <w:t>月底</w:t>
            </w:r>
          </w:p>
        </w:tc>
      </w:tr>
      <w:tr w14:paraId="52C67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4A2C8B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A87B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体系文件的持续修订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61B7F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1. 公司各部门日常管理工作流程如发现与体系文件不匹配的情况，根据自身情况对体系文件进行修订、评审、改进。</w:t>
            </w:r>
          </w:p>
          <w:p w14:paraId="7722E74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2. 在内审、管理评审中，发现公司体系文件与 ITSS 标准不符合的情况，应及时对体系文件提出修改建议，持续修订、改进。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B38F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37DE1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4AB7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1F34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全年</w:t>
            </w:r>
          </w:p>
        </w:tc>
      </w:tr>
    </w:tbl>
    <w:p w14:paraId="59DA842F">
      <w:pPr>
        <w:bidi w:val="0"/>
      </w:pPr>
    </w:p>
    <w:sectPr>
      <w:footerReference r:id="rId5" w:type="default"/>
      <w:pgSz w:w="11906" w:h="16839"/>
      <w:pgMar w:top="1431" w:right="634" w:bottom="1375" w:left="1417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35448">
    <w:pPr>
      <w:spacing w:line="167" w:lineRule="auto"/>
      <w:ind w:left="52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DFBCE76"/>
    <w:multiLevelType w:val="singleLevel"/>
    <w:tmpl w:val="FDFBCE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77076"/>
    <w:rsid w:val="0097504A"/>
    <w:rsid w:val="011375A8"/>
    <w:rsid w:val="012D0479"/>
    <w:rsid w:val="013637D1"/>
    <w:rsid w:val="0160034F"/>
    <w:rsid w:val="01A11AA6"/>
    <w:rsid w:val="0210549F"/>
    <w:rsid w:val="0247556A"/>
    <w:rsid w:val="03655CA8"/>
    <w:rsid w:val="04A171B4"/>
    <w:rsid w:val="04FA2D68"/>
    <w:rsid w:val="07593D76"/>
    <w:rsid w:val="076F17EB"/>
    <w:rsid w:val="07797F74"/>
    <w:rsid w:val="07921036"/>
    <w:rsid w:val="07BC60B3"/>
    <w:rsid w:val="088F37C7"/>
    <w:rsid w:val="08966904"/>
    <w:rsid w:val="09954E0D"/>
    <w:rsid w:val="0A081A83"/>
    <w:rsid w:val="0A735208"/>
    <w:rsid w:val="0AC534D0"/>
    <w:rsid w:val="0ADD081A"/>
    <w:rsid w:val="0B0A2510"/>
    <w:rsid w:val="0B983378"/>
    <w:rsid w:val="0BDE6F3F"/>
    <w:rsid w:val="0C012C2E"/>
    <w:rsid w:val="0C880C59"/>
    <w:rsid w:val="0CE75980"/>
    <w:rsid w:val="0D5648B3"/>
    <w:rsid w:val="0E4D5CB6"/>
    <w:rsid w:val="0E7C659C"/>
    <w:rsid w:val="0F205179"/>
    <w:rsid w:val="0F7D76C7"/>
    <w:rsid w:val="0FD22917"/>
    <w:rsid w:val="113174D2"/>
    <w:rsid w:val="11704D8E"/>
    <w:rsid w:val="11763776"/>
    <w:rsid w:val="123C676E"/>
    <w:rsid w:val="13076D7C"/>
    <w:rsid w:val="13623FB2"/>
    <w:rsid w:val="143A3CEC"/>
    <w:rsid w:val="14720225"/>
    <w:rsid w:val="14757D15"/>
    <w:rsid w:val="151632A6"/>
    <w:rsid w:val="159A3ED7"/>
    <w:rsid w:val="16704C38"/>
    <w:rsid w:val="171245E9"/>
    <w:rsid w:val="17BB0135"/>
    <w:rsid w:val="17C074F9"/>
    <w:rsid w:val="17C93BBA"/>
    <w:rsid w:val="18FB4688"/>
    <w:rsid w:val="19E33973"/>
    <w:rsid w:val="1B3B19AF"/>
    <w:rsid w:val="1B593EEC"/>
    <w:rsid w:val="1BED0AD9"/>
    <w:rsid w:val="1C6F7740"/>
    <w:rsid w:val="1D295B40"/>
    <w:rsid w:val="1FA140B4"/>
    <w:rsid w:val="1FF02946"/>
    <w:rsid w:val="2079293B"/>
    <w:rsid w:val="209634ED"/>
    <w:rsid w:val="20BF0C96"/>
    <w:rsid w:val="21F11323"/>
    <w:rsid w:val="23560C4C"/>
    <w:rsid w:val="23CD5478"/>
    <w:rsid w:val="24354219"/>
    <w:rsid w:val="247E49C4"/>
    <w:rsid w:val="24BB1774"/>
    <w:rsid w:val="26722306"/>
    <w:rsid w:val="26E66850"/>
    <w:rsid w:val="283F26BC"/>
    <w:rsid w:val="2A1831C5"/>
    <w:rsid w:val="2A1F64D7"/>
    <w:rsid w:val="2A306760"/>
    <w:rsid w:val="2A4C2E6E"/>
    <w:rsid w:val="2B4F0E68"/>
    <w:rsid w:val="2B7B1C5D"/>
    <w:rsid w:val="2C091017"/>
    <w:rsid w:val="2C526E62"/>
    <w:rsid w:val="2D825525"/>
    <w:rsid w:val="2DB80F46"/>
    <w:rsid w:val="2EFF4953"/>
    <w:rsid w:val="2F4B5DEA"/>
    <w:rsid w:val="2F890F04"/>
    <w:rsid w:val="2FC936AE"/>
    <w:rsid w:val="2FF67B04"/>
    <w:rsid w:val="3025488D"/>
    <w:rsid w:val="30A9726C"/>
    <w:rsid w:val="31ED4F37"/>
    <w:rsid w:val="33D26ADA"/>
    <w:rsid w:val="34782AE7"/>
    <w:rsid w:val="360B2EED"/>
    <w:rsid w:val="36FD447F"/>
    <w:rsid w:val="377F0D27"/>
    <w:rsid w:val="37BB7471"/>
    <w:rsid w:val="37CC5D2A"/>
    <w:rsid w:val="3A86417A"/>
    <w:rsid w:val="3A9479A4"/>
    <w:rsid w:val="3AB24F6F"/>
    <w:rsid w:val="3BF07AFD"/>
    <w:rsid w:val="3DBD5614"/>
    <w:rsid w:val="3DE418E4"/>
    <w:rsid w:val="3FFD758C"/>
    <w:rsid w:val="40416B7A"/>
    <w:rsid w:val="412B15D8"/>
    <w:rsid w:val="41344930"/>
    <w:rsid w:val="416B7C26"/>
    <w:rsid w:val="418A27A2"/>
    <w:rsid w:val="420C765B"/>
    <w:rsid w:val="42707BEA"/>
    <w:rsid w:val="43432C09"/>
    <w:rsid w:val="43A23DD3"/>
    <w:rsid w:val="43BD6E5F"/>
    <w:rsid w:val="449B0A4F"/>
    <w:rsid w:val="44E07AE2"/>
    <w:rsid w:val="45264752"/>
    <w:rsid w:val="46470C62"/>
    <w:rsid w:val="46DA7D28"/>
    <w:rsid w:val="47AF30C3"/>
    <w:rsid w:val="47F70466"/>
    <w:rsid w:val="487321E2"/>
    <w:rsid w:val="48A247D1"/>
    <w:rsid w:val="4A2F2139"/>
    <w:rsid w:val="4A563B69"/>
    <w:rsid w:val="4AF744DF"/>
    <w:rsid w:val="4BC82845"/>
    <w:rsid w:val="4DBF0855"/>
    <w:rsid w:val="4DFA5798"/>
    <w:rsid w:val="4E740A62"/>
    <w:rsid w:val="4FBE100B"/>
    <w:rsid w:val="5116195C"/>
    <w:rsid w:val="51932FAD"/>
    <w:rsid w:val="52C5363A"/>
    <w:rsid w:val="53057EDB"/>
    <w:rsid w:val="533B56AA"/>
    <w:rsid w:val="54300F87"/>
    <w:rsid w:val="55322ADD"/>
    <w:rsid w:val="56CB31E9"/>
    <w:rsid w:val="572172AD"/>
    <w:rsid w:val="574216FD"/>
    <w:rsid w:val="57811AFA"/>
    <w:rsid w:val="57B85F76"/>
    <w:rsid w:val="57C93BCD"/>
    <w:rsid w:val="58D00F8B"/>
    <w:rsid w:val="591B42C8"/>
    <w:rsid w:val="5A166E71"/>
    <w:rsid w:val="5A8C1540"/>
    <w:rsid w:val="5AD3624C"/>
    <w:rsid w:val="5BB406F0"/>
    <w:rsid w:val="5D1458EA"/>
    <w:rsid w:val="5D7A7717"/>
    <w:rsid w:val="5EBB7FE7"/>
    <w:rsid w:val="616D55C9"/>
    <w:rsid w:val="64AB455F"/>
    <w:rsid w:val="64C33752"/>
    <w:rsid w:val="64FD6C64"/>
    <w:rsid w:val="65136487"/>
    <w:rsid w:val="66DE4873"/>
    <w:rsid w:val="673E3563"/>
    <w:rsid w:val="681349F0"/>
    <w:rsid w:val="68703BF0"/>
    <w:rsid w:val="687A05CB"/>
    <w:rsid w:val="69605A13"/>
    <w:rsid w:val="6C2076DB"/>
    <w:rsid w:val="6F060E0B"/>
    <w:rsid w:val="6FF13869"/>
    <w:rsid w:val="70170310"/>
    <w:rsid w:val="70C525FF"/>
    <w:rsid w:val="70ED18BA"/>
    <w:rsid w:val="713E6062"/>
    <w:rsid w:val="72FC49FE"/>
    <w:rsid w:val="73CA68AB"/>
    <w:rsid w:val="74BE6F01"/>
    <w:rsid w:val="75823F55"/>
    <w:rsid w:val="75954C96"/>
    <w:rsid w:val="763C3364"/>
    <w:rsid w:val="78B167C1"/>
    <w:rsid w:val="797B654E"/>
    <w:rsid w:val="7A956CB9"/>
    <w:rsid w:val="7B821ABD"/>
    <w:rsid w:val="7C043F2B"/>
    <w:rsid w:val="7C15268D"/>
    <w:rsid w:val="7C7A3CD6"/>
    <w:rsid w:val="7CE16A13"/>
    <w:rsid w:val="7EBC3294"/>
    <w:rsid w:val="7F0C71F6"/>
    <w:rsid w:val="7F3207DD"/>
    <w:rsid w:val="7F995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2109</Words>
  <Characters>2267</Characters>
  <TotalTime>5</TotalTime>
  <ScaleCrop>false</ScaleCrop>
  <LinksUpToDate>false</LinksUpToDate>
  <CharactersWithSpaces>2415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2025-08-16T01:17:00Z</dcterms:created>
  <dc:creator>谢永刚</dc:creator>
  <cp:lastModifiedBy>郝宇</cp:lastModifiedBy>
  <dcterms:modified xsi:type="dcterms:W3CDTF">2025-08-29T05:33:07Z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2025-08-21T01:08:30Z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44EA6E5388B84B6188DC21AEC5BCE972_12</vt:lpwstr>
  </property>
</Properties>
</file>