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689164">
      <w:pPr>
        <w:pStyle w:val="11"/>
        <w:spacing w:line="255" w:lineRule="auto"/>
      </w:pPr>
    </w:p>
    <w:p w14:paraId="392D33BF">
      <w:pPr>
        <w:pStyle w:val="11"/>
        <w:spacing w:line="255" w:lineRule="auto"/>
      </w:pPr>
    </w:p>
    <w:p w14:paraId="29D8D7BC">
      <w:pPr>
        <w:pStyle w:val="11"/>
        <w:spacing w:line="255" w:lineRule="auto"/>
      </w:pPr>
    </w:p>
    <w:p w14:paraId="0E972D24">
      <w:pPr>
        <w:pStyle w:val="11"/>
        <w:spacing w:line="255" w:lineRule="auto"/>
      </w:pPr>
    </w:p>
    <w:p w14:paraId="21223C9B">
      <w:pPr>
        <w:pStyle w:val="11"/>
        <w:spacing w:line="256" w:lineRule="auto"/>
      </w:pPr>
    </w:p>
    <w:p w14:paraId="09947A73">
      <w:pPr>
        <w:pStyle w:val="11"/>
        <w:spacing w:line="256" w:lineRule="auto"/>
      </w:pPr>
    </w:p>
    <w:p w14:paraId="61A16548">
      <w:pPr>
        <w:pStyle w:val="11"/>
        <w:spacing w:line="256" w:lineRule="auto"/>
      </w:pPr>
    </w:p>
    <w:p w14:paraId="67C95CA9">
      <w:pPr>
        <w:spacing w:before="169" w:line="220" w:lineRule="auto"/>
        <w:ind w:left="2113"/>
        <w:outlineLvl w:val="0"/>
        <w:rPr>
          <w:rFonts w:ascii="宋体" w:hAnsi="宋体" w:eastAsia="宋体" w:cs="宋体"/>
          <w:sz w:val="52"/>
          <w:szCs w:val="52"/>
        </w:rPr>
      </w:pPr>
      <w:bookmarkStart w:id="0" w:name="_Toc9678"/>
      <w:r>
        <w:rPr>
          <w:rFonts w:ascii="宋体" w:hAnsi="宋体" w:eastAsia="宋体" w:cs="宋体"/>
          <w:b/>
          <w:bCs/>
          <w:spacing w:val="-20"/>
          <w:sz w:val="52"/>
          <w:szCs w:val="52"/>
        </w:rPr>
        <w:t>2025年</w:t>
      </w:r>
      <w:r>
        <w:rPr>
          <w:rFonts w:ascii="宋体" w:hAnsi="宋体" w:eastAsia="宋体" w:cs="宋体"/>
          <w:spacing w:val="-68"/>
          <w:sz w:val="52"/>
          <w:szCs w:val="52"/>
        </w:rPr>
        <w:t xml:space="preserve"> </w:t>
      </w:r>
      <w:r>
        <w:rPr>
          <w:rFonts w:ascii="宋体" w:hAnsi="宋体" w:eastAsia="宋体" w:cs="宋体"/>
          <w:b/>
          <w:bCs/>
          <w:spacing w:val="-20"/>
          <w:sz w:val="52"/>
          <w:szCs w:val="52"/>
        </w:rPr>
        <w:t>1</w:t>
      </w:r>
      <w:r>
        <w:rPr>
          <w:rFonts w:ascii="宋体" w:hAnsi="宋体" w:eastAsia="宋体" w:cs="宋体"/>
          <w:spacing w:val="-97"/>
          <w:sz w:val="52"/>
          <w:szCs w:val="52"/>
        </w:rPr>
        <w:t xml:space="preserve"> </w:t>
      </w:r>
      <w:r>
        <w:rPr>
          <w:rFonts w:ascii="宋体" w:hAnsi="宋体" w:eastAsia="宋体" w:cs="宋体"/>
          <w:b/>
          <w:bCs/>
          <w:spacing w:val="-20"/>
          <w:sz w:val="52"/>
          <w:szCs w:val="52"/>
        </w:rPr>
        <w:t>月-</w:t>
      </w:r>
      <w:r>
        <w:rPr>
          <w:rFonts w:ascii="宋体" w:hAnsi="宋体" w:eastAsia="宋体" w:cs="宋体"/>
          <w:spacing w:val="22"/>
          <w:sz w:val="52"/>
          <w:szCs w:val="52"/>
        </w:rPr>
        <w:t xml:space="preserve"> </w:t>
      </w:r>
      <w:r>
        <w:rPr>
          <w:rFonts w:hint="eastAsia" w:ascii="宋体" w:hAnsi="宋体" w:eastAsia="宋体" w:cs="宋体"/>
          <w:spacing w:val="22"/>
          <w:sz w:val="52"/>
          <w:szCs w:val="52"/>
          <w:lang w:val="en-US" w:eastAsia="zh-CN"/>
        </w:rPr>
        <w:t>6</w:t>
      </w:r>
      <w:r>
        <w:rPr>
          <w:rFonts w:ascii="宋体" w:hAnsi="宋体" w:eastAsia="宋体" w:cs="宋体"/>
          <w:spacing w:val="33"/>
          <w:sz w:val="52"/>
          <w:szCs w:val="52"/>
        </w:rPr>
        <w:t xml:space="preserve"> </w:t>
      </w:r>
      <w:r>
        <w:rPr>
          <w:rFonts w:ascii="宋体" w:hAnsi="宋体" w:eastAsia="宋体" w:cs="宋体"/>
          <w:b/>
          <w:bCs/>
          <w:spacing w:val="-20"/>
          <w:sz w:val="52"/>
          <w:szCs w:val="52"/>
        </w:rPr>
        <w:t>月</w:t>
      </w:r>
      <w:bookmarkEnd w:id="0"/>
    </w:p>
    <w:p w14:paraId="1400528F">
      <w:pPr>
        <w:spacing w:before="359" w:line="218" w:lineRule="auto"/>
        <w:ind w:left="1587"/>
        <w:outlineLvl w:val="0"/>
        <w:rPr>
          <w:rFonts w:ascii="宋体" w:hAnsi="宋体" w:eastAsia="宋体" w:cs="宋体"/>
          <w:sz w:val="52"/>
          <w:szCs w:val="52"/>
        </w:rPr>
      </w:pPr>
      <w:bookmarkStart w:id="1" w:name="_Toc28993"/>
      <w:r>
        <w:rPr>
          <w:rFonts w:ascii="宋体" w:hAnsi="宋体" w:eastAsia="宋体" w:cs="宋体"/>
          <w:b/>
          <w:bCs/>
          <w:spacing w:val="-8"/>
          <w:sz w:val="52"/>
          <w:szCs w:val="52"/>
        </w:rPr>
        <w:t>运维服务质量管理报告</w:t>
      </w:r>
      <w:bookmarkEnd w:id="1"/>
    </w:p>
    <w:p w14:paraId="5E2E228F">
      <w:pPr>
        <w:pStyle w:val="11"/>
        <w:spacing w:line="259" w:lineRule="auto"/>
      </w:pPr>
    </w:p>
    <w:p w14:paraId="4A7841C9">
      <w:pPr>
        <w:pStyle w:val="11"/>
        <w:spacing w:line="260" w:lineRule="auto"/>
      </w:pPr>
    </w:p>
    <w:p w14:paraId="70C4F252">
      <w:pPr>
        <w:pStyle w:val="11"/>
        <w:spacing w:line="260" w:lineRule="auto"/>
      </w:pPr>
    </w:p>
    <w:p w14:paraId="50D0764E">
      <w:pPr>
        <w:pStyle w:val="11"/>
        <w:spacing w:line="260" w:lineRule="auto"/>
      </w:pPr>
    </w:p>
    <w:p w14:paraId="24E776C4">
      <w:pPr>
        <w:pStyle w:val="11"/>
        <w:spacing w:line="260" w:lineRule="auto"/>
      </w:pPr>
    </w:p>
    <w:p w14:paraId="3FB03330">
      <w:pPr>
        <w:pStyle w:val="11"/>
        <w:spacing w:line="260" w:lineRule="auto"/>
      </w:pPr>
    </w:p>
    <w:p w14:paraId="2605A4FC">
      <w:pPr>
        <w:pStyle w:val="11"/>
        <w:spacing w:line="260" w:lineRule="auto"/>
      </w:pPr>
    </w:p>
    <w:p w14:paraId="09B64700">
      <w:pPr>
        <w:pStyle w:val="11"/>
        <w:spacing w:line="260" w:lineRule="auto"/>
      </w:pPr>
    </w:p>
    <w:p w14:paraId="0116D498">
      <w:pPr>
        <w:spacing w:line="1293" w:lineRule="exact"/>
        <w:ind w:firstLine="2001"/>
      </w:pPr>
      <w:r>
        <w:rPr>
          <w:position w:val="-25"/>
        </w:rPr>
        <w:drawing>
          <wp:inline distT="0" distB="0" distL="0" distR="0">
            <wp:extent cx="2750185"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2750399" cy="820799"/>
                    </a:xfrm>
                    <a:prstGeom prst="rect">
                      <a:avLst/>
                    </a:prstGeom>
                  </pic:spPr>
                </pic:pic>
              </a:graphicData>
            </a:graphic>
          </wp:inline>
        </w:drawing>
      </w:r>
    </w:p>
    <w:p w14:paraId="1CB1B7C5">
      <w:pPr>
        <w:pStyle w:val="11"/>
        <w:spacing w:line="248" w:lineRule="auto"/>
      </w:pPr>
    </w:p>
    <w:p w14:paraId="0182F433">
      <w:pPr>
        <w:pStyle w:val="11"/>
        <w:spacing w:line="248" w:lineRule="auto"/>
      </w:pPr>
    </w:p>
    <w:p w14:paraId="0E25E9DB">
      <w:pPr>
        <w:pStyle w:val="11"/>
        <w:spacing w:line="248" w:lineRule="auto"/>
      </w:pPr>
    </w:p>
    <w:p w14:paraId="4589D302">
      <w:pPr>
        <w:pStyle w:val="11"/>
        <w:spacing w:line="248" w:lineRule="auto"/>
      </w:pPr>
    </w:p>
    <w:p w14:paraId="06AEA27D">
      <w:pPr>
        <w:pStyle w:val="11"/>
        <w:spacing w:line="248" w:lineRule="auto"/>
      </w:pPr>
    </w:p>
    <w:p w14:paraId="75F6FF12">
      <w:pPr>
        <w:pStyle w:val="11"/>
        <w:spacing w:line="248" w:lineRule="auto"/>
      </w:pPr>
    </w:p>
    <w:p w14:paraId="19F5DDE6">
      <w:pPr>
        <w:pStyle w:val="11"/>
        <w:spacing w:line="248" w:lineRule="auto"/>
      </w:pPr>
    </w:p>
    <w:p w14:paraId="394B9D1D">
      <w:pPr>
        <w:pStyle w:val="11"/>
        <w:spacing w:line="248" w:lineRule="auto"/>
      </w:pPr>
    </w:p>
    <w:p w14:paraId="6CB2A3D2">
      <w:pPr>
        <w:pStyle w:val="11"/>
        <w:spacing w:line="248" w:lineRule="auto"/>
      </w:pPr>
    </w:p>
    <w:p w14:paraId="26CE8763">
      <w:pPr>
        <w:pStyle w:val="11"/>
        <w:spacing w:line="248" w:lineRule="auto"/>
      </w:pPr>
    </w:p>
    <w:p w14:paraId="102C2D8D">
      <w:pPr>
        <w:pStyle w:val="11"/>
        <w:spacing w:line="248" w:lineRule="auto"/>
      </w:pPr>
    </w:p>
    <w:p w14:paraId="559CF4DA">
      <w:pPr>
        <w:pStyle w:val="11"/>
        <w:spacing w:line="249" w:lineRule="auto"/>
      </w:pPr>
    </w:p>
    <w:p w14:paraId="4D559E40">
      <w:pPr>
        <w:pStyle w:val="11"/>
        <w:spacing w:line="249" w:lineRule="auto"/>
      </w:pPr>
    </w:p>
    <w:p w14:paraId="532D8DF0">
      <w:pPr>
        <w:pStyle w:val="11"/>
        <w:spacing w:line="249" w:lineRule="auto"/>
      </w:pPr>
    </w:p>
    <w:p w14:paraId="49A35A22">
      <w:pPr>
        <w:pStyle w:val="11"/>
        <w:spacing w:line="249" w:lineRule="auto"/>
      </w:pPr>
    </w:p>
    <w:p w14:paraId="144EFD33">
      <w:pPr>
        <w:pStyle w:val="11"/>
        <w:spacing w:line="249" w:lineRule="auto"/>
      </w:pPr>
    </w:p>
    <w:p w14:paraId="46E332E7">
      <w:pPr>
        <w:spacing w:before="98" w:line="219" w:lineRule="auto"/>
        <w:ind w:left="2078"/>
        <w:rPr>
          <w:rFonts w:ascii="宋体" w:hAnsi="宋体" w:eastAsia="宋体" w:cs="宋体"/>
          <w:sz w:val="30"/>
          <w:szCs w:val="30"/>
        </w:rPr>
      </w:pPr>
      <w:r>
        <w:rPr>
          <w:rFonts w:ascii="宋体" w:hAnsi="宋体" w:eastAsia="宋体" w:cs="宋体"/>
          <w:spacing w:val="-1"/>
          <w:sz w:val="30"/>
          <w:szCs w:val="30"/>
        </w:rPr>
        <w:t>青岛慧海联创信息技术有限公司</w:t>
      </w:r>
    </w:p>
    <w:p w14:paraId="61806640">
      <w:pPr>
        <w:spacing w:before="295" w:line="220" w:lineRule="auto"/>
        <w:ind w:left="3019"/>
        <w:rPr>
          <w:rFonts w:ascii="宋体" w:hAnsi="宋体" w:eastAsia="宋体" w:cs="宋体"/>
          <w:sz w:val="30"/>
          <w:szCs w:val="30"/>
        </w:rPr>
      </w:pPr>
      <w:r>
        <w:rPr>
          <w:rFonts w:ascii="宋体" w:hAnsi="宋体" w:eastAsia="宋体" w:cs="宋体"/>
          <w:spacing w:val="-9"/>
          <w:sz w:val="30"/>
          <w:szCs w:val="30"/>
        </w:rPr>
        <w:t>2025年</w:t>
      </w:r>
      <w:r>
        <w:rPr>
          <w:rFonts w:ascii="宋体" w:hAnsi="宋体" w:eastAsia="宋体" w:cs="宋体"/>
          <w:spacing w:val="-53"/>
          <w:sz w:val="30"/>
          <w:szCs w:val="30"/>
        </w:rPr>
        <w:t xml:space="preserve"> </w:t>
      </w:r>
      <w:r>
        <w:rPr>
          <w:rFonts w:hint="eastAsia" w:ascii="宋体" w:hAnsi="宋体" w:eastAsia="宋体" w:cs="宋体"/>
          <w:spacing w:val="-53"/>
          <w:sz w:val="30"/>
          <w:szCs w:val="30"/>
          <w:lang w:val="en-US" w:eastAsia="zh-CN"/>
        </w:rPr>
        <w:t>6</w:t>
      </w:r>
      <w:r>
        <w:rPr>
          <w:rFonts w:ascii="宋体" w:hAnsi="宋体" w:eastAsia="宋体" w:cs="宋体"/>
          <w:spacing w:val="-56"/>
          <w:sz w:val="30"/>
          <w:szCs w:val="30"/>
        </w:rPr>
        <w:t xml:space="preserve"> </w:t>
      </w:r>
      <w:r>
        <w:rPr>
          <w:rFonts w:ascii="宋体" w:hAnsi="宋体" w:eastAsia="宋体" w:cs="宋体"/>
          <w:spacing w:val="-9"/>
          <w:sz w:val="30"/>
          <w:szCs w:val="30"/>
        </w:rPr>
        <w:t>月</w:t>
      </w:r>
      <w:r>
        <w:rPr>
          <w:rFonts w:ascii="宋体" w:hAnsi="宋体" w:eastAsia="宋体" w:cs="宋体"/>
          <w:spacing w:val="-60"/>
          <w:sz w:val="30"/>
          <w:szCs w:val="30"/>
        </w:rPr>
        <w:t xml:space="preserve"> </w:t>
      </w:r>
      <w:r>
        <w:rPr>
          <w:rFonts w:ascii="宋体" w:hAnsi="宋体" w:eastAsia="宋体" w:cs="宋体"/>
          <w:spacing w:val="-9"/>
          <w:sz w:val="30"/>
          <w:szCs w:val="30"/>
        </w:rPr>
        <w:t>2</w:t>
      </w:r>
      <w:r>
        <w:rPr>
          <w:rFonts w:ascii="宋体" w:hAnsi="宋体" w:eastAsia="宋体" w:cs="宋体"/>
          <w:spacing w:val="-60"/>
          <w:sz w:val="30"/>
          <w:szCs w:val="30"/>
        </w:rPr>
        <w:t xml:space="preserve"> </w:t>
      </w:r>
      <w:r>
        <w:rPr>
          <w:rFonts w:ascii="宋体" w:hAnsi="宋体" w:eastAsia="宋体" w:cs="宋体"/>
          <w:spacing w:val="-9"/>
          <w:sz w:val="30"/>
          <w:szCs w:val="30"/>
        </w:rPr>
        <w:t>0 日</w:t>
      </w:r>
    </w:p>
    <w:p w14:paraId="4C58ECF6">
      <w:pPr>
        <w:spacing w:line="220" w:lineRule="auto"/>
        <w:rPr>
          <w:rFonts w:ascii="宋体" w:hAnsi="宋体" w:eastAsia="宋体" w:cs="宋体"/>
          <w:sz w:val="30"/>
          <w:szCs w:val="30"/>
        </w:rPr>
        <w:sectPr>
          <w:pgSz w:w="11906" w:h="16839"/>
          <w:pgMar w:top="1431" w:right="1785" w:bottom="0" w:left="1785" w:header="0" w:footer="0" w:gutter="0"/>
          <w:cols w:space="720" w:num="1"/>
        </w:sectPr>
      </w:pPr>
    </w:p>
    <w:p w14:paraId="33902F8E">
      <w:pPr>
        <w:pStyle w:val="11"/>
        <w:spacing w:line="363" w:lineRule="auto"/>
      </w:pPr>
    </w:p>
    <w:p w14:paraId="682C9590">
      <w:pPr>
        <w:spacing w:before="91" w:line="220" w:lineRule="auto"/>
        <w:ind w:left="3710"/>
        <w:outlineLvl w:val="0"/>
        <w:rPr>
          <w:rFonts w:ascii="宋体" w:hAnsi="宋体" w:eastAsia="宋体" w:cs="宋体"/>
          <w:sz w:val="28"/>
          <w:szCs w:val="28"/>
        </w:rPr>
      </w:pPr>
      <w:bookmarkStart w:id="2" w:name="_Toc15843"/>
      <w:r>
        <w:rPr>
          <w:rFonts w:ascii="宋体" w:hAnsi="宋体" w:eastAsia="宋体" w:cs="宋体"/>
          <w:spacing w:val="-3"/>
          <w:sz w:val="28"/>
          <w:szCs w:val="28"/>
        </w:rPr>
        <w:t>文档信息</w:t>
      </w:r>
      <w:bookmarkEnd w:id="2"/>
    </w:p>
    <w:p w14:paraId="238F522E">
      <w:pPr>
        <w:spacing w:line="131" w:lineRule="exact"/>
      </w:pPr>
    </w:p>
    <w:tbl>
      <w:tblPr>
        <w:tblStyle w:val="18"/>
        <w:tblW w:w="907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3"/>
        <w:gridCol w:w="1557"/>
        <w:gridCol w:w="1953"/>
      </w:tblGrid>
      <w:tr w14:paraId="2444E3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46" w:type="dxa"/>
            <w:vAlign w:val="top"/>
          </w:tcPr>
          <w:p w14:paraId="4B0DB8DB">
            <w:pPr>
              <w:pStyle w:val="19"/>
              <w:spacing w:before="185" w:line="220" w:lineRule="auto"/>
              <w:ind w:left="207"/>
            </w:pPr>
            <w:r>
              <w:rPr>
                <w:spacing w:val="-2"/>
              </w:rPr>
              <w:t>文档名称编号</w:t>
            </w:r>
          </w:p>
        </w:tc>
        <w:tc>
          <w:tcPr>
            <w:tcW w:w="7226" w:type="dxa"/>
            <w:gridSpan w:val="4"/>
            <w:vAlign w:val="top"/>
          </w:tcPr>
          <w:p w14:paraId="252EE726">
            <w:pPr>
              <w:pStyle w:val="19"/>
              <w:spacing w:before="185" w:line="218" w:lineRule="auto"/>
              <w:ind w:left="112"/>
            </w:pPr>
            <w:r>
              <w:rPr>
                <w:spacing w:val="-1"/>
              </w:rPr>
              <w:t>2025年</w:t>
            </w:r>
            <w:r>
              <w:rPr>
                <w:spacing w:val="-33"/>
              </w:rPr>
              <w:t xml:space="preserve"> </w:t>
            </w:r>
            <w:r>
              <w:rPr>
                <w:spacing w:val="-1"/>
              </w:rPr>
              <w:t>1</w:t>
            </w:r>
            <w:r>
              <w:rPr>
                <w:spacing w:val="-45"/>
              </w:rPr>
              <w:t xml:space="preserve"> </w:t>
            </w:r>
            <w:r>
              <w:rPr>
                <w:spacing w:val="-1"/>
              </w:rPr>
              <w:t xml:space="preserve">月- </w:t>
            </w:r>
            <w:r>
              <w:rPr>
                <w:rFonts w:hint="eastAsia"/>
                <w:spacing w:val="-1"/>
                <w:lang w:val="en-US" w:eastAsia="zh-CN"/>
              </w:rPr>
              <w:t>6</w:t>
            </w:r>
            <w:r>
              <w:rPr>
                <w:spacing w:val="-1"/>
              </w:rPr>
              <w:t xml:space="preserve"> 月运维服务质量管理报告（H</w:t>
            </w:r>
            <w:r>
              <w:rPr>
                <w:spacing w:val="-2"/>
              </w:rPr>
              <w:t>HLC-ITSS-ZLGLBG）</w:t>
            </w:r>
          </w:p>
        </w:tc>
      </w:tr>
      <w:tr w14:paraId="6C550D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846" w:type="dxa"/>
            <w:vAlign w:val="top"/>
          </w:tcPr>
          <w:p w14:paraId="0F83DE24">
            <w:pPr>
              <w:pStyle w:val="19"/>
              <w:spacing w:before="182" w:line="220" w:lineRule="auto"/>
              <w:ind w:left="447"/>
            </w:pPr>
            <w:r>
              <w:rPr>
                <w:spacing w:val="-3"/>
              </w:rPr>
              <w:t>编制单位</w:t>
            </w:r>
          </w:p>
        </w:tc>
        <w:tc>
          <w:tcPr>
            <w:tcW w:w="7226" w:type="dxa"/>
            <w:gridSpan w:val="4"/>
            <w:vAlign w:val="top"/>
          </w:tcPr>
          <w:p w14:paraId="6F1A2188">
            <w:pPr>
              <w:pStyle w:val="19"/>
              <w:spacing w:before="182" w:line="219" w:lineRule="auto"/>
              <w:ind w:left="109"/>
            </w:pPr>
            <w:r>
              <w:rPr>
                <w:spacing w:val="-1"/>
              </w:rPr>
              <w:t>青岛慧海联创信息技术有限公司</w:t>
            </w:r>
          </w:p>
        </w:tc>
      </w:tr>
      <w:tr w14:paraId="080EAD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846" w:type="dxa"/>
            <w:vAlign w:val="top"/>
          </w:tcPr>
          <w:p w14:paraId="5D9044F3">
            <w:pPr>
              <w:pStyle w:val="19"/>
              <w:spacing w:before="184" w:line="219" w:lineRule="auto"/>
              <w:ind w:left="447"/>
            </w:pPr>
            <w:r>
              <w:rPr>
                <w:spacing w:val="-3"/>
              </w:rPr>
              <w:t>文档版本</w:t>
            </w:r>
          </w:p>
        </w:tc>
        <w:tc>
          <w:tcPr>
            <w:tcW w:w="1413" w:type="dxa"/>
            <w:vAlign w:val="top"/>
          </w:tcPr>
          <w:p w14:paraId="7EEAECCA">
            <w:pPr>
              <w:pStyle w:val="19"/>
              <w:spacing w:before="184" w:line="219" w:lineRule="auto"/>
              <w:ind w:left="229"/>
            </w:pPr>
            <w:r>
              <w:rPr>
                <w:spacing w:val="-2"/>
              </w:rPr>
              <w:t>版本日期</w:t>
            </w:r>
          </w:p>
        </w:tc>
        <w:tc>
          <w:tcPr>
            <w:tcW w:w="2303" w:type="dxa"/>
            <w:vAlign w:val="top"/>
          </w:tcPr>
          <w:p w14:paraId="109F2B51">
            <w:pPr>
              <w:pStyle w:val="19"/>
              <w:spacing w:before="184" w:line="219" w:lineRule="auto"/>
              <w:ind w:left="676"/>
            </w:pPr>
            <w:r>
              <w:rPr>
                <w:spacing w:val="-2"/>
              </w:rPr>
              <w:t>版本说明</w:t>
            </w:r>
          </w:p>
        </w:tc>
        <w:tc>
          <w:tcPr>
            <w:tcW w:w="1557" w:type="dxa"/>
            <w:vAlign w:val="top"/>
          </w:tcPr>
          <w:p w14:paraId="455EBC82">
            <w:pPr>
              <w:pStyle w:val="19"/>
              <w:spacing w:before="185" w:line="220" w:lineRule="auto"/>
              <w:ind w:left="545"/>
            </w:pPr>
            <w:r>
              <w:rPr>
                <w:spacing w:val="-3"/>
              </w:rPr>
              <w:t>作者</w:t>
            </w:r>
          </w:p>
        </w:tc>
        <w:tc>
          <w:tcPr>
            <w:tcW w:w="1953" w:type="dxa"/>
            <w:vAlign w:val="top"/>
          </w:tcPr>
          <w:p w14:paraId="48DCCCA2">
            <w:pPr>
              <w:pStyle w:val="19"/>
              <w:spacing w:before="185" w:line="220" w:lineRule="auto"/>
              <w:ind w:left="754"/>
            </w:pPr>
            <w:r>
              <w:rPr>
                <w:spacing w:val="-6"/>
              </w:rPr>
              <w:t>审核</w:t>
            </w:r>
          </w:p>
        </w:tc>
      </w:tr>
      <w:tr w14:paraId="2FAC43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1A053915">
            <w:pPr>
              <w:pStyle w:val="19"/>
              <w:spacing w:before="154" w:line="238" w:lineRule="auto"/>
              <w:ind w:left="680"/>
            </w:pPr>
            <w:r>
              <w:rPr>
                <w:spacing w:val="-1"/>
              </w:rPr>
              <w:t>V1.0</w:t>
            </w:r>
          </w:p>
        </w:tc>
        <w:tc>
          <w:tcPr>
            <w:tcW w:w="1413" w:type="dxa"/>
            <w:vAlign w:val="top"/>
          </w:tcPr>
          <w:p w14:paraId="5AEF98F8">
            <w:pPr>
              <w:pStyle w:val="19"/>
              <w:spacing w:before="154" w:line="238" w:lineRule="auto"/>
              <w:ind w:left="231"/>
            </w:pPr>
            <w:r>
              <w:rPr>
                <w:spacing w:val="-2"/>
              </w:rPr>
              <w:t>2025-</w:t>
            </w:r>
            <w:r>
              <w:rPr>
                <w:rFonts w:hint="eastAsia"/>
                <w:spacing w:val="-2"/>
                <w:lang w:val="en-US" w:eastAsia="zh-CN"/>
              </w:rPr>
              <w:t>6</w:t>
            </w:r>
            <w:r>
              <w:rPr>
                <w:spacing w:val="-2"/>
              </w:rPr>
              <w:t>-20</w:t>
            </w:r>
          </w:p>
        </w:tc>
        <w:tc>
          <w:tcPr>
            <w:tcW w:w="2303" w:type="dxa"/>
            <w:vAlign w:val="top"/>
          </w:tcPr>
          <w:p w14:paraId="13C3EA90">
            <w:pPr>
              <w:pStyle w:val="19"/>
              <w:spacing w:before="119" w:line="219" w:lineRule="auto"/>
              <w:ind w:left="679"/>
            </w:pPr>
            <w:r>
              <w:rPr>
                <w:spacing w:val="-3"/>
              </w:rPr>
              <w:t>发布版本</w:t>
            </w:r>
          </w:p>
        </w:tc>
        <w:tc>
          <w:tcPr>
            <w:tcW w:w="1557" w:type="dxa"/>
            <w:vAlign w:val="top"/>
          </w:tcPr>
          <w:p w14:paraId="27B98B6C">
            <w:pPr>
              <w:pStyle w:val="19"/>
              <w:spacing w:before="119" w:line="220" w:lineRule="auto"/>
              <w:ind w:left="426"/>
            </w:pPr>
            <w:r>
              <w:rPr>
                <w:spacing w:val="-3"/>
              </w:rPr>
              <w:t>王予婷</w:t>
            </w:r>
          </w:p>
        </w:tc>
        <w:tc>
          <w:tcPr>
            <w:tcW w:w="1953" w:type="dxa"/>
            <w:vAlign w:val="top"/>
          </w:tcPr>
          <w:p w14:paraId="5D2DE79A">
            <w:pPr>
              <w:pStyle w:val="19"/>
              <w:spacing w:before="119" w:line="220" w:lineRule="auto"/>
              <w:ind w:left="628"/>
            </w:pPr>
            <w:r>
              <w:rPr>
                <w:spacing w:val="-4"/>
              </w:rPr>
              <w:t>张仲全</w:t>
            </w:r>
          </w:p>
        </w:tc>
      </w:tr>
      <w:tr w14:paraId="6D35F5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308B5D88">
            <w:pPr>
              <w:rPr>
                <w:rFonts w:ascii="Arial"/>
                <w:sz w:val="21"/>
              </w:rPr>
            </w:pPr>
          </w:p>
        </w:tc>
        <w:tc>
          <w:tcPr>
            <w:tcW w:w="1413" w:type="dxa"/>
            <w:vAlign w:val="top"/>
          </w:tcPr>
          <w:p w14:paraId="7D5D32F8">
            <w:pPr>
              <w:rPr>
                <w:rFonts w:ascii="Arial"/>
                <w:sz w:val="21"/>
              </w:rPr>
            </w:pPr>
          </w:p>
        </w:tc>
        <w:tc>
          <w:tcPr>
            <w:tcW w:w="2303" w:type="dxa"/>
            <w:vAlign w:val="top"/>
          </w:tcPr>
          <w:p w14:paraId="4738895E">
            <w:pPr>
              <w:rPr>
                <w:rFonts w:ascii="Arial"/>
                <w:sz w:val="21"/>
              </w:rPr>
            </w:pPr>
          </w:p>
        </w:tc>
        <w:tc>
          <w:tcPr>
            <w:tcW w:w="1557" w:type="dxa"/>
            <w:vAlign w:val="top"/>
          </w:tcPr>
          <w:p w14:paraId="2779B5BE">
            <w:pPr>
              <w:rPr>
                <w:rFonts w:ascii="Arial"/>
                <w:sz w:val="21"/>
              </w:rPr>
            </w:pPr>
          </w:p>
        </w:tc>
        <w:tc>
          <w:tcPr>
            <w:tcW w:w="1953" w:type="dxa"/>
            <w:vAlign w:val="top"/>
          </w:tcPr>
          <w:p w14:paraId="5BA4050D">
            <w:pPr>
              <w:rPr>
                <w:rFonts w:ascii="Arial"/>
                <w:sz w:val="21"/>
              </w:rPr>
            </w:pPr>
          </w:p>
        </w:tc>
      </w:tr>
      <w:tr w14:paraId="43FF04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8" w:hRule="atLeast"/>
        </w:trPr>
        <w:tc>
          <w:tcPr>
            <w:tcW w:w="1846" w:type="dxa"/>
            <w:vAlign w:val="top"/>
          </w:tcPr>
          <w:p w14:paraId="6BE9E541">
            <w:pPr>
              <w:rPr>
                <w:rFonts w:ascii="Arial"/>
                <w:sz w:val="21"/>
              </w:rPr>
            </w:pPr>
          </w:p>
        </w:tc>
        <w:tc>
          <w:tcPr>
            <w:tcW w:w="1413" w:type="dxa"/>
            <w:vAlign w:val="top"/>
          </w:tcPr>
          <w:p w14:paraId="4AA3FF13">
            <w:pPr>
              <w:rPr>
                <w:rFonts w:ascii="Arial"/>
                <w:sz w:val="21"/>
              </w:rPr>
            </w:pPr>
          </w:p>
        </w:tc>
        <w:tc>
          <w:tcPr>
            <w:tcW w:w="2303" w:type="dxa"/>
            <w:vAlign w:val="top"/>
          </w:tcPr>
          <w:p w14:paraId="2002E973">
            <w:pPr>
              <w:rPr>
                <w:rFonts w:ascii="Arial"/>
                <w:sz w:val="21"/>
              </w:rPr>
            </w:pPr>
          </w:p>
        </w:tc>
        <w:tc>
          <w:tcPr>
            <w:tcW w:w="1557" w:type="dxa"/>
            <w:vAlign w:val="top"/>
          </w:tcPr>
          <w:p w14:paraId="2CDA841E">
            <w:pPr>
              <w:rPr>
                <w:rFonts w:ascii="Arial"/>
                <w:sz w:val="21"/>
              </w:rPr>
            </w:pPr>
          </w:p>
        </w:tc>
        <w:tc>
          <w:tcPr>
            <w:tcW w:w="1953" w:type="dxa"/>
            <w:vAlign w:val="top"/>
          </w:tcPr>
          <w:p w14:paraId="720E086D">
            <w:pPr>
              <w:rPr>
                <w:rFonts w:ascii="Arial"/>
                <w:sz w:val="21"/>
              </w:rPr>
            </w:pPr>
          </w:p>
        </w:tc>
      </w:tr>
    </w:tbl>
    <w:p w14:paraId="6B89C123">
      <w:pPr>
        <w:pStyle w:val="11"/>
      </w:pPr>
    </w:p>
    <w:p w14:paraId="2F68071B">
      <w:pPr>
        <w:sectPr>
          <w:pgSz w:w="11906" w:h="16839"/>
          <w:pgMar w:top="1431" w:right="1127" w:bottom="0" w:left="1696" w:header="0" w:footer="0" w:gutter="0"/>
          <w:cols w:space="720" w:num="1"/>
        </w:sectPr>
      </w:pPr>
    </w:p>
    <w:sdt>
      <w:sdtPr>
        <w:rPr>
          <w:rFonts w:ascii="宋体" w:hAnsi="宋体" w:eastAsia="宋体" w:cs="Arial"/>
          <w:snapToGrid w:val="0"/>
          <w:color w:val="000000"/>
          <w:kern w:val="0"/>
          <w:sz w:val="21"/>
          <w:szCs w:val="21"/>
          <w:lang w:val="en-US" w:eastAsia="en-US" w:bidi="ar-SA"/>
        </w:rPr>
        <w:id w:val="147456429"/>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en-US" w:bidi="ar-SA"/>
        </w:rPr>
      </w:sdtEndPr>
      <w:sdtContent>
        <w:p w14:paraId="2E5690C6">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933B6D1">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_Toc9678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20"/>
              <w:sz w:val="24"/>
              <w:szCs w:val="24"/>
            </w:rPr>
            <w:t>2025年</w:t>
          </w:r>
          <w:r>
            <w:rPr>
              <w:rFonts w:hint="eastAsia" w:ascii="Microsoft JhengHei" w:hAnsi="Microsoft JhengHei" w:eastAsia="Microsoft JhengHei" w:cs="Microsoft JhengHei"/>
              <w:spacing w:val="-68"/>
              <w:sz w:val="24"/>
              <w:szCs w:val="24"/>
            </w:rPr>
            <w:t xml:space="preserve"> </w:t>
          </w:r>
          <w:r>
            <w:rPr>
              <w:rFonts w:hint="eastAsia" w:ascii="Microsoft JhengHei" w:hAnsi="Microsoft JhengHei" w:eastAsia="Microsoft JhengHei" w:cs="Microsoft JhengHei"/>
              <w:bCs/>
              <w:spacing w:val="-20"/>
              <w:sz w:val="24"/>
              <w:szCs w:val="24"/>
            </w:rPr>
            <w:t>1</w:t>
          </w:r>
          <w:r>
            <w:rPr>
              <w:rFonts w:hint="eastAsia" w:ascii="Microsoft JhengHei" w:hAnsi="Microsoft JhengHei" w:eastAsia="Microsoft JhengHei" w:cs="Microsoft JhengHei"/>
              <w:spacing w:val="-97"/>
              <w:sz w:val="24"/>
              <w:szCs w:val="24"/>
            </w:rPr>
            <w:t xml:space="preserve"> </w:t>
          </w:r>
          <w:r>
            <w:rPr>
              <w:rFonts w:hint="eastAsia" w:ascii="Microsoft JhengHei" w:hAnsi="Microsoft JhengHei" w:eastAsia="Microsoft JhengHei" w:cs="Microsoft JhengHei"/>
              <w:bCs/>
              <w:spacing w:val="-20"/>
              <w:sz w:val="24"/>
              <w:szCs w:val="24"/>
            </w:rPr>
            <w:t>月-</w:t>
          </w:r>
          <w:r>
            <w:rPr>
              <w:rFonts w:hint="eastAsia" w:ascii="Microsoft JhengHei" w:hAnsi="Microsoft JhengHei" w:eastAsia="Microsoft JhengHei" w:cs="Microsoft JhengHei"/>
              <w:spacing w:val="22"/>
              <w:sz w:val="24"/>
              <w:szCs w:val="24"/>
            </w:rPr>
            <w:t xml:space="preserve"> </w:t>
          </w:r>
          <w:r>
            <w:rPr>
              <w:rFonts w:hint="eastAsia" w:ascii="Microsoft JhengHei" w:hAnsi="Microsoft JhengHei" w:eastAsia="Microsoft JhengHei" w:cs="Microsoft JhengHei"/>
              <w:spacing w:val="22"/>
              <w:sz w:val="24"/>
              <w:szCs w:val="24"/>
              <w:lang w:val="en-US" w:eastAsia="zh-CN"/>
            </w:rPr>
            <w:t>6</w:t>
          </w:r>
          <w:r>
            <w:rPr>
              <w:rFonts w:hint="eastAsia" w:ascii="Microsoft JhengHei" w:hAnsi="Microsoft JhengHei" w:eastAsia="Microsoft JhengHei" w:cs="Microsoft JhengHei"/>
              <w:spacing w:val="33"/>
              <w:sz w:val="24"/>
              <w:szCs w:val="24"/>
            </w:rPr>
            <w:t xml:space="preserve"> </w:t>
          </w:r>
          <w:r>
            <w:rPr>
              <w:rFonts w:hint="eastAsia" w:ascii="Microsoft JhengHei" w:hAnsi="Microsoft JhengHei" w:eastAsia="Microsoft JhengHei" w:cs="Microsoft JhengHei"/>
              <w:bCs/>
              <w:spacing w:val="-20"/>
              <w:sz w:val="24"/>
              <w:szCs w:val="24"/>
            </w:rPr>
            <w:t>月</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_Toc9678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A18E98B">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_Toc28993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运维服务质量管理报告</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_Toc28993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C9B6A6D">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_Toc15843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3"/>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_Toc15843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EC916B8">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_Toc19128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25"/>
              <w:sz w:val="24"/>
              <w:szCs w:val="24"/>
            </w:rPr>
            <w:t>1.</w:t>
          </w:r>
          <w:r>
            <w:rPr>
              <w:rFonts w:hint="eastAsia" w:ascii="Microsoft JhengHei" w:hAnsi="Microsoft JhengHei" w:eastAsia="Microsoft JhengHei" w:cs="Microsoft JhengHei"/>
              <w:spacing w:val="-36"/>
              <w:sz w:val="24"/>
              <w:szCs w:val="24"/>
            </w:rPr>
            <w:t xml:space="preserve"> </w:t>
          </w:r>
          <w:r>
            <w:rPr>
              <w:rFonts w:hint="eastAsia" w:ascii="Microsoft JhengHei" w:hAnsi="Microsoft JhengHei" w:eastAsia="Microsoft JhengHei" w:cs="Microsoft JhengHei"/>
              <w:bCs/>
              <w:spacing w:val="-25"/>
              <w:sz w:val="24"/>
              <w:szCs w:val="24"/>
            </w:rPr>
            <w:t>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_Toc19128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AD32DF3">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_Toc3319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9"/>
              <w:sz w:val="24"/>
              <w:szCs w:val="24"/>
            </w:rPr>
            <w:t>2.</w:t>
          </w:r>
          <w:r>
            <w:rPr>
              <w:rFonts w:hint="eastAsia" w:ascii="Microsoft JhengHei" w:hAnsi="Microsoft JhengHei" w:eastAsia="Microsoft JhengHei" w:cs="Microsoft JhengHei"/>
              <w:spacing w:val="-105"/>
              <w:sz w:val="24"/>
              <w:szCs w:val="24"/>
            </w:rPr>
            <w:t xml:space="preserve"> </w:t>
          </w:r>
          <w:r>
            <w:rPr>
              <w:rFonts w:hint="eastAsia" w:ascii="Microsoft JhengHei" w:hAnsi="Microsoft JhengHei" w:eastAsia="Microsoft JhengHei" w:cs="Microsoft JhengHei"/>
              <w:bCs/>
              <w:spacing w:val="-9"/>
              <w:sz w:val="24"/>
              <w:szCs w:val="24"/>
            </w:rPr>
            <w:t>适用范围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_Toc3319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8AE2344">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_Toc2355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3"/>
              <w:sz w:val="24"/>
              <w:szCs w:val="24"/>
            </w:rPr>
            <w:t>3.</w:t>
          </w:r>
          <w:r>
            <w:rPr>
              <w:rFonts w:hint="eastAsia" w:ascii="Microsoft JhengHei" w:hAnsi="Microsoft JhengHei" w:eastAsia="Microsoft JhengHei" w:cs="Microsoft JhengHei"/>
              <w:spacing w:val="-77"/>
              <w:sz w:val="24"/>
              <w:szCs w:val="24"/>
            </w:rPr>
            <w:t xml:space="preserve"> </w:t>
          </w:r>
          <w:r>
            <w:rPr>
              <w:rFonts w:hint="eastAsia" w:ascii="Microsoft JhengHei" w:hAnsi="Microsoft JhengHei" w:eastAsia="Microsoft JhengHei" w:cs="Microsoft JhengHei"/>
              <w:bCs/>
              <w:spacing w:val="-13"/>
              <w:sz w:val="24"/>
              <w:szCs w:val="24"/>
            </w:rPr>
            <w:t>引用文件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_Toc2355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8F62550">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_Toc5127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4.</w:t>
          </w:r>
          <w:r>
            <w:rPr>
              <w:rFonts w:hint="eastAsia" w:ascii="Microsoft JhengHei" w:hAnsi="Microsoft JhengHei" w:eastAsia="Microsoft JhengHei" w:cs="Microsoft JhengHei"/>
              <w:spacing w:val="-101"/>
              <w:sz w:val="24"/>
              <w:szCs w:val="24"/>
            </w:rPr>
            <w:t xml:space="preserve"> </w:t>
          </w:r>
          <w:r>
            <w:rPr>
              <w:rFonts w:hint="eastAsia" w:ascii="Microsoft JhengHei" w:hAnsi="Microsoft JhengHei" w:eastAsia="Microsoft JhengHei" w:cs="Microsoft JhengHei"/>
              <w:bCs/>
              <w:spacing w:val="-8"/>
              <w:sz w:val="24"/>
              <w:szCs w:val="24"/>
            </w:rPr>
            <w:t>术语与定义</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_Toc5127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CA7D19A">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_Toc23453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0"/>
              <w:sz w:val="24"/>
              <w:szCs w:val="24"/>
            </w:rPr>
            <w:t>5.</w:t>
          </w:r>
          <w:r>
            <w:rPr>
              <w:rFonts w:hint="eastAsia" w:ascii="Microsoft JhengHei" w:hAnsi="Microsoft JhengHei" w:eastAsia="Microsoft JhengHei" w:cs="Microsoft JhengHei"/>
              <w:spacing w:val="-95"/>
              <w:sz w:val="24"/>
              <w:szCs w:val="24"/>
            </w:rPr>
            <w:t xml:space="preserve"> </w:t>
          </w:r>
          <w:r>
            <w:rPr>
              <w:rFonts w:hint="eastAsia" w:ascii="Microsoft JhengHei" w:hAnsi="Microsoft JhengHei" w:eastAsia="Microsoft JhengHei" w:cs="Microsoft JhengHei"/>
              <w:bCs/>
              <w:spacing w:val="-10"/>
              <w:sz w:val="24"/>
              <w:szCs w:val="24"/>
            </w:rPr>
            <w:t>角色与职责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_Toc23453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77EBE48">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_Toc22676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9"/>
              <w:sz w:val="24"/>
              <w:szCs w:val="24"/>
            </w:rPr>
            <w:t>6.</w:t>
          </w:r>
          <w:r>
            <w:rPr>
              <w:rFonts w:hint="eastAsia" w:ascii="Microsoft JhengHei" w:hAnsi="Microsoft JhengHei" w:eastAsia="Microsoft JhengHei" w:cs="Microsoft JhengHei"/>
              <w:spacing w:val="-103"/>
              <w:sz w:val="24"/>
              <w:szCs w:val="24"/>
            </w:rPr>
            <w:t xml:space="preserve"> </w:t>
          </w:r>
          <w:r>
            <w:rPr>
              <w:rFonts w:hint="eastAsia" w:ascii="Microsoft JhengHei" w:hAnsi="Microsoft JhengHei" w:eastAsia="Microsoft JhengHei" w:cs="Microsoft JhengHei"/>
              <w:bCs/>
              <w:spacing w:val="-9"/>
              <w:sz w:val="24"/>
              <w:szCs w:val="24"/>
            </w:rPr>
            <w:t>质量培训</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_Toc22676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497D972">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_Toc692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7"/>
              <w:sz w:val="24"/>
              <w:szCs w:val="24"/>
            </w:rPr>
            <w:t>7.</w:t>
          </w:r>
          <w:r>
            <w:rPr>
              <w:rFonts w:hint="eastAsia" w:ascii="Microsoft JhengHei" w:hAnsi="Microsoft JhengHei" w:eastAsia="Microsoft JhengHei" w:cs="Microsoft JhengHei"/>
              <w:spacing w:val="-63"/>
              <w:sz w:val="24"/>
              <w:szCs w:val="24"/>
            </w:rPr>
            <w:t xml:space="preserve"> </w:t>
          </w:r>
          <w:r>
            <w:rPr>
              <w:rFonts w:hint="eastAsia" w:ascii="Microsoft JhengHei" w:hAnsi="Microsoft JhengHei" w:eastAsia="Microsoft JhengHei" w:cs="Microsoft JhengHei"/>
              <w:bCs/>
              <w:spacing w:val="-17"/>
              <w:sz w:val="24"/>
              <w:szCs w:val="24"/>
            </w:rPr>
            <w:t>内审</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_Toc692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C01DFCF">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_Toc3257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lang w:val="en-US" w:eastAsia="zh-CN"/>
            </w:rPr>
            <w:t>8</w:t>
          </w:r>
          <w:r>
            <w:rPr>
              <w:rFonts w:hint="eastAsia" w:ascii="Microsoft JhengHei" w:hAnsi="Microsoft JhengHei" w:eastAsia="Microsoft JhengHei" w:cs="Microsoft JhengHei"/>
              <w:bCs/>
              <w:spacing w:val="-8"/>
              <w:sz w:val="24"/>
              <w:szCs w:val="24"/>
            </w:rPr>
            <w:t>.</w:t>
          </w:r>
          <w:r>
            <w:rPr>
              <w:rFonts w:hint="eastAsia" w:ascii="Microsoft JhengHei" w:hAnsi="Microsoft JhengHei" w:eastAsia="Microsoft JhengHei" w:cs="Microsoft JhengHei"/>
              <w:spacing w:val="-105"/>
              <w:sz w:val="24"/>
              <w:szCs w:val="24"/>
            </w:rPr>
            <w:t xml:space="preserve"> </w:t>
          </w:r>
          <w:r>
            <w:rPr>
              <w:rFonts w:hint="eastAsia" w:ascii="Microsoft JhengHei" w:hAnsi="Microsoft JhengHei" w:eastAsia="Microsoft JhengHei" w:cs="Microsoft JhengHei"/>
              <w:bCs/>
              <w:spacing w:val="-8"/>
              <w:sz w:val="24"/>
              <w:szCs w:val="24"/>
            </w:rPr>
            <w:t>满意度调查</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_Toc3257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3733337">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_Toc21295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2"/>
              <w:sz w:val="24"/>
              <w:szCs w:val="24"/>
              <w:lang w:val="en-US" w:eastAsia="zh-CN"/>
            </w:rPr>
            <w:t>9</w:t>
          </w:r>
          <w:r>
            <w:rPr>
              <w:rFonts w:hint="eastAsia" w:ascii="Microsoft JhengHei" w:hAnsi="Microsoft JhengHei" w:eastAsia="Microsoft JhengHei" w:cs="Microsoft JhengHei"/>
              <w:bCs/>
              <w:spacing w:val="-12"/>
              <w:sz w:val="24"/>
              <w:szCs w:val="24"/>
            </w:rPr>
            <w:t>.</w:t>
          </w:r>
          <w:r>
            <w:rPr>
              <w:rFonts w:hint="eastAsia" w:ascii="Microsoft JhengHei" w:hAnsi="Microsoft JhengHei" w:eastAsia="Microsoft JhengHei" w:cs="Microsoft JhengHei"/>
              <w:spacing w:val="140"/>
              <w:sz w:val="24"/>
              <w:szCs w:val="24"/>
            </w:rPr>
            <w:t xml:space="preserve"> </w:t>
          </w:r>
          <w:r>
            <w:rPr>
              <w:rFonts w:hint="eastAsia" w:ascii="Microsoft JhengHei" w:hAnsi="Microsoft JhengHei" w:eastAsia="Microsoft JhengHei" w:cs="Microsoft JhengHei"/>
              <w:bCs/>
              <w:spacing w:val="-12"/>
              <w:sz w:val="24"/>
              <w:szCs w:val="24"/>
            </w:rPr>
            <w:t>用户投诉</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_Toc21295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7EBCC06">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_Toc6446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0"/>
              <w:sz w:val="24"/>
              <w:szCs w:val="24"/>
            </w:rPr>
            <w:t>1</w:t>
          </w:r>
          <w:r>
            <w:rPr>
              <w:rFonts w:hint="eastAsia" w:ascii="Microsoft JhengHei" w:hAnsi="Microsoft JhengHei" w:eastAsia="Microsoft JhengHei" w:cs="Microsoft JhengHei"/>
              <w:bCs/>
              <w:spacing w:val="-10"/>
              <w:sz w:val="24"/>
              <w:szCs w:val="24"/>
              <w:lang w:val="en-US" w:eastAsia="zh-CN"/>
            </w:rPr>
            <w:t>0</w:t>
          </w:r>
          <w:r>
            <w:rPr>
              <w:rFonts w:hint="eastAsia" w:ascii="Microsoft JhengHei" w:hAnsi="Microsoft JhengHei" w:eastAsia="Microsoft JhengHei" w:cs="Microsoft JhengHei"/>
              <w:bCs/>
              <w:spacing w:val="-10"/>
              <w:sz w:val="24"/>
              <w:szCs w:val="24"/>
            </w:rPr>
            <w:t>.</w:t>
          </w:r>
          <w:r>
            <w:rPr>
              <w:rFonts w:hint="eastAsia" w:ascii="Microsoft JhengHei" w:hAnsi="Microsoft JhengHei" w:eastAsia="Microsoft JhengHei" w:cs="Microsoft JhengHei"/>
              <w:spacing w:val="136"/>
              <w:sz w:val="24"/>
              <w:szCs w:val="24"/>
            </w:rPr>
            <w:t xml:space="preserve"> </w:t>
          </w:r>
          <w:r>
            <w:rPr>
              <w:rFonts w:hint="eastAsia" w:ascii="Microsoft JhengHei" w:hAnsi="Microsoft JhengHei" w:eastAsia="Microsoft JhengHei" w:cs="Microsoft JhengHei"/>
              <w:bCs/>
              <w:spacing w:val="-10"/>
              <w:sz w:val="24"/>
              <w:szCs w:val="24"/>
            </w:rPr>
            <w:t>合同履约检查</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_Toc6446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D056CB4">
          <w:pPr>
            <w:spacing w:line="220" w:lineRule="auto"/>
            <w:rPr>
              <w:rFonts w:hint="eastAsia" w:ascii="Microsoft JhengHei" w:hAnsi="Microsoft JhengHei" w:eastAsia="Microsoft JhengHei" w:cs="Microsoft JhengHei"/>
              <w:snapToGrid w:val="0"/>
              <w:color w:val="000000"/>
              <w:kern w:val="0"/>
              <w:sz w:val="24"/>
              <w:szCs w:val="24"/>
              <w:lang w:val="en-US" w:eastAsia="en-US" w:bidi="ar-SA"/>
            </w:rPr>
          </w:pPr>
          <w:r>
            <w:rPr>
              <w:rFonts w:hint="eastAsia" w:ascii="Microsoft JhengHei" w:hAnsi="Microsoft JhengHei" w:eastAsia="Microsoft JhengHei" w:cs="Microsoft JhengHei"/>
              <w:sz w:val="24"/>
              <w:szCs w:val="24"/>
            </w:rPr>
            <w:fldChar w:fldCharType="end"/>
          </w:r>
        </w:p>
      </w:sdtContent>
    </w:sdt>
    <w:p w14:paraId="60CB9D3E">
      <w:pPr>
        <w:spacing w:line="220" w:lineRule="auto"/>
        <w:rPr>
          <w:rFonts w:ascii="Times New Roman" w:hAnsi="Times New Roman" w:eastAsia="Times New Roman" w:cs="Times New Roman"/>
          <w:snapToGrid w:val="0"/>
          <w:color w:val="000000"/>
          <w:kern w:val="0"/>
          <w:sz w:val="21"/>
          <w:szCs w:val="24"/>
          <w:lang w:val="en-US" w:eastAsia="en-US" w:bidi="ar-SA"/>
        </w:rPr>
        <w:sectPr>
          <w:pgSz w:w="11906" w:h="16839"/>
          <w:pgMar w:top="1431" w:right="1700" w:bottom="0" w:left="1709" w:header="0" w:footer="0" w:gutter="0"/>
          <w:cols w:space="720" w:num="1"/>
        </w:sectPr>
      </w:pPr>
    </w:p>
    <w:p w14:paraId="0C1BD63C">
      <w:pPr>
        <w:pStyle w:val="20"/>
        <w:bidi w:val="0"/>
      </w:pPr>
      <w:bookmarkStart w:id="3" w:name="_Toc19128"/>
      <w:r>
        <w:t>目的</w:t>
      </w:r>
      <w:bookmarkEnd w:id="3"/>
    </w:p>
    <w:p w14:paraId="18F9C6F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依据我公司运维服务业务定位和能力，策划</w:t>
      </w:r>
      <w:r>
        <w:rPr>
          <w:rFonts w:ascii="宋体" w:hAnsi="宋体" w:eastAsia="宋体" w:cs="宋体"/>
          <w:spacing w:val="-1"/>
          <w:sz w:val="24"/>
          <w:szCs w:val="24"/>
        </w:rPr>
        <w:t>运行维护服务对象的服务内容</w:t>
      </w:r>
      <w:r>
        <w:rPr>
          <w:rFonts w:ascii="宋体" w:hAnsi="宋体" w:eastAsia="宋体" w:cs="宋体"/>
          <w:spacing w:val="-4"/>
          <w:sz w:val="24"/>
          <w:szCs w:val="24"/>
        </w:rPr>
        <w:t>和要求，特编制此报告。</w:t>
      </w:r>
    </w:p>
    <w:p w14:paraId="1C0AD0FA">
      <w:pPr>
        <w:pStyle w:val="20"/>
        <w:bidi w:val="0"/>
      </w:pPr>
      <w:bookmarkStart w:id="4" w:name="_Toc3319"/>
      <w:r>
        <w:t>适用范围</w:t>
      </w:r>
      <w:bookmarkEnd w:id="4"/>
    </w:p>
    <w:p w14:paraId="7787894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4" w:firstLineChars="200"/>
        <w:textAlignment w:val="baseline"/>
        <w:rPr>
          <w:rFonts w:ascii="宋体" w:hAnsi="宋体" w:eastAsia="宋体" w:cs="宋体"/>
          <w:spacing w:val="-4"/>
          <w:sz w:val="24"/>
          <w:szCs w:val="24"/>
        </w:rPr>
      </w:pPr>
      <w:r>
        <w:rPr>
          <w:rFonts w:ascii="宋体" w:hAnsi="宋体" w:eastAsia="宋体" w:cs="宋体"/>
          <w:spacing w:val="-4"/>
          <w:sz w:val="24"/>
          <w:szCs w:val="24"/>
        </w:rPr>
        <w:t>本手册适用于本公司参与运维服务业务的部门和人员</w:t>
      </w:r>
    </w:p>
    <w:p w14:paraId="105FCEA7">
      <w:pPr>
        <w:pStyle w:val="20"/>
        <w:bidi w:val="0"/>
      </w:pPr>
      <w:bookmarkStart w:id="5" w:name="_Toc2355"/>
      <w:r>
        <w:t>引用文件</w:t>
      </w:r>
      <w:bookmarkEnd w:id="5"/>
    </w:p>
    <w:p w14:paraId="2726E989">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textAlignment w:val="baseline"/>
        <w:rPr>
          <w:rFonts w:ascii="宋体" w:hAnsi="宋体" w:eastAsia="宋体" w:cs="宋体"/>
          <w:sz w:val="24"/>
          <w:szCs w:val="24"/>
        </w:rPr>
      </w:pPr>
      <w:r>
        <w:rPr>
          <w:rFonts w:ascii="宋体" w:hAnsi="宋体" w:eastAsia="宋体" w:cs="宋体"/>
          <w:spacing w:val="-1"/>
          <w:sz w:val="24"/>
          <w:szCs w:val="24"/>
        </w:rPr>
        <w:t>1.</w:t>
      </w:r>
      <w:r>
        <w:rPr>
          <w:rFonts w:ascii="宋体" w:hAnsi="宋体" w:eastAsia="宋体" w:cs="宋体"/>
          <w:spacing w:val="82"/>
          <w:sz w:val="24"/>
          <w:szCs w:val="24"/>
        </w:rPr>
        <w:t xml:space="preserve"> </w:t>
      </w:r>
      <w:r>
        <w:rPr>
          <w:rFonts w:hint="eastAsia" w:ascii="宋体" w:hAnsi="宋体" w:eastAsia="宋体" w:cs="宋体"/>
          <w:spacing w:val="-1"/>
          <w:sz w:val="24"/>
          <w:szCs w:val="24"/>
        </w:rPr>
        <w:t>T/CESA 1299—2023</w:t>
      </w:r>
      <w:r>
        <w:rPr>
          <w:rFonts w:ascii="宋体" w:hAnsi="宋体" w:eastAsia="宋体" w:cs="宋体"/>
          <w:spacing w:val="-1"/>
          <w:sz w:val="24"/>
          <w:szCs w:val="24"/>
        </w:rPr>
        <w:t xml:space="preserve"> 《信息技术服务</w:t>
      </w:r>
      <w:r>
        <w:rPr>
          <w:rFonts w:ascii="宋体" w:hAnsi="宋体" w:eastAsia="宋体" w:cs="宋体"/>
          <w:spacing w:val="-2"/>
          <w:sz w:val="24"/>
          <w:szCs w:val="24"/>
        </w:rPr>
        <w:t xml:space="preserve"> 运行维护服务能力成熟度模型》</w:t>
      </w:r>
    </w:p>
    <w:p w14:paraId="1013E44A">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textAlignment w:val="baseline"/>
        <w:rPr>
          <w:rFonts w:ascii="宋体" w:hAnsi="宋体" w:eastAsia="宋体" w:cs="宋体"/>
          <w:sz w:val="24"/>
          <w:szCs w:val="24"/>
        </w:rPr>
      </w:pPr>
      <w:r>
        <w:rPr>
          <w:rFonts w:ascii="宋体" w:hAnsi="宋体" w:eastAsia="宋体" w:cs="宋体"/>
          <w:spacing w:val="-1"/>
          <w:sz w:val="24"/>
          <w:szCs w:val="24"/>
        </w:rPr>
        <w:t>2.</w:t>
      </w:r>
      <w:r>
        <w:rPr>
          <w:rFonts w:ascii="宋体" w:hAnsi="宋体" w:eastAsia="宋体" w:cs="宋体"/>
          <w:spacing w:val="67"/>
          <w:sz w:val="24"/>
          <w:szCs w:val="24"/>
        </w:rPr>
        <w:t xml:space="preserve"> </w:t>
      </w:r>
      <w:r>
        <w:rPr>
          <w:rFonts w:ascii="宋体" w:hAnsi="宋体" w:eastAsia="宋体" w:cs="宋体"/>
          <w:spacing w:val="-1"/>
          <w:sz w:val="24"/>
          <w:szCs w:val="24"/>
        </w:rPr>
        <w:t>GB/T 28827.1-20</w:t>
      </w:r>
      <w:r>
        <w:rPr>
          <w:rFonts w:hint="eastAsia" w:ascii="宋体" w:hAnsi="宋体" w:eastAsia="宋体" w:cs="宋体"/>
          <w:spacing w:val="-1"/>
          <w:sz w:val="24"/>
          <w:szCs w:val="24"/>
          <w:lang w:val="en-US" w:eastAsia="zh-CN"/>
        </w:rPr>
        <w:t>2</w:t>
      </w:r>
      <w:r>
        <w:rPr>
          <w:rFonts w:ascii="宋体" w:hAnsi="宋体" w:eastAsia="宋体" w:cs="宋体"/>
          <w:spacing w:val="-1"/>
          <w:sz w:val="24"/>
          <w:szCs w:val="24"/>
        </w:rPr>
        <w:t>2 《信息技术服</w:t>
      </w:r>
      <w:r>
        <w:rPr>
          <w:rFonts w:ascii="宋体" w:hAnsi="宋体" w:eastAsia="宋体" w:cs="宋体"/>
          <w:spacing w:val="-2"/>
          <w:sz w:val="24"/>
          <w:szCs w:val="24"/>
        </w:rPr>
        <w:t>务 运行维护 第</w:t>
      </w:r>
      <w:r>
        <w:rPr>
          <w:rFonts w:ascii="宋体" w:hAnsi="宋体" w:eastAsia="宋体" w:cs="宋体"/>
          <w:spacing w:val="-33"/>
          <w:sz w:val="24"/>
          <w:szCs w:val="24"/>
        </w:rPr>
        <w:t xml:space="preserve"> </w:t>
      </w:r>
      <w:r>
        <w:rPr>
          <w:rFonts w:ascii="宋体" w:hAnsi="宋体" w:eastAsia="宋体" w:cs="宋体"/>
          <w:spacing w:val="-2"/>
          <w:sz w:val="24"/>
          <w:szCs w:val="24"/>
        </w:rPr>
        <w:t>1</w:t>
      </w:r>
      <w:r>
        <w:rPr>
          <w:rFonts w:ascii="宋体" w:hAnsi="宋体" w:eastAsia="宋体" w:cs="宋体"/>
          <w:spacing w:val="-48"/>
          <w:sz w:val="24"/>
          <w:szCs w:val="24"/>
        </w:rPr>
        <w:t xml:space="preserve"> </w:t>
      </w:r>
      <w:r>
        <w:rPr>
          <w:rFonts w:ascii="宋体" w:hAnsi="宋体" w:eastAsia="宋体" w:cs="宋体"/>
          <w:spacing w:val="-2"/>
          <w:sz w:val="24"/>
          <w:szCs w:val="24"/>
        </w:rPr>
        <w:t>部分：通用要求》</w:t>
      </w:r>
    </w:p>
    <w:p w14:paraId="7BEC1D4A">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textAlignment w:val="baseline"/>
        <w:rPr>
          <w:rFonts w:ascii="宋体" w:hAnsi="宋体" w:eastAsia="宋体" w:cs="宋体"/>
          <w:sz w:val="24"/>
          <w:szCs w:val="24"/>
        </w:rPr>
      </w:pPr>
      <w:r>
        <w:rPr>
          <w:rFonts w:ascii="宋体" w:hAnsi="宋体" w:eastAsia="宋体" w:cs="宋体"/>
          <w:spacing w:val="-1"/>
          <w:sz w:val="24"/>
          <w:szCs w:val="24"/>
        </w:rPr>
        <w:t>3.</w:t>
      </w:r>
      <w:r>
        <w:rPr>
          <w:rFonts w:ascii="宋体" w:hAnsi="宋体" w:eastAsia="宋体" w:cs="宋体"/>
          <w:spacing w:val="67"/>
          <w:sz w:val="24"/>
          <w:szCs w:val="24"/>
        </w:rPr>
        <w:t xml:space="preserve"> </w:t>
      </w:r>
      <w:r>
        <w:rPr>
          <w:rFonts w:ascii="宋体" w:hAnsi="宋体" w:eastAsia="宋体" w:cs="宋体"/>
          <w:spacing w:val="-1"/>
          <w:sz w:val="24"/>
          <w:szCs w:val="24"/>
        </w:rPr>
        <w:t>GB/T 28827.2-2012 《信息技术服务 运行维护 第</w:t>
      </w:r>
      <w:r>
        <w:rPr>
          <w:rFonts w:ascii="宋体" w:hAnsi="宋体" w:eastAsia="宋体" w:cs="宋体"/>
          <w:spacing w:val="-48"/>
          <w:sz w:val="24"/>
          <w:szCs w:val="24"/>
        </w:rPr>
        <w:t xml:space="preserve"> </w:t>
      </w:r>
      <w:r>
        <w:rPr>
          <w:rFonts w:ascii="宋体" w:hAnsi="宋体" w:eastAsia="宋体" w:cs="宋体"/>
          <w:spacing w:val="-1"/>
          <w:sz w:val="24"/>
          <w:szCs w:val="24"/>
        </w:rPr>
        <w:t>2</w:t>
      </w:r>
      <w:r>
        <w:rPr>
          <w:rFonts w:ascii="宋体" w:hAnsi="宋体" w:eastAsia="宋体" w:cs="宋体"/>
          <w:spacing w:val="-48"/>
          <w:sz w:val="24"/>
          <w:szCs w:val="24"/>
        </w:rPr>
        <w:t xml:space="preserve"> </w:t>
      </w:r>
      <w:r>
        <w:rPr>
          <w:rFonts w:ascii="宋体" w:hAnsi="宋体" w:eastAsia="宋体" w:cs="宋体"/>
          <w:spacing w:val="-1"/>
          <w:sz w:val="24"/>
          <w:szCs w:val="24"/>
        </w:rPr>
        <w:t>部分:交</w:t>
      </w:r>
      <w:r>
        <w:rPr>
          <w:rFonts w:ascii="宋体" w:hAnsi="宋体" w:eastAsia="宋体" w:cs="宋体"/>
          <w:spacing w:val="-2"/>
          <w:sz w:val="24"/>
          <w:szCs w:val="24"/>
        </w:rPr>
        <w:t>付规范》</w:t>
      </w:r>
    </w:p>
    <w:p w14:paraId="157B7955">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textAlignment w:val="baseline"/>
        <w:rPr>
          <w:rFonts w:ascii="宋体" w:hAnsi="宋体" w:eastAsia="宋体" w:cs="宋体"/>
          <w:sz w:val="24"/>
          <w:szCs w:val="24"/>
        </w:rPr>
      </w:pPr>
      <w:r>
        <w:rPr>
          <w:rFonts w:ascii="宋体" w:hAnsi="宋体" w:eastAsia="宋体" w:cs="宋体"/>
          <w:spacing w:val="-1"/>
          <w:sz w:val="24"/>
          <w:szCs w:val="24"/>
        </w:rPr>
        <w:t>4.</w:t>
      </w:r>
      <w:r>
        <w:rPr>
          <w:rFonts w:ascii="宋体" w:hAnsi="宋体" w:eastAsia="宋体" w:cs="宋体"/>
          <w:spacing w:val="66"/>
          <w:sz w:val="24"/>
          <w:szCs w:val="24"/>
        </w:rPr>
        <w:t xml:space="preserve"> </w:t>
      </w:r>
      <w:r>
        <w:rPr>
          <w:rFonts w:ascii="宋体" w:hAnsi="宋体" w:eastAsia="宋体" w:cs="宋体"/>
          <w:spacing w:val="-1"/>
          <w:sz w:val="24"/>
          <w:szCs w:val="24"/>
        </w:rPr>
        <w:t>GB/T</w:t>
      </w:r>
      <w:r>
        <w:rPr>
          <w:rFonts w:ascii="宋体" w:hAnsi="宋体" w:eastAsia="宋体" w:cs="宋体"/>
          <w:spacing w:val="34"/>
          <w:sz w:val="24"/>
          <w:szCs w:val="24"/>
        </w:rPr>
        <w:t xml:space="preserve"> </w:t>
      </w:r>
      <w:r>
        <w:rPr>
          <w:rFonts w:ascii="宋体" w:hAnsi="宋体" w:eastAsia="宋体" w:cs="宋体"/>
          <w:spacing w:val="-1"/>
          <w:sz w:val="24"/>
          <w:szCs w:val="24"/>
        </w:rPr>
        <w:t>28827.3-2012 《信息技术服务</w:t>
      </w:r>
      <w:r>
        <w:rPr>
          <w:rFonts w:ascii="宋体" w:hAnsi="宋体" w:eastAsia="宋体" w:cs="宋体"/>
          <w:spacing w:val="31"/>
          <w:sz w:val="24"/>
          <w:szCs w:val="24"/>
        </w:rPr>
        <w:t xml:space="preserve"> </w:t>
      </w:r>
      <w:r>
        <w:rPr>
          <w:rFonts w:ascii="宋体" w:hAnsi="宋体" w:eastAsia="宋体" w:cs="宋体"/>
          <w:spacing w:val="-1"/>
          <w:sz w:val="24"/>
          <w:szCs w:val="24"/>
        </w:rPr>
        <w:t>运行</w:t>
      </w:r>
      <w:r>
        <w:rPr>
          <w:rFonts w:ascii="宋体" w:hAnsi="宋体" w:eastAsia="宋体" w:cs="宋体"/>
          <w:spacing w:val="-2"/>
          <w:sz w:val="24"/>
          <w:szCs w:val="24"/>
        </w:rPr>
        <w:t>维护</w:t>
      </w:r>
      <w:r>
        <w:rPr>
          <w:rFonts w:ascii="宋体" w:hAnsi="宋体" w:eastAsia="宋体" w:cs="宋体"/>
          <w:spacing w:val="31"/>
          <w:sz w:val="24"/>
          <w:szCs w:val="24"/>
        </w:rPr>
        <w:t xml:space="preserve"> </w:t>
      </w:r>
      <w:r>
        <w:rPr>
          <w:rFonts w:ascii="宋体" w:hAnsi="宋体" w:eastAsia="宋体" w:cs="宋体"/>
          <w:spacing w:val="-2"/>
          <w:sz w:val="24"/>
          <w:szCs w:val="24"/>
        </w:rPr>
        <w:t>第</w:t>
      </w:r>
      <w:r>
        <w:rPr>
          <w:rFonts w:ascii="宋体" w:hAnsi="宋体" w:eastAsia="宋体" w:cs="宋体"/>
          <w:spacing w:val="-46"/>
          <w:sz w:val="24"/>
          <w:szCs w:val="24"/>
        </w:rPr>
        <w:t xml:space="preserve"> </w:t>
      </w:r>
      <w:r>
        <w:rPr>
          <w:rFonts w:ascii="宋体" w:hAnsi="宋体" w:eastAsia="宋体" w:cs="宋体"/>
          <w:spacing w:val="-2"/>
          <w:sz w:val="24"/>
          <w:szCs w:val="24"/>
        </w:rPr>
        <w:t>3</w:t>
      </w:r>
      <w:r>
        <w:rPr>
          <w:rFonts w:ascii="宋体" w:hAnsi="宋体" w:eastAsia="宋体" w:cs="宋体"/>
          <w:spacing w:val="-48"/>
          <w:sz w:val="24"/>
          <w:szCs w:val="24"/>
        </w:rPr>
        <w:t xml:space="preserve"> </w:t>
      </w:r>
      <w:r>
        <w:rPr>
          <w:rFonts w:ascii="宋体" w:hAnsi="宋体" w:eastAsia="宋体" w:cs="宋体"/>
          <w:spacing w:val="-2"/>
          <w:sz w:val="24"/>
          <w:szCs w:val="24"/>
        </w:rPr>
        <w:t>部分:应急响应规</w:t>
      </w:r>
      <w:r>
        <w:rPr>
          <w:rFonts w:ascii="宋体" w:hAnsi="宋体" w:eastAsia="宋体" w:cs="宋体"/>
          <w:spacing w:val="-8"/>
          <w:sz w:val="24"/>
          <w:szCs w:val="24"/>
        </w:rPr>
        <w:t>范》</w:t>
      </w:r>
    </w:p>
    <w:p w14:paraId="6900DD47">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textAlignment w:val="baseline"/>
        <w:rPr>
          <w:rFonts w:ascii="宋体" w:hAnsi="宋体" w:eastAsia="宋体" w:cs="宋体"/>
          <w:sz w:val="24"/>
          <w:szCs w:val="24"/>
        </w:rPr>
      </w:pPr>
      <w:r>
        <w:rPr>
          <w:rFonts w:ascii="宋体" w:hAnsi="宋体" w:eastAsia="宋体" w:cs="宋体"/>
          <w:spacing w:val="-1"/>
          <w:sz w:val="24"/>
          <w:szCs w:val="24"/>
        </w:rPr>
        <w:t>5.</w:t>
      </w:r>
      <w:r>
        <w:rPr>
          <w:rFonts w:ascii="宋体" w:hAnsi="宋体" w:eastAsia="宋体" w:cs="宋体"/>
          <w:spacing w:val="76"/>
          <w:sz w:val="24"/>
          <w:szCs w:val="24"/>
        </w:rPr>
        <w:t xml:space="preserve"> </w:t>
      </w:r>
      <w:r>
        <w:rPr>
          <w:rFonts w:ascii="宋体" w:hAnsi="宋体" w:eastAsia="宋体" w:cs="宋体"/>
          <w:spacing w:val="-1"/>
          <w:sz w:val="24"/>
          <w:szCs w:val="24"/>
        </w:rPr>
        <w:t>GB/T 29264-2012 《信息技术服务 分类与代码》</w:t>
      </w:r>
    </w:p>
    <w:p w14:paraId="24174825">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68" w:hangingChars="200"/>
        <w:textAlignment w:val="baseline"/>
        <w:rPr>
          <w:rFonts w:ascii="宋体" w:hAnsi="宋体" w:eastAsia="宋体" w:cs="宋体"/>
          <w:sz w:val="24"/>
          <w:szCs w:val="24"/>
        </w:rPr>
      </w:pPr>
      <w:r>
        <w:rPr>
          <w:rFonts w:hint="eastAsia" w:ascii="宋体" w:hAnsi="宋体" w:eastAsia="宋体" w:cs="宋体"/>
          <w:spacing w:val="-3"/>
          <w:sz w:val="24"/>
          <w:szCs w:val="24"/>
          <w:lang w:val="en-US" w:eastAsia="zh-CN"/>
        </w:rPr>
        <w:t>6</w:t>
      </w:r>
      <w:r>
        <w:rPr>
          <w:rFonts w:ascii="宋体" w:hAnsi="宋体" w:eastAsia="宋体" w:cs="宋体"/>
          <w:spacing w:val="-3"/>
          <w:sz w:val="24"/>
          <w:szCs w:val="24"/>
        </w:rPr>
        <w:t>.</w:t>
      </w:r>
      <w:r>
        <w:rPr>
          <w:rFonts w:ascii="宋体" w:hAnsi="宋体" w:eastAsia="宋体" w:cs="宋体"/>
          <w:spacing w:val="99"/>
          <w:sz w:val="24"/>
          <w:szCs w:val="24"/>
        </w:rPr>
        <w:t xml:space="preserve"> </w:t>
      </w:r>
      <w:r>
        <w:rPr>
          <w:rFonts w:ascii="宋体" w:hAnsi="宋体" w:eastAsia="宋体" w:cs="宋体"/>
          <w:spacing w:val="-3"/>
          <w:sz w:val="24"/>
          <w:szCs w:val="24"/>
        </w:rPr>
        <w:t>国家有关法律、法规及行业标准</w:t>
      </w:r>
    </w:p>
    <w:p w14:paraId="6D988C9B">
      <w:pPr>
        <w:pStyle w:val="20"/>
        <w:bidi w:val="0"/>
      </w:pPr>
      <w:bookmarkStart w:id="6" w:name="_Toc5127"/>
      <w:r>
        <w:t>术语与定义</w:t>
      </w:r>
      <w:bookmarkEnd w:id="6"/>
    </w:p>
    <w:p w14:paraId="6E1E5B11">
      <w:pPr>
        <w:spacing w:before="120" w:line="220" w:lineRule="auto"/>
        <w:ind w:left="724"/>
        <w:rPr>
          <w:rFonts w:ascii="宋体" w:hAnsi="宋体" w:eastAsia="宋体" w:cs="宋体"/>
          <w:sz w:val="24"/>
          <w:szCs w:val="24"/>
        </w:rPr>
      </w:pPr>
      <w:r>
        <w:rPr>
          <w:rFonts w:ascii="宋体" w:hAnsi="宋体" w:eastAsia="宋体" w:cs="宋体"/>
          <w:sz w:val="24"/>
          <w:szCs w:val="24"/>
        </w:rPr>
        <w:t>无</w:t>
      </w:r>
    </w:p>
    <w:p w14:paraId="7CE1865B">
      <w:pPr>
        <w:pStyle w:val="20"/>
        <w:bidi w:val="0"/>
      </w:pPr>
      <w:bookmarkStart w:id="7" w:name="_Toc23453"/>
      <w:r>
        <w:t>角色与职责</w:t>
      </w:r>
      <w:bookmarkEnd w:id="7"/>
    </w:p>
    <w:p w14:paraId="6FE96398">
      <w:pPr>
        <w:spacing w:line="76" w:lineRule="exact"/>
      </w:pPr>
    </w:p>
    <w:tbl>
      <w:tblPr>
        <w:tblStyle w:val="18"/>
        <w:tblW w:w="852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42"/>
        <w:gridCol w:w="2422"/>
        <w:gridCol w:w="3257"/>
      </w:tblGrid>
      <w:tr w14:paraId="618589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3" w:hRule="atLeast"/>
        </w:trPr>
        <w:tc>
          <w:tcPr>
            <w:tcW w:w="2842" w:type="dxa"/>
            <w:shd w:val="clear" w:color="auto" w:fill="BFBFBF"/>
            <w:vAlign w:val="top"/>
          </w:tcPr>
          <w:p w14:paraId="04A46396">
            <w:pPr>
              <w:pStyle w:val="19"/>
              <w:spacing w:before="59" w:line="219" w:lineRule="auto"/>
              <w:ind w:left="1217"/>
              <w:rPr>
                <w:sz w:val="21"/>
                <w:szCs w:val="21"/>
              </w:rPr>
            </w:pPr>
            <w:r>
              <w:rPr>
                <w:spacing w:val="-3"/>
                <w:sz w:val="21"/>
                <w:szCs w:val="21"/>
              </w:rPr>
              <w:t>角色</w:t>
            </w:r>
          </w:p>
        </w:tc>
        <w:tc>
          <w:tcPr>
            <w:tcW w:w="2422" w:type="dxa"/>
            <w:shd w:val="clear" w:color="auto" w:fill="BFBFBF"/>
            <w:vAlign w:val="top"/>
          </w:tcPr>
          <w:p w14:paraId="15A04BEF">
            <w:pPr>
              <w:pStyle w:val="19"/>
              <w:spacing w:before="59" w:line="221" w:lineRule="auto"/>
              <w:ind w:left="1005"/>
              <w:rPr>
                <w:sz w:val="21"/>
                <w:szCs w:val="21"/>
              </w:rPr>
            </w:pPr>
            <w:r>
              <w:rPr>
                <w:spacing w:val="-3"/>
                <w:sz w:val="21"/>
                <w:szCs w:val="21"/>
              </w:rPr>
              <w:t>职责</w:t>
            </w:r>
          </w:p>
        </w:tc>
        <w:tc>
          <w:tcPr>
            <w:tcW w:w="3257" w:type="dxa"/>
            <w:shd w:val="clear" w:color="auto" w:fill="BFBFBF"/>
            <w:vAlign w:val="top"/>
          </w:tcPr>
          <w:p w14:paraId="6DED0D13">
            <w:pPr>
              <w:pStyle w:val="19"/>
              <w:spacing w:before="59" w:line="219" w:lineRule="auto"/>
              <w:ind w:right="2"/>
              <w:jc w:val="right"/>
              <w:rPr>
                <w:sz w:val="21"/>
                <w:szCs w:val="21"/>
              </w:rPr>
            </w:pPr>
            <w:r>
              <w:rPr>
                <w:spacing w:val="-3"/>
                <w:sz w:val="21"/>
                <w:szCs w:val="21"/>
              </w:rPr>
              <w:t>岗位（要以岗位职责说明书确定）</w:t>
            </w:r>
          </w:p>
        </w:tc>
      </w:tr>
      <w:tr w14:paraId="33E779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2842" w:type="dxa"/>
            <w:vAlign w:val="top"/>
          </w:tcPr>
          <w:p w14:paraId="261EB3B5">
            <w:pPr>
              <w:pStyle w:val="19"/>
              <w:spacing w:before="57" w:line="220" w:lineRule="auto"/>
              <w:ind w:left="110"/>
              <w:rPr>
                <w:sz w:val="21"/>
                <w:szCs w:val="21"/>
              </w:rPr>
            </w:pPr>
            <w:r>
              <w:rPr>
                <w:spacing w:val="-2"/>
                <w:sz w:val="21"/>
                <w:szCs w:val="21"/>
              </w:rPr>
              <w:t>程序起草人</w:t>
            </w:r>
          </w:p>
        </w:tc>
        <w:tc>
          <w:tcPr>
            <w:tcW w:w="2422" w:type="dxa"/>
            <w:vAlign w:val="top"/>
          </w:tcPr>
          <w:p w14:paraId="5FB73583">
            <w:pPr>
              <w:pStyle w:val="19"/>
              <w:spacing w:before="58" w:line="218" w:lineRule="auto"/>
              <w:ind w:left="118"/>
              <w:rPr>
                <w:sz w:val="21"/>
                <w:szCs w:val="21"/>
              </w:rPr>
            </w:pPr>
            <w:r>
              <w:rPr>
                <w:spacing w:val="-2"/>
                <w:sz w:val="21"/>
                <w:szCs w:val="21"/>
              </w:rPr>
              <w:t>负责报告的编写及完善</w:t>
            </w:r>
          </w:p>
        </w:tc>
        <w:tc>
          <w:tcPr>
            <w:tcW w:w="3257" w:type="dxa"/>
            <w:vAlign w:val="top"/>
          </w:tcPr>
          <w:p w14:paraId="4275744A">
            <w:pPr>
              <w:pStyle w:val="19"/>
              <w:spacing w:before="57" w:line="220" w:lineRule="auto"/>
              <w:ind w:left="114"/>
              <w:rPr>
                <w:sz w:val="21"/>
                <w:szCs w:val="21"/>
              </w:rPr>
            </w:pPr>
            <w:r>
              <w:rPr>
                <w:spacing w:val="-2"/>
                <w:sz w:val="21"/>
                <w:szCs w:val="21"/>
              </w:rPr>
              <w:t>质量管理专员</w:t>
            </w:r>
          </w:p>
        </w:tc>
      </w:tr>
      <w:tr w14:paraId="60FFA3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2842" w:type="dxa"/>
            <w:vAlign w:val="top"/>
          </w:tcPr>
          <w:p w14:paraId="60F9C827">
            <w:pPr>
              <w:pStyle w:val="19"/>
              <w:spacing w:before="60" w:line="220" w:lineRule="auto"/>
              <w:ind w:left="110"/>
              <w:rPr>
                <w:sz w:val="21"/>
                <w:szCs w:val="21"/>
              </w:rPr>
            </w:pPr>
            <w:r>
              <w:rPr>
                <w:spacing w:val="-2"/>
                <w:sz w:val="21"/>
                <w:szCs w:val="21"/>
              </w:rPr>
              <w:t>程序审核人</w:t>
            </w:r>
          </w:p>
        </w:tc>
        <w:tc>
          <w:tcPr>
            <w:tcW w:w="2422" w:type="dxa"/>
            <w:vAlign w:val="top"/>
          </w:tcPr>
          <w:p w14:paraId="431E162B">
            <w:pPr>
              <w:pStyle w:val="19"/>
              <w:spacing w:before="59" w:line="220" w:lineRule="auto"/>
              <w:ind w:left="118"/>
              <w:rPr>
                <w:sz w:val="21"/>
                <w:szCs w:val="21"/>
              </w:rPr>
            </w:pPr>
            <w:r>
              <w:rPr>
                <w:spacing w:val="-4"/>
                <w:sz w:val="21"/>
                <w:szCs w:val="21"/>
              </w:rPr>
              <w:t>负责审核</w:t>
            </w:r>
          </w:p>
        </w:tc>
        <w:tc>
          <w:tcPr>
            <w:tcW w:w="3257" w:type="dxa"/>
            <w:vAlign w:val="top"/>
          </w:tcPr>
          <w:p w14:paraId="0FF6AA1D">
            <w:pPr>
              <w:pStyle w:val="19"/>
              <w:spacing w:before="59" w:line="220" w:lineRule="auto"/>
              <w:ind w:left="117"/>
              <w:rPr>
                <w:sz w:val="21"/>
                <w:szCs w:val="21"/>
              </w:rPr>
            </w:pPr>
            <w:r>
              <w:rPr>
                <w:spacing w:val="-3"/>
                <w:sz w:val="21"/>
                <w:szCs w:val="21"/>
              </w:rPr>
              <w:t>副总经理</w:t>
            </w:r>
          </w:p>
        </w:tc>
      </w:tr>
      <w:tr w14:paraId="68EAD3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8" w:hRule="atLeast"/>
        </w:trPr>
        <w:tc>
          <w:tcPr>
            <w:tcW w:w="2842" w:type="dxa"/>
            <w:vAlign w:val="top"/>
          </w:tcPr>
          <w:p w14:paraId="6AC50152">
            <w:pPr>
              <w:pStyle w:val="19"/>
              <w:spacing w:before="62" w:line="220" w:lineRule="auto"/>
              <w:ind w:left="121"/>
              <w:rPr>
                <w:sz w:val="21"/>
                <w:szCs w:val="21"/>
              </w:rPr>
            </w:pPr>
            <w:r>
              <w:rPr>
                <w:spacing w:val="-5"/>
                <w:sz w:val="21"/>
                <w:szCs w:val="21"/>
              </w:rPr>
              <w:t>审批人</w:t>
            </w:r>
          </w:p>
        </w:tc>
        <w:tc>
          <w:tcPr>
            <w:tcW w:w="2422" w:type="dxa"/>
            <w:vAlign w:val="top"/>
          </w:tcPr>
          <w:p w14:paraId="55ACE111">
            <w:pPr>
              <w:pStyle w:val="19"/>
              <w:spacing w:before="61" w:line="220" w:lineRule="auto"/>
              <w:ind w:left="118"/>
              <w:rPr>
                <w:sz w:val="21"/>
                <w:szCs w:val="21"/>
              </w:rPr>
            </w:pPr>
            <w:r>
              <w:rPr>
                <w:spacing w:val="-4"/>
                <w:sz w:val="21"/>
                <w:szCs w:val="21"/>
              </w:rPr>
              <w:t>负责审批</w:t>
            </w:r>
          </w:p>
        </w:tc>
        <w:tc>
          <w:tcPr>
            <w:tcW w:w="3257" w:type="dxa"/>
            <w:vAlign w:val="top"/>
          </w:tcPr>
          <w:p w14:paraId="0CED1A44">
            <w:pPr>
              <w:pStyle w:val="19"/>
              <w:spacing w:before="62" w:line="225" w:lineRule="auto"/>
              <w:ind w:left="118"/>
              <w:rPr>
                <w:sz w:val="21"/>
                <w:szCs w:val="21"/>
              </w:rPr>
            </w:pPr>
            <w:r>
              <w:rPr>
                <w:spacing w:val="-4"/>
                <w:sz w:val="21"/>
                <w:szCs w:val="21"/>
              </w:rPr>
              <w:t>总经理</w:t>
            </w:r>
          </w:p>
        </w:tc>
      </w:tr>
    </w:tbl>
    <w:p w14:paraId="3E088735">
      <w:pPr>
        <w:pStyle w:val="11"/>
        <w:spacing w:line="355" w:lineRule="auto"/>
      </w:pPr>
    </w:p>
    <w:p w14:paraId="388E102D">
      <w:pPr>
        <w:pStyle w:val="20"/>
        <w:bidi w:val="0"/>
        <w:rPr>
          <w:rFonts w:hint="default"/>
          <w:lang w:val="en-US" w:eastAsia="zh-CN"/>
        </w:rPr>
      </w:pPr>
      <w:r>
        <w:rPr>
          <w:rFonts w:hint="eastAsia"/>
          <w:lang w:val="en-US" w:eastAsia="zh-CN"/>
        </w:rPr>
        <w:t>服务质量活动管理</w:t>
      </w:r>
    </w:p>
    <w:p w14:paraId="68009608">
      <w:pPr>
        <w:pStyle w:val="21"/>
        <w:bidi w:val="0"/>
      </w:pPr>
      <w:r>
        <w:rPr>
          <w:rFonts w:hint="eastAsia"/>
          <w:lang w:val="en-US" w:eastAsia="zh-CN"/>
        </w:rPr>
        <w:t>内部评审</w:t>
      </w:r>
    </w:p>
    <w:p w14:paraId="53649846">
      <w:pPr>
        <w:keepNext w:val="0"/>
        <w:keepLines w:val="0"/>
        <w:pageBreakBefore w:val="0"/>
        <w:widowControl/>
        <w:shd w:val="clear" w:fill="FFFF00"/>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 xml:space="preserve">公司准备在 2025年 </w:t>
      </w:r>
      <w:r>
        <w:rPr>
          <w:rFonts w:hint="eastAsia" w:ascii="宋体" w:hAnsi="宋体" w:eastAsia="宋体" w:cs="宋体"/>
          <w:sz w:val="24"/>
          <w:szCs w:val="24"/>
          <w:lang w:val="en-US" w:eastAsia="zh-CN"/>
        </w:rPr>
        <w:t>7</w:t>
      </w:r>
      <w:r>
        <w:rPr>
          <w:rFonts w:ascii="宋体" w:hAnsi="宋体" w:eastAsia="宋体" w:cs="宋体"/>
          <w:sz w:val="24"/>
          <w:szCs w:val="24"/>
        </w:rPr>
        <w:t xml:space="preserve"> 月进行 ITSS 体系的</w:t>
      </w:r>
      <w:r>
        <w:rPr>
          <w:rFonts w:hint="eastAsia" w:ascii="宋体" w:hAnsi="宋体" w:eastAsia="宋体" w:cs="宋体"/>
          <w:sz w:val="24"/>
          <w:szCs w:val="24"/>
          <w:lang w:val="en-US" w:eastAsia="zh-CN"/>
        </w:rPr>
        <w:t>新版</w:t>
      </w:r>
      <w:r>
        <w:rPr>
          <w:rFonts w:ascii="宋体" w:hAnsi="宋体" w:eastAsia="宋体" w:cs="宋体"/>
          <w:sz w:val="24"/>
          <w:szCs w:val="24"/>
        </w:rPr>
        <w:t xml:space="preserve">评估工作，在 2025年 </w:t>
      </w:r>
      <w:r>
        <w:rPr>
          <w:rFonts w:hint="eastAsia" w:ascii="宋体" w:hAnsi="宋体" w:eastAsia="宋体" w:cs="宋体"/>
          <w:sz w:val="24"/>
          <w:szCs w:val="24"/>
          <w:lang w:val="en-US" w:eastAsia="zh-CN"/>
        </w:rPr>
        <w:t>7</w:t>
      </w:r>
      <w:r>
        <w:rPr>
          <w:rFonts w:ascii="宋体" w:hAnsi="宋体" w:eastAsia="宋体" w:cs="宋体"/>
          <w:sz w:val="24"/>
          <w:szCs w:val="24"/>
        </w:rPr>
        <w:t xml:space="preserve"> 月 </w:t>
      </w:r>
      <w:r>
        <w:rPr>
          <w:rFonts w:hint="eastAsia" w:ascii="宋体" w:hAnsi="宋体" w:eastAsia="宋体" w:cs="宋体"/>
          <w:sz w:val="24"/>
          <w:szCs w:val="24"/>
          <w:lang w:val="en-US" w:eastAsia="zh-CN"/>
        </w:rPr>
        <w:t xml:space="preserve">14 </w:t>
      </w:r>
      <w:r>
        <w:rPr>
          <w:rFonts w:ascii="宋体" w:hAnsi="宋体" w:eastAsia="宋体" w:cs="宋体"/>
          <w:sz w:val="24"/>
          <w:szCs w:val="24"/>
        </w:rPr>
        <w:t>日至</w:t>
      </w:r>
      <w:r>
        <w:rPr>
          <w:rFonts w:hint="eastAsia" w:ascii="宋体" w:hAnsi="宋体" w:eastAsia="宋体" w:cs="宋体"/>
          <w:sz w:val="24"/>
          <w:szCs w:val="24"/>
          <w:lang w:val="en-US" w:eastAsia="zh-CN"/>
        </w:rPr>
        <w:t>15</w:t>
      </w:r>
      <w:r>
        <w:rPr>
          <w:rFonts w:ascii="宋体" w:hAnsi="宋体" w:eastAsia="宋体" w:cs="宋体"/>
          <w:sz w:val="24"/>
          <w:szCs w:val="24"/>
        </w:rPr>
        <w:t>日举行了一次外审前的内审活动，涉及公司运维相关各部门。具体不符合项如下：</w:t>
      </w:r>
    </w:p>
    <w:p w14:paraId="396FAF9A">
      <w:pPr>
        <w:keepNext w:val="0"/>
        <w:keepLines w:val="0"/>
        <w:pageBreakBefore w:val="0"/>
        <w:widowControl/>
        <w:shd w:val="clear" w:fill="FFFF00"/>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知识库管理平台和知识库内容适宜性的评审记录未生成；不符合 7.</w:t>
      </w:r>
      <w:r>
        <w:rPr>
          <w:rFonts w:hint="eastAsia" w:ascii="宋体" w:hAnsi="宋体" w:eastAsia="宋体" w:cs="宋体"/>
          <w:sz w:val="24"/>
          <w:szCs w:val="24"/>
          <w:lang w:val="en-US" w:eastAsia="zh-CN"/>
        </w:rPr>
        <w:t>6.6</w:t>
      </w:r>
      <w:r>
        <w:rPr>
          <w:rFonts w:ascii="宋体" w:hAnsi="宋体" w:eastAsia="宋体" w:cs="宋体"/>
          <w:sz w:val="24"/>
          <w:szCs w:val="24"/>
        </w:rPr>
        <w:t xml:space="preserve"> 知识库，要求运维服务部尽快整改完毕，并由质量中心验证，已经通过。</w:t>
      </w:r>
    </w:p>
    <w:p w14:paraId="4E9C043E">
      <w:pPr>
        <w:keepNext w:val="0"/>
        <w:keepLines w:val="0"/>
        <w:pageBreakBefore w:val="0"/>
        <w:widowControl/>
        <w:shd w:val="clear" w:fill="FFFF00"/>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针对不符合项的改进意见如下：</w:t>
      </w:r>
    </w:p>
    <w:p w14:paraId="7E2C02DE">
      <w:pPr>
        <w:keepNext w:val="0"/>
        <w:keepLines w:val="0"/>
        <w:pageBreakBefore w:val="0"/>
        <w:widowControl/>
        <w:shd w:val="clear" w:fill="FFFF00"/>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pacing w:val="-2"/>
          <w:sz w:val="24"/>
          <w:szCs w:val="24"/>
        </w:rPr>
      </w:pPr>
      <w:r>
        <w:rPr>
          <w:rFonts w:ascii="宋体" w:hAnsi="宋体" w:eastAsia="宋体" w:cs="宋体"/>
          <w:sz w:val="24"/>
          <w:szCs w:val="24"/>
        </w:rPr>
        <w:t>运维服务部相关人员认真学习知识库管理制度，并按制度要求定期开展知识库管理平台和知识库内容适宜性评审，并由专人负责提醒其定期开展</w:t>
      </w:r>
      <w:r>
        <w:rPr>
          <w:rFonts w:ascii="宋体" w:hAnsi="宋体" w:eastAsia="宋体" w:cs="宋体"/>
          <w:spacing w:val="-2"/>
          <w:sz w:val="24"/>
          <w:szCs w:val="24"/>
        </w:rPr>
        <w:t>。</w:t>
      </w:r>
    </w:p>
    <w:p w14:paraId="0EB52FDA">
      <w:pPr>
        <w:pStyle w:val="21"/>
        <w:bidi w:val="0"/>
      </w:pPr>
      <w:r>
        <w:rPr>
          <w:rFonts w:hint="eastAsia"/>
          <w:lang w:val="en-US" w:eastAsia="zh-CN"/>
        </w:rPr>
        <w:t>管理评审</w:t>
      </w:r>
    </w:p>
    <w:p w14:paraId="5BECB19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pacing w:val="-2"/>
          <w:sz w:val="24"/>
          <w:szCs w:val="24"/>
        </w:rPr>
      </w:pPr>
      <w:r>
        <w:rPr>
          <w:rFonts w:ascii="宋体" w:hAnsi="宋体" w:eastAsia="宋体" w:cs="宋体"/>
          <w:sz w:val="24"/>
          <w:szCs w:val="24"/>
        </w:rPr>
        <w:t>2025年度公司管理评审在公司各部门的积极配合下圆满地结束了，对本次管理评审公司各相关部门做了周密的安排，参加会议的各部门人员也做了充分的准备，对公司的运维管理目标进行了认真的评议，全面的总结了公司运维能力体系的运行情况，肯定了2025年质量管理体系运行的适宜性、有效性。通过这次管理评审，总结了经验，将更有力的推动公司持续发展。</w:t>
      </w:r>
      <w:r>
        <w:rPr>
          <w:rFonts w:ascii="宋体" w:hAnsi="宋体" w:eastAsia="宋体" w:cs="宋体"/>
          <w:spacing w:val="-2"/>
          <w:sz w:val="24"/>
          <w:szCs w:val="24"/>
        </w:rPr>
        <w:t>。</w:t>
      </w:r>
    </w:p>
    <w:p w14:paraId="3D431BF9">
      <w:pPr>
        <w:pStyle w:val="21"/>
        <w:bidi w:val="0"/>
      </w:pPr>
      <w:bookmarkStart w:id="8" w:name="_Toc3257"/>
      <w:r>
        <w:t>满意度调查</w:t>
      </w:r>
      <w:bookmarkEnd w:id="8"/>
    </w:p>
    <w:p w14:paraId="558645F7">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对已统计的用户满意度调查问卷结果进行分析，截止</w:t>
      </w:r>
      <w:r>
        <w:rPr>
          <w:rFonts w:hint="eastAsia" w:ascii="宋体" w:hAnsi="宋体" w:eastAsia="宋体" w:cs="宋体"/>
          <w:spacing w:val="-6"/>
          <w:sz w:val="24"/>
          <w:szCs w:val="24"/>
          <w:lang w:val="en-US" w:eastAsia="zh-CN"/>
        </w:rPr>
        <w:t>2025年6月</w:t>
      </w:r>
      <w:r>
        <w:rPr>
          <w:rFonts w:hint="eastAsia" w:ascii="宋体" w:hAnsi="宋体" w:eastAsia="宋体" w:cs="宋体"/>
          <w:spacing w:val="-6"/>
          <w:sz w:val="24"/>
          <w:szCs w:val="24"/>
          <w:lang w:eastAsia="zh-CN"/>
        </w:rPr>
        <w:t>客户满意度平均分为 96分（满意度调查表总得分/收回的调查问卷总份数），通过调查分数以及客户提出的改进意见，</w:t>
      </w:r>
      <w:r>
        <w:rPr>
          <w:rFonts w:hint="eastAsia" w:ascii="宋体" w:hAnsi="宋体" w:eastAsia="宋体" w:cs="宋体"/>
          <w:spacing w:val="-6"/>
          <w:sz w:val="24"/>
          <w:szCs w:val="24"/>
          <w:lang w:val="en-US" w:eastAsia="zh-CN"/>
        </w:rPr>
        <w:t>运维服务部</w:t>
      </w:r>
      <w:r>
        <w:rPr>
          <w:rFonts w:hint="eastAsia" w:ascii="宋体" w:hAnsi="宋体" w:eastAsia="宋体" w:cs="宋体"/>
          <w:spacing w:val="-6"/>
          <w:sz w:val="24"/>
          <w:szCs w:val="24"/>
          <w:lang w:eastAsia="zh-CN"/>
        </w:rPr>
        <w:t>发现以下情况在之后的运维服务过程中有提高的空间。</w:t>
      </w:r>
    </w:p>
    <w:p w14:paraId="71D2B392">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lang w:eastAsia="zh-CN"/>
        </w:rPr>
        <w:t>通过满意度调查得知，客户对我司的运维服务基本持满意态度，但对于公司的服务台服务水平等方面有需要提高的空间，从本次调查不仅获知本公司的不足之处，还反映了客户关注需要进一步加强，未来更有必要提升公司整体运作及管理水平。</w:t>
      </w:r>
    </w:p>
    <w:p w14:paraId="73A8937B">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spacing w:val="-6"/>
          <w:lang w:eastAsia="zh-CN"/>
        </w:rPr>
      </w:pPr>
      <w:r>
        <w:rPr>
          <w:rFonts w:hint="eastAsia" w:ascii="宋体" w:hAnsi="宋体" w:eastAsia="宋体" w:cs="宋体"/>
          <w:spacing w:val="-6"/>
          <w:sz w:val="24"/>
          <w:szCs w:val="24"/>
          <w:lang w:eastAsia="zh-CN"/>
        </w:rPr>
        <w:t>之后</w:t>
      </w:r>
      <w:r>
        <w:rPr>
          <w:rFonts w:hint="eastAsia" w:ascii="宋体" w:hAnsi="宋体" w:eastAsia="宋体" w:cs="宋体"/>
          <w:spacing w:val="-6"/>
          <w:sz w:val="24"/>
          <w:szCs w:val="24"/>
          <w:lang w:val="en-US" w:eastAsia="zh-CN"/>
        </w:rPr>
        <w:t>运维服务部</w:t>
      </w:r>
      <w:r>
        <w:rPr>
          <w:rFonts w:hint="eastAsia" w:ascii="宋体" w:hAnsi="宋体" w:eastAsia="宋体" w:cs="宋体"/>
          <w:spacing w:val="-6"/>
          <w:sz w:val="24"/>
          <w:szCs w:val="24"/>
          <w:lang w:eastAsia="zh-CN"/>
        </w:rPr>
        <w:t>会继续向客户征询调查问卷，并对调查问卷的数据进行统计分析，从而进一步提升本公司各方面服务水平，更好的服务于客户。</w:t>
      </w:r>
    </w:p>
    <w:p w14:paraId="4AB7E1D6">
      <w:pPr>
        <w:pStyle w:val="21"/>
        <w:bidi w:val="0"/>
      </w:pPr>
      <w:r>
        <w:t>运维服务体系过程改进</w:t>
      </w:r>
    </w:p>
    <w:p w14:paraId="3254CE6C">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default" w:ascii="宋体" w:hAnsi="宋体" w:eastAsia="宋体" w:cs="宋体"/>
          <w:spacing w:val="-6"/>
          <w:sz w:val="24"/>
          <w:szCs w:val="24"/>
          <w:lang w:val="en-US" w:eastAsia="zh-CN"/>
        </w:rPr>
      </w:pPr>
      <w:r>
        <w:rPr>
          <w:rFonts w:hint="default" w:ascii="宋体" w:hAnsi="宋体" w:eastAsia="宋体" w:cs="宋体"/>
          <w:spacing w:val="-6"/>
          <w:sz w:val="24"/>
          <w:szCs w:val="24"/>
          <w:lang w:val="en-US" w:eastAsia="zh-CN"/>
        </w:rPr>
        <w:t>2025 年 1月，由</w:t>
      </w:r>
      <w:r>
        <w:rPr>
          <w:rFonts w:hint="eastAsia" w:ascii="宋体" w:hAnsi="宋体" w:eastAsia="宋体" w:cs="宋体"/>
          <w:spacing w:val="-6"/>
          <w:sz w:val="24"/>
          <w:szCs w:val="24"/>
          <w:lang w:val="en-US" w:eastAsia="zh-CN"/>
        </w:rPr>
        <w:t>运维服务部</w:t>
      </w:r>
      <w:r>
        <w:rPr>
          <w:rFonts w:hint="default" w:ascii="宋体" w:hAnsi="宋体" w:eastAsia="宋体" w:cs="宋体"/>
          <w:spacing w:val="-6"/>
          <w:sz w:val="24"/>
          <w:szCs w:val="24"/>
          <w:lang w:val="en-US" w:eastAsia="zh-CN"/>
        </w:rPr>
        <w:t>牵头公司引进了ITSS运维服务能力管理体系，结合公司的实际情况对公司原有的运维管理体系进行了全面系统地梳理，</w:t>
      </w:r>
      <w:r>
        <w:rPr>
          <w:rFonts w:hint="eastAsia" w:ascii="宋体" w:hAnsi="宋体" w:eastAsia="宋体" w:cs="宋体"/>
          <w:spacing w:val="-6"/>
          <w:sz w:val="24"/>
          <w:szCs w:val="24"/>
          <w:lang w:val="en-US" w:eastAsia="zh-CN"/>
        </w:rPr>
        <w:t>结合运维服务指标完成情况、客户反馈意见等方式</w:t>
      </w:r>
      <w:r>
        <w:rPr>
          <w:rFonts w:hint="default" w:ascii="宋体" w:hAnsi="宋体" w:eastAsia="宋体" w:cs="宋体"/>
          <w:spacing w:val="-6"/>
          <w:sz w:val="24"/>
          <w:szCs w:val="24"/>
          <w:lang w:val="en-US" w:eastAsia="zh-CN"/>
        </w:rPr>
        <w:t>从人员管理、资源管理、技术管理、服务过程管理及质量管理方面对</w:t>
      </w:r>
      <w:r>
        <w:rPr>
          <w:rFonts w:hint="eastAsia" w:ascii="宋体" w:hAnsi="宋体" w:eastAsia="宋体" w:cs="宋体"/>
          <w:spacing w:val="-6"/>
          <w:sz w:val="24"/>
          <w:szCs w:val="24"/>
          <w:lang w:val="en-US" w:eastAsia="zh-CN"/>
        </w:rPr>
        <w:t>运维体系进行改进和完善。</w:t>
      </w:r>
      <w:r>
        <w:rPr>
          <w:rFonts w:hint="default" w:ascii="宋体" w:hAnsi="宋体" w:eastAsia="宋体" w:cs="宋体"/>
          <w:spacing w:val="-6"/>
          <w:sz w:val="24"/>
          <w:szCs w:val="24"/>
          <w:lang w:val="en-US" w:eastAsia="zh-CN"/>
        </w:rPr>
        <w:t>实践表明，通过不断地完善调整，修改后的运维服务体系能较好的适应公司文化，规范工作流程，对运维服务起到了促进和支撑作用。</w:t>
      </w:r>
    </w:p>
    <w:p w14:paraId="6AD17E1D">
      <w:pPr>
        <w:pStyle w:val="21"/>
        <w:bidi w:val="0"/>
      </w:pPr>
      <w:bookmarkStart w:id="9" w:name="_Toc22676"/>
      <w:r>
        <w:t>质量培训</w:t>
      </w:r>
      <w:bookmarkEnd w:id="9"/>
    </w:p>
    <w:p w14:paraId="077F7682">
      <w:pPr>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textAlignment w:val="auto"/>
        <w:rPr>
          <w:rFonts w:hint="default" w:ascii="宋体" w:hAnsi="宋体" w:eastAsia="宋体" w:cs="宋体"/>
          <w:spacing w:val="-6"/>
          <w:sz w:val="24"/>
          <w:szCs w:val="24"/>
          <w:lang w:val="en-US" w:eastAsia="zh-CN"/>
        </w:rPr>
      </w:pPr>
      <w:r>
        <w:rPr>
          <w:rFonts w:hint="default" w:ascii="宋体" w:hAnsi="宋体" w:eastAsia="宋体" w:cs="宋体"/>
          <w:spacing w:val="-6"/>
          <w:sz w:val="24"/>
          <w:szCs w:val="24"/>
          <w:lang w:val="en-US" w:eastAsia="zh-CN"/>
        </w:rPr>
        <w:t>人力资源部、质量中心于2025年</w:t>
      </w:r>
      <w:bookmarkStart w:id="10" w:name="_GoBack"/>
      <w:bookmarkEnd w:id="10"/>
      <w:r>
        <w:rPr>
          <w:rFonts w:hint="eastAsia" w:ascii="宋体" w:hAnsi="宋体" w:eastAsia="宋体" w:cs="宋体"/>
          <w:spacing w:val="-6"/>
          <w:sz w:val="24"/>
          <w:szCs w:val="24"/>
          <w:lang w:val="en-US" w:eastAsia="zh-CN"/>
        </w:rPr>
        <w:t>3月和6月</w:t>
      </w:r>
      <w:r>
        <w:rPr>
          <w:rFonts w:hint="default" w:ascii="宋体" w:hAnsi="宋体" w:eastAsia="宋体" w:cs="宋体"/>
          <w:spacing w:val="-6"/>
          <w:sz w:val="24"/>
          <w:szCs w:val="24"/>
          <w:lang w:val="en-US" w:eastAsia="zh-CN"/>
        </w:rPr>
        <w:t>对各相关部门组织了一次运维服务制度的培训</w:t>
      </w:r>
      <w:r>
        <w:rPr>
          <w:rFonts w:hint="eastAsia" w:ascii="宋体" w:hAnsi="宋体" w:eastAsia="宋体" w:cs="宋体"/>
          <w:spacing w:val="-6"/>
          <w:sz w:val="24"/>
          <w:szCs w:val="24"/>
          <w:lang w:val="en-US" w:eastAsia="zh-CN"/>
        </w:rPr>
        <w:t>，经过考核全部合格。</w:t>
      </w:r>
    </w:p>
    <w:sectPr>
      <w:footerReference r:id="rId5" w:type="default"/>
      <w:pgSz w:w="11906" w:h="16839"/>
      <w:pgMar w:top="1431" w:right="1759" w:bottom="1375"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3F5002">
    <w:pPr>
      <w:spacing w:line="167" w:lineRule="auto"/>
      <w:ind w:left="4130"/>
      <w:rPr>
        <w:rFonts w:ascii="Calibri" w:hAnsi="Calibri" w:eastAsia="Calibri" w:cs="Calibri"/>
        <w:sz w:val="18"/>
        <w:szCs w:val="18"/>
      </w:rPr>
    </w:pPr>
    <w:r>
      <w:rPr>
        <w:rFonts w:ascii="Calibri" w:hAnsi="Calibri" w:eastAsia="Calibri" w:cs="Calibri"/>
        <w:sz w:val="18"/>
        <w:szCs w:val="18"/>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A95A9A"/>
    <w:rsid w:val="00AB35C0"/>
    <w:rsid w:val="00D42D0F"/>
    <w:rsid w:val="01154EDD"/>
    <w:rsid w:val="02664583"/>
    <w:rsid w:val="02EB05EB"/>
    <w:rsid w:val="03051907"/>
    <w:rsid w:val="044C0C16"/>
    <w:rsid w:val="04BF588C"/>
    <w:rsid w:val="0516142A"/>
    <w:rsid w:val="05315F3F"/>
    <w:rsid w:val="060C2D53"/>
    <w:rsid w:val="07AF3996"/>
    <w:rsid w:val="07AF7E3A"/>
    <w:rsid w:val="08234384"/>
    <w:rsid w:val="0870581B"/>
    <w:rsid w:val="0A285C81"/>
    <w:rsid w:val="0B350656"/>
    <w:rsid w:val="0CB8153E"/>
    <w:rsid w:val="0D1D75F3"/>
    <w:rsid w:val="0D5B011C"/>
    <w:rsid w:val="0D7C07BE"/>
    <w:rsid w:val="0DAE2941"/>
    <w:rsid w:val="0EA14DC9"/>
    <w:rsid w:val="0F1F3AF7"/>
    <w:rsid w:val="1125116C"/>
    <w:rsid w:val="114F61E9"/>
    <w:rsid w:val="128A74D9"/>
    <w:rsid w:val="12AC38F3"/>
    <w:rsid w:val="13B10A95"/>
    <w:rsid w:val="142974EA"/>
    <w:rsid w:val="14305E5E"/>
    <w:rsid w:val="147C5547"/>
    <w:rsid w:val="15714980"/>
    <w:rsid w:val="15724254"/>
    <w:rsid w:val="15853F88"/>
    <w:rsid w:val="163D0D06"/>
    <w:rsid w:val="165D4F05"/>
    <w:rsid w:val="18C272A1"/>
    <w:rsid w:val="194277CA"/>
    <w:rsid w:val="197467ED"/>
    <w:rsid w:val="19DF45AE"/>
    <w:rsid w:val="1A3911B5"/>
    <w:rsid w:val="1AA749A0"/>
    <w:rsid w:val="1BFD51C0"/>
    <w:rsid w:val="1CFF2872"/>
    <w:rsid w:val="1D954F84"/>
    <w:rsid w:val="1DA13929"/>
    <w:rsid w:val="1E1E766F"/>
    <w:rsid w:val="1EFA3C38"/>
    <w:rsid w:val="1FB262C1"/>
    <w:rsid w:val="208539D6"/>
    <w:rsid w:val="208F215E"/>
    <w:rsid w:val="219F4623"/>
    <w:rsid w:val="21A41C3A"/>
    <w:rsid w:val="224D0523"/>
    <w:rsid w:val="230C7A96"/>
    <w:rsid w:val="249E5066"/>
    <w:rsid w:val="24C4529D"/>
    <w:rsid w:val="24FD7FDE"/>
    <w:rsid w:val="252C06DE"/>
    <w:rsid w:val="26BD5C77"/>
    <w:rsid w:val="276500BD"/>
    <w:rsid w:val="28104057"/>
    <w:rsid w:val="285E6FE6"/>
    <w:rsid w:val="28F2772E"/>
    <w:rsid w:val="296C128F"/>
    <w:rsid w:val="298962E5"/>
    <w:rsid w:val="29CC61D1"/>
    <w:rsid w:val="29EC6874"/>
    <w:rsid w:val="2AB4234D"/>
    <w:rsid w:val="2AE337D3"/>
    <w:rsid w:val="2D430559"/>
    <w:rsid w:val="2E166CE2"/>
    <w:rsid w:val="2E3D58F0"/>
    <w:rsid w:val="2E81758A"/>
    <w:rsid w:val="2EBF4557"/>
    <w:rsid w:val="2F191EB9"/>
    <w:rsid w:val="2F5E78CC"/>
    <w:rsid w:val="2FD933F6"/>
    <w:rsid w:val="30175D96"/>
    <w:rsid w:val="30B05F05"/>
    <w:rsid w:val="30F87D91"/>
    <w:rsid w:val="31687BA1"/>
    <w:rsid w:val="32D87CB9"/>
    <w:rsid w:val="33435756"/>
    <w:rsid w:val="336F02F9"/>
    <w:rsid w:val="340113BD"/>
    <w:rsid w:val="35AE2C2F"/>
    <w:rsid w:val="35C53375"/>
    <w:rsid w:val="35ED19A9"/>
    <w:rsid w:val="36407D2B"/>
    <w:rsid w:val="36E13C5D"/>
    <w:rsid w:val="3790083E"/>
    <w:rsid w:val="37B02C8E"/>
    <w:rsid w:val="37DD15AA"/>
    <w:rsid w:val="37F30965"/>
    <w:rsid w:val="38056287"/>
    <w:rsid w:val="393605C7"/>
    <w:rsid w:val="39FF1CAB"/>
    <w:rsid w:val="3A3C2EFF"/>
    <w:rsid w:val="3AAD7959"/>
    <w:rsid w:val="3B9D5C20"/>
    <w:rsid w:val="3DCC6348"/>
    <w:rsid w:val="3FC714BD"/>
    <w:rsid w:val="400B75FC"/>
    <w:rsid w:val="43650DD1"/>
    <w:rsid w:val="43853221"/>
    <w:rsid w:val="43AD2778"/>
    <w:rsid w:val="44627A06"/>
    <w:rsid w:val="458E0656"/>
    <w:rsid w:val="46333408"/>
    <w:rsid w:val="46F375B6"/>
    <w:rsid w:val="48943F06"/>
    <w:rsid w:val="48D06654"/>
    <w:rsid w:val="49064E04"/>
    <w:rsid w:val="491D5CAA"/>
    <w:rsid w:val="4A9D70A2"/>
    <w:rsid w:val="4C4214A3"/>
    <w:rsid w:val="4D551A74"/>
    <w:rsid w:val="4EE03A01"/>
    <w:rsid w:val="4FC7696F"/>
    <w:rsid w:val="4FD80B7D"/>
    <w:rsid w:val="4FE6773D"/>
    <w:rsid w:val="5059420E"/>
    <w:rsid w:val="512F2A1E"/>
    <w:rsid w:val="52642B9B"/>
    <w:rsid w:val="52B753C1"/>
    <w:rsid w:val="531E5438"/>
    <w:rsid w:val="53967073"/>
    <w:rsid w:val="5426635A"/>
    <w:rsid w:val="54462559"/>
    <w:rsid w:val="551A5EDA"/>
    <w:rsid w:val="5523289A"/>
    <w:rsid w:val="55733821"/>
    <w:rsid w:val="55961635"/>
    <w:rsid w:val="56D57BC4"/>
    <w:rsid w:val="56E44CEC"/>
    <w:rsid w:val="56EF512A"/>
    <w:rsid w:val="572E5D14"/>
    <w:rsid w:val="57C33EC0"/>
    <w:rsid w:val="57FB365A"/>
    <w:rsid w:val="59945B14"/>
    <w:rsid w:val="5ACE32A8"/>
    <w:rsid w:val="5AF70A51"/>
    <w:rsid w:val="5C5617A7"/>
    <w:rsid w:val="5C8A31FF"/>
    <w:rsid w:val="5CBD5382"/>
    <w:rsid w:val="5D325D70"/>
    <w:rsid w:val="5D804D2D"/>
    <w:rsid w:val="5DA311AC"/>
    <w:rsid w:val="5DFE20F6"/>
    <w:rsid w:val="5E1216FE"/>
    <w:rsid w:val="5EF13A09"/>
    <w:rsid w:val="5EFB2A62"/>
    <w:rsid w:val="5F1119B5"/>
    <w:rsid w:val="5F2711D9"/>
    <w:rsid w:val="600862CC"/>
    <w:rsid w:val="607D5554"/>
    <w:rsid w:val="609A4358"/>
    <w:rsid w:val="60A07495"/>
    <w:rsid w:val="614A48DD"/>
    <w:rsid w:val="616B35FF"/>
    <w:rsid w:val="61731EE4"/>
    <w:rsid w:val="619A1BC9"/>
    <w:rsid w:val="622D046D"/>
    <w:rsid w:val="626677E0"/>
    <w:rsid w:val="62AA33F3"/>
    <w:rsid w:val="63B35731"/>
    <w:rsid w:val="63BC2837"/>
    <w:rsid w:val="63DB4953"/>
    <w:rsid w:val="64340620"/>
    <w:rsid w:val="64E21E2A"/>
    <w:rsid w:val="66AF2C9C"/>
    <w:rsid w:val="6930795E"/>
    <w:rsid w:val="69561038"/>
    <w:rsid w:val="6A107439"/>
    <w:rsid w:val="6A6634FD"/>
    <w:rsid w:val="6BC577DD"/>
    <w:rsid w:val="6CE54BAD"/>
    <w:rsid w:val="6E98550D"/>
    <w:rsid w:val="6EA32620"/>
    <w:rsid w:val="70221C74"/>
    <w:rsid w:val="71630796"/>
    <w:rsid w:val="71E76CD1"/>
    <w:rsid w:val="72121874"/>
    <w:rsid w:val="723A00FD"/>
    <w:rsid w:val="72B55021"/>
    <w:rsid w:val="72C85311"/>
    <w:rsid w:val="733D0B73"/>
    <w:rsid w:val="73871AC0"/>
    <w:rsid w:val="73BB0BAA"/>
    <w:rsid w:val="743E1047"/>
    <w:rsid w:val="748A603A"/>
    <w:rsid w:val="748E5B2A"/>
    <w:rsid w:val="76522B87"/>
    <w:rsid w:val="767B3E8C"/>
    <w:rsid w:val="77051E77"/>
    <w:rsid w:val="772C405D"/>
    <w:rsid w:val="78267E28"/>
    <w:rsid w:val="78BB4A14"/>
    <w:rsid w:val="793B7903"/>
    <w:rsid w:val="7A4E3666"/>
    <w:rsid w:val="7B86755B"/>
    <w:rsid w:val="7BD1454E"/>
    <w:rsid w:val="7CF2174C"/>
    <w:rsid w:val="7F2F09F2"/>
    <w:rsid w:val="7F5931D8"/>
    <w:rsid w:val="7F7B31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1093</Words>
  <Characters>1243</Characters>
  <TotalTime>0</TotalTime>
  <ScaleCrop>false</ScaleCrop>
  <LinksUpToDate>false</LinksUpToDate>
  <CharactersWithSpaces>1362</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2025-08-17T01:36:00Z</dcterms:created>
  <dc:creator>谢永刚</dc:creator>
  <cp:lastModifiedBy>郝宇</cp:lastModifiedBy>
  <dcterms:modified xsi:type="dcterms:W3CDTF">2025-08-26T21:04:04Z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2025-08-21T01:15:29Z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4E0A1EC789AC401D9E18C2E73A87486D_12</vt:lpwstr>
  </property>
</Properties>
</file>