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2"/>
        <w:spacing w:line="259" w:lineRule="auto"/>
      </w:pPr>
    </w:p>
    <w:p w14:paraId="48E7679F">
      <w:pPr>
        <w:pStyle w:val="2"/>
        <w:spacing w:line="260" w:lineRule="auto"/>
      </w:pPr>
    </w:p>
    <w:p w14:paraId="7B43A9D3">
      <w:pPr>
        <w:pStyle w:val="2"/>
        <w:spacing w:line="260" w:lineRule="auto"/>
      </w:pPr>
    </w:p>
    <w:p w14:paraId="76316443">
      <w:pPr>
        <w:pStyle w:val="2"/>
        <w:spacing w:line="260" w:lineRule="auto"/>
      </w:pPr>
    </w:p>
    <w:p w14:paraId="7F2D7D7C">
      <w:pPr>
        <w:pStyle w:val="2"/>
        <w:spacing w:line="260" w:lineRule="auto"/>
      </w:pPr>
    </w:p>
    <w:p w14:paraId="42C6C0C0">
      <w:pPr>
        <w:pStyle w:val="2"/>
        <w:spacing w:line="260" w:lineRule="auto"/>
      </w:pPr>
    </w:p>
    <w:p w14:paraId="55FC2BB1">
      <w:pPr>
        <w:pStyle w:val="2"/>
        <w:spacing w:line="260" w:lineRule="auto"/>
      </w:pPr>
    </w:p>
    <w:p w14:paraId="091929BF">
      <w:pPr>
        <w:pStyle w:val="2"/>
        <w:spacing w:line="260" w:lineRule="auto"/>
      </w:pPr>
    </w:p>
    <w:p w14:paraId="1C54C47D">
      <w:pPr>
        <w:pStyle w:val="2"/>
        <w:spacing w:line="260" w:lineRule="auto"/>
      </w:pPr>
    </w:p>
    <w:p w14:paraId="43C3E0B3">
      <w:pPr>
        <w:pStyle w:val="2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5897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2"/>
        <w:spacing w:line="251" w:lineRule="auto"/>
      </w:pPr>
    </w:p>
    <w:p w14:paraId="13231E21">
      <w:pPr>
        <w:pStyle w:val="2"/>
        <w:spacing w:line="251" w:lineRule="auto"/>
      </w:pPr>
    </w:p>
    <w:p w14:paraId="47056FCD">
      <w:pPr>
        <w:pStyle w:val="2"/>
        <w:spacing w:line="251" w:lineRule="auto"/>
      </w:pPr>
    </w:p>
    <w:p w14:paraId="638A8303">
      <w:pPr>
        <w:pStyle w:val="2"/>
        <w:spacing w:line="251" w:lineRule="auto"/>
      </w:pPr>
    </w:p>
    <w:p w14:paraId="2FF2A4C0">
      <w:pPr>
        <w:pStyle w:val="2"/>
        <w:spacing w:line="251" w:lineRule="auto"/>
      </w:pPr>
    </w:p>
    <w:p w14:paraId="054A6F7A">
      <w:pPr>
        <w:pStyle w:val="2"/>
        <w:spacing w:line="251" w:lineRule="auto"/>
      </w:pPr>
    </w:p>
    <w:p w14:paraId="730F23DB">
      <w:pPr>
        <w:pStyle w:val="2"/>
        <w:spacing w:line="251" w:lineRule="auto"/>
      </w:pPr>
    </w:p>
    <w:p w14:paraId="03CE5AC8">
      <w:pPr>
        <w:pStyle w:val="2"/>
        <w:spacing w:line="251" w:lineRule="auto"/>
      </w:pPr>
    </w:p>
    <w:p w14:paraId="05D80492">
      <w:pPr>
        <w:pStyle w:val="2"/>
        <w:spacing w:line="251" w:lineRule="auto"/>
      </w:pPr>
    </w:p>
    <w:p w14:paraId="0F21EFEE">
      <w:pPr>
        <w:pStyle w:val="2"/>
        <w:spacing w:line="252" w:lineRule="auto"/>
      </w:pPr>
    </w:p>
    <w:p w14:paraId="4567142F">
      <w:pPr>
        <w:pStyle w:val="2"/>
        <w:spacing w:line="252" w:lineRule="auto"/>
      </w:pPr>
    </w:p>
    <w:p w14:paraId="59DD4A90">
      <w:pPr>
        <w:pStyle w:val="2"/>
        <w:spacing w:line="252" w:lineRule="auto"/>
      </w:pPr>
    </w:p>
    <w:p w14:paraId="114FBF72">
      <w:pPr>
        <w:pStyle w:val="2"/>
        <w:spacing w:line="252" w:lineRule="auto"/>
      </w:pPr>
    </w:p>
    <w:p w14:paraId="30DB05B4">
      <w:pPr>
        <w:pStyle w:val="2"/>
        <w:spacing w:line="252" w:lineRule="auto"/>
      </w:pPr>
    </w:p>
    <w:p w14:paraId="3FAED256">
      <w:pPr>
        <w:pStyle w:val="2"/>
        <w:spacing w:line="252" w:lineRule="auto"/>
      </w:pPr>
    </w:p>
    <w:p w14:paraId="4D097C15">
      <w:pPr>
        <w:pStyle w:val="2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2"/>
        <w:spacing w:line="252" w:lineRule="auto"/>
      </w:pPr>
    </w:p>
    <w:p w14:paraId="0C5A1BA1">
      <w:pPr>
        <w:pStyle w:val="2"/>
        <w:spacing w:line="252" w:lineRule="auto"/>
      </w:pPr>
    </w:p>
    <w:p w14:paraId="4991C25A">
      <w:pPr>
        <w:pStyle w:val="2"/>
        <w:spacing w:line="252" w:lineRule="auto"/>
      </w:pPr>
    </w:p>
    <w:p w14:paraId="0F43B603">
      <w:pPr>
        <w:pStyle w:val="2"/>
        <w:spacing w:line="252" w:lineRule="auto"/>
      </w:pPr>
    </w:p>
    <w:p w14:paraId="0B2173F1">
      <w:pPr>
        <w:pStyle w:val="2"/>
        <w:spacing w:line="252" w:lineRule="auto"/>
      </w:pPr>
    </w:p>
    <w:p w14:paraId="49F1FB39">
      <w:pPr>
        <w:pStyle w:val="2"/>
        <w:spacing w:line="252" w:lineRule="auto"/>
      </w:pPr>
    </w:p>
    <w:p w14:paraId="547D50B8">
      <w:pPr>
        <w:pStyle w:val="2"/>
        <w:spacing w:line="252" w:lineRule="auto"/>
      </w:pPr>
    </w:p>
    <w:p w14:paraId="148FC5D7">
      <w:pPr>
        <w:pStyle w:val="2"/>
        <w:spacing w:line="252" w:lineRule="auto"/>
      </w:pPr>
    </w:p>
    <w:p w14:paraId="60E18CBA">
      <w:pPr>
        <w:pStyle w:val="2"/>
        <w:spacing w:line="252" w:lineRule="auto"/>
      </w:pPr>
    </w:p>
    <w:p w14:paraId="42196DFD">
      <w:pPr>
        <w:pStyle w:val="2"/>
        <w:spacing w:line="252" w:lineRule="auto"/>
      </w:pPr>
    </w:p>
    <w:p w14:paraId="2961A821">
      <w:pPr>
        <w:pStyle w:val="2"/>
        <w:spacing w:line="252" w:lineRule="auto"/>
      </w:pPr>
    </w:p>
    <w:p w14:paraId="3A1BC0B8">
      <w:pPr>
        <w:pStyle w:val="2"/>
        <w:spacing w:line="252" w:lineRule="auto"/>
      </w:pPr>
    </w:p>
    <w:p w14:paraId="0AEA5167">
      <w:pPr>
        <w:pStyle w:val="2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2"/>
        <w:spacing w:line="277" w:lineRule="auto"/>
      </w:pPr>
    </w:p>
    <w:p w14:paraId="554EFBFC">
      <w:pPr>
        <w:pStyle w:val="2"/>
        <w:spacing w:line="277" w:lineRule="auto"/>
      </w:pPr>
    </w:p>
    <w:p w14:paraId="7A7947C9">
      <w:pPr>
        <w:pStyle w:val="2"/>
        <w:spacing w:line="278" w:lineRule="auto"/>
      </w:pPr>
    </w:p>
    <w:p w14:paraId="4C1DE5E9">
      <w:pPr>
        <w:pStyle w:val="2"/>
        <w:spacing w:line="278" w:lineRule="auto"/>
      </w:pPr>
    </w:p>
    <w:p w14:paraId="22CDB573">
      <w:pPr>
        <w:pStyle w:val="2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42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6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7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7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7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7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7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7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7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7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7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7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7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7"/>
              <w:spacing w:before="162"/>
              <w:ind w:left="313"/>
            </w:pPr>
            <w:r>
              <w:rPr>
                <w:spacing w:val="-2"/>
              </w:rPr>
              <w:t>2025-8-18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7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7"/>
              <w:spacing w:before="128" w:line="220" w:lineRule="auto"/>
              <w:ind w:left="639"/>
            </w:pPr>
            <w:r>
              <w:rPr>
                <w:spacing w:val="-3"/>
              </w:rPr>
              <w:t>王予婷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7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2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2"/>
        <w:spacing w:line="254" w:lineRule="auto"/>
      </w:pPr>
    </w:p>
    <w:p w14:paraId="76F5746D">
      <w:pPr>
        <w:pStyle w:val="2"/>
        <w:spacing w:line="254" w:lineRule="auto"/>
      </w:pPr>
    </w:p>
    <w:p w14:paraId="00067C5F">
      <w:pPr>
        <w:pStyle w:val="2"/>
        <w:spacing w:line="254" w:lineRule="auto"/>
      </w:pPr>
    </w:p>
    <w:p w14:paraId="32B919CF">
      <w:pPr>
        <w:pStyle w:val="2"/>
        <w:spacing w:line="255" w:lineRule="auto"/>
      </w:pPr>
    </w:p>
    <w:p w14:paraId="394B34DB">
      <w:pPr>
        <w:pStyle w:val="2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3526C2D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EF1F87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D2F3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bCs/>
              <w:spacing w:val="4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09D368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bCs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9A6D7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bCs/>
              <w:spacing w:val="3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8022E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bCs/>
              <w:spacing w:val="3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583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bCs/>
              <w:spacing w:val="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CA80A9">
          <w:pPr>
            <w:pStyle w:val="3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bCs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6F544C66">
      <w:pPr>
        <w:pStyle w:val="2"/>
        <w:spacing w:line="266" w:lineRule="auto"/>
      </w:pPr>
    </w:p>
    <w:p w14:paraId="0D612C06">
      <w:pPr>
        <w:pStyle w:val="2"/>
        <w:spacing w:line="266" w:lineRule="auto"/>
      </w:pPr>
    </w:p>
    <w:p w14:paraId="293890EE">
      <w:pPr>
        <w:pStyle w:val="2"/>
        <w:spacing w:line="266" w:lineRule="auto"/>
      </w:pPr>
    </w:p>
    <w:p w14:paraId="660D94E9">
      <w:pPr>
        <w:pStyle w:val="2"/>
        <w:spacing w:line="267" w:lineRule="auto"/>
      </w:pPr>
    </w:p>
    <w:p w14:paraId="76D17032">
      <w:pPr>
        <w:pStyle w:val="2"/>
        <w:spacing w:before="117" w:line="222" w:lineRule="auto"/>
        <w:ind w:left="42"/>
        <w:outlineLvl w:val="0"/>
        <w:rPr>
          <w:rFonts w:ascii="黑体" w:hAnsi="黑体" w:eastAsia="黑体" w:cs="黑体"/>
          <w:sz w:val="36"/>
          <w:szCs w:val="36"/>
        </w:rPr>
      </w:pPr>
      <w:bookmarkStart w:id="2" w:name="_Toc22916"/>
      <w:r>
        <w:rPr>
          <w:b/>
          <w:bCs/>
          <w:spacing w:val="-11"/>
          <w:sz w:val="36"/>
          <w:szCs w:val="36"/>
        </w:rPr>
        <w:t>1.</w:t>
      </w:r>
      <w:r>
        <w:rPr>
          <w:b/>
          <w:bCs/>
          <w:spacing w:val="47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36"/>
          <w:szCs w:val="36"/>
        </w:rPr>
        <w:t>审核目的</w:t>
      </w:r>
      <w:bookmarkEnd w:id="2"/>
    </w:p>
    <w:p w14:paraId="7C7C08C2">
      <w:pPr>
        <w:spacing w:before="196" w:line="220" w:lineRule="auto"/>
        <w:ind w:left="502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公司运</w:t>
      </w:r>
      <w:r>
        <w:rPr>
          <w:rFonts w:ascii="宋体" w:hAnsi="宋体" w:eastAsia="宋体" w:cs="宋体"/>
          <w:spacing w:val="-2"/>
          <w:sz w:val="24"/>
          <w:szCs w:val="24"/>
        </w:rPr>
        <w:t>维</w:t>
      </w:r>
      <w:r>
        <w:rPr>
          <w:rFonts w:ascii="MS Gothic" w:hAnsi="MS Gothic" w:eastAsia="MS Gothic" w:cs="MS Gothic"/>
          <w:spacing w:val="-2"/>
          <w:sz w:val="24"/>
          <w:szCs w:val="24"/>
        </w:rPr>
        <w:t>能力体系运行</w:t>
      </w:r>
      <w:r>
        <w:rPr>
          <w:rFonts w:ascii="宋体" w:hAnsi="宋体" w:eastAsia="宋体" w:cs="宋体"/>
          <w:spacing w:val="-2"/>
          <w:sz w:val="24"/>
          <w:szCs w:val="24"/>
        </w:rPr>
        <w:t>现</w:t>
      </w:r>
      <w:r>
        <w:rPr>
          <w:rFonts w:ascii="MS Gothic" w:hAnsi="MS Gothic" w:eastAsia="MS Gothic" w:cs="MS Gothic"/>
          <w:spacing w:val="-2"/>
          <w:sz w:val="24"/>
          <w:szCs w:val="24"/>
        </w:rPr>
        <w:t>状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评审</w:t>
      </w:r>
      <w:r>
        <w:rPr>
          <w:rFonts w:ascii="MS Gothic" w:hAnsi="MS Gothic" w:eastAsia="MS Gothic" w:cs="MS Gothic"/>
          <w:spacing w:val="-2"/>
          <w:sz w:val="24"/>
          <w:szCs w:val="24"/>
        </w:rPr>
        <w:t>，</w:t>
      </w:r>
      <w:r>
        <w:rPr>
          <w:rFonts w:ascii="宋体" w:hAnsi="宋体" w:eastAsia="宋体" w:cs="宋体"/>
          <w:spacing w:val="-2"/>
          <w:sz w:val="24"/>
          <w:szCs w:val="24"/>
        </w:rPr>
        <w:t>评</w:t>
      </w:r>
      <w:r>
        <w:rPr>
          <w:rFonts w:ascii="MS Gothic" w:hAnsi="MS Gothic" w:eastAsia="MS Gothic" w:cs="MS Gothic"/>
          <w:spacing w:val="-2"/>
          <w:sz w:val="24"/>
          <w:szCs w:val="24"/>
        </w:rPr>
        <w:t>价其持</w:t>
      </w:r>
      <w:r>
        <w:rPr>
          <w:rFonts w:ascii="宋体" w:hAnsi="宋体" w:eastAsia="宋体" w:cs="宋体"/>
          <w:spacing w:val="-2"/>
          <w:sz w:val="24"/>
          <w:szCs w:val="24"/>
        </w:rPr>
        <w:t>续</w:t>
      </w:r>
      <w:r>
        <w:rPr>
          <w:rFonts w:ascii="MS Gothic" w:hAnsi="MS Gothic" w:eastAsia="MS Gothic" w:cs="MS Gothic"/>
          <w:spacing w:val="-2"/>
          <w:sz w:val="24"/>
          <w:szCs w:val="24"/>
        </w:rPr>
        <w:t>的适宜性和有效性。</w:t>
      </w:r>
    </w:p>
    <w:p w14:paraId="40B73EBD">
      <w:pPr>
        <w:pStyle w:val="2"/>
        <w:spacing w:before="224" w:line="222" w:lineRule="auto"/>
        <w:ind w:left="23"/>
        <w:outlineLvl w:val="0"/>
        <w:rPr>
          <w:rFonts w:ascii="黑体" w:hAnsi="黑体" w:eastAsia="黑体" w:cs="黑体"/>
          <w:sz w:val="36"/>
          <w:szCs w:val="36"/>
        </w:rPr>
      </w:pPr>
      <w:bookmarkStart w:id="3" w:name="_Toc27624"/>
      <w:r>
        <w:rPr>
          <w:b/>
          <w:bCs/>
          <w:spacing w:val="-8"/>
          <w:sz w:val="36"/>
          <w:szCs w:val="36"/>
        </w:rPr>
        <w:t>2.</w:t>
      </w:r>
      <w:r>
        <w:rPr>
          <w:b/>
          <w:bCs/>
          <w:spacing w:val="48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36"/>
          <w:szCs w:val="36"/>
        </w:rPr>
        <w:t>审核依据</w:t>
      </w:r>
      <w:bookmarkEnd w:id="3"/>
    </w:p>
    <w:p w14:paraId="06875654">
      <w:pPr>
        <w:pStyle w:val="2"/>
        <w:spacing w:before="302" w:line="220" w:lineRule="auto"/>
        <w:ind w:left="52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1.    ITSS.1</w:t>
      </w:r>
      <w:r>
        <w:rPr>
          <w:spacing w:val="-1"/>
          <w:sz w:val="24"/>
          <w:szCs w:val="24"/>
        </w:rPr>
        <w:t>—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2015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>维护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>务</w:t>
      </w:r>
      <w:r>
        <w:rPr>
          <w:rFonts w:ascii="MS Gothic" w:hAnsi="MS Gothic" w:eastAsia="MS Gothic" w:cs="MS Gothic"/>
          <w:spacing w:val="-1"/>
          <w:sz w:val="24"/>
          <w:szCs w:val="24"/>
        </w:rPr>
        <w:t>能力成熟度模型》</w:t>
      </w:r>
    </w:p>
    <w:p w14:paraId="62B707A7">
      <w:pPr>
        <w:pStyle w:val="2"/>
        <w:spacing w:line="286" w:lineRule="auto"/>
      </w:pPr>
    </w:p>
    <w:p w14:paraId="751DB7E9">
      <w:pPr>
        <w:spacing w:before="78" w:line="220" w:lineRule="auto"/>
        <w:ind w:left="499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2.    GB/ T 28827.1-20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维护 </w:t>
      </w:r>
      <w:r>
        <w:rPr>
          <w:rFonts w:ascii="MS Gothic" w:hAnsi="MS Gothic" w:eastAsia="MS Gothic" w:cs="MS Gothic"/>
          <w:spacing w:val="-1"/>
          <w:sz w:val="24"/>
          <w:szCs w:val="24"/>
        </w:rPr>
        <w:t>第</w:t>
      </w:r>
      <w:r>
        <w:rPr>
          <w:rFonts w:ascii="MS Gothic" w:hAnsi="MS Gothic" w:eastAsia="MS Gothic" w:cs="MS Gothic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部分：通用要求》</w:t>
      </w:r>
    </w:p>
    <w:p w14:paraId="6A85C943">
      <w:pPr>
        <w:pStyle w:val="2"/>
        <w:spacing w:line="287" w:lineRule="auto"/>
      </w:pPr>
    </w:p>
    <w:p w14:paraId="06035588">
      <w:pPr>
        <w:spacing w:before="78" w:line="217" w:lineRule="auto"/>
        <w:ind w:left="503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 GB/ T 29264-2012 </w:t>
      </w:r>
      <w:r>
        <w:rPr>
          <w:rFonts w:ascii="MS Gothic" w:hAnsi="MS Gothic" w:eastAsia="MS Gothic" w:cs="MS Gothic"/>
          <w:sz w:val="24"/>
          <w:szCs w:val="24"/>
        </w:rPr>
        <w:t>《信息</w:t>
      </w:r>
      <w:r>
        <w:rPr>
          <w:rFonts w:ascii="MS Gothic" w:hAnsi="MS Gothic" w:eastAsia="MS Gothic" w:cs="MS Gothic"/>
          <w:spacing w:val="-1"/>
          <w:sz w:val="24"/>
          <w:szCs w:val="24"/>
        </w:rPr>
        <w:t>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分</w:t>
      </w:r>
      <w:r>
        <w:rPr>
          <w:rFonts w:ascii="宋体" w:hAnsi="宋体" w:eastAsia="宋体" w:cs="宋体"/>
          <w:spacing w:val="-1"/>
          <w:sz w:val="24"/>
          <w:szCs w:val="24"/>
        </w:rPr>
        <w:t>类</w:t>
      </w:r>
      <w:r>
        <w:rPr>
          <w:rFonts w:ascii="MS Gothic" w:hAnsi="MS Gothic" w:eastAsia="MS Gothic" w:cs="MS Gothic"/>
          <w:spacing w:val="-1"/>
          <w:sz w:val="24"/>
          <w:szCs w:val="24"/>
        </w:rPr>
        <w:t>与代</w:t>
      </w:r>
      <w:r>
        <w:rPr>
          <w:rFonts w:ascii="宋体" w:hAnsi="宋体" w:eastAsia="宋体" w:cs="宋体"/>
          <w:spacing w:val="-1"/>
          <w:sz w:val="24"/>
          <w:szCs w:val="24"/>
        </w:rPr>
        <w:t>码</w:t>
      </w:r>
      <w:r>
        <w:rPr>
          <w:rFonts w:ascii="MS Gothic" w:hAnsi="MS Gothic" w:eastAsia="MS Gothic" w:cs="MS Gothic"/>
          <w:spacing w:val="-1"/>
          <w:sz w:val="24"/>
          <w:szCs w:val="24"/>
        </w:rPr>
        <w:t>》</w:t>
      </w:r>
    </w:p>
    <w:p w14:paraId="0CF22481">
      <w:pPr>
        <w:pStyle w:val="2"/>
        <w:spacing w:line="289" w:lineRule="auto"/>
      </w:pPr>
    </w:p>
    <w:p w14:paraId="6CB7FADE">
      <w:pPr>
        <w:spacing w:before="79" w:line="219" w:lineRule="auto"/>
        <w:ind w:left="497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   GB/ T 28827.2-2012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维护 </w:t>
      </w:r>
      <w:r>
        <w:rPr>
          <w:rFonts w:ascii="MS Gothic" w:hAnsi="MS Gothic" w:eastAsia="MS Gothic" w:cs="MS Gothic"/>
          <w:spacing w:val="-1"/>
          <w:sz w:val="24"/>
          <w:szCs w:val="24"/>
        </w:rPr>
        <w:t>第</w:t>
      </w:r>
      <w:r>
        <w:rPr>
          <w:rFonts w:ascii="MS Gothic" w:hAnsi="MS Gothic" w:eastAsia="MS Gothic" w:cs="MS Gothic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部分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  <w:r>
        <w:rPr>
          <w:rFonts w:ascii="MS Gothic" w:hAnsi="MS Gothic" w:eastAsia="MS Gothic" w:cs="MS Gothic"/>
          <w:spacing w:val="-1"/>
          <w:sz w:val="24"/>
          <w:szCs w:val="24"/>
        </w:rPr>
        <w:t>交付</w:t>
      </w:r>
      <w:r>
        <w:rPr>
          <w:rFonts w:ascii="宋体" w:hAnsi="宋体" w:eastAsia="宋体" w:cs="宋体"/>
          <w:spacing w:val="-1"/>
          <w:sz w:val="24"/>
          <w:szCs w:val="24"/>
        </w:rPr>
        <w:t>规</w:t>
      </w:r>
      <w:r>
        <w:rPr>
          <w:rFonts w:ascii="MS Gothic" w:hAnsi="MS Gothic" w:eastAsia="MS Gothic" w:cs="MS Gothic"/>
          <w:spacing w:val="-1"/>
          <w:sz w:val="24"/>
          <w:szCs w:val="24"/>
        </w:rPr>
        <w:t>范》</w:t>
      </w:r>
    </w:p>
    <w:p w14:paraId="5633653E">
      <w:pPr>
        <w:pStyle w:val="2"/>
        <w:spacing w:line="287" w:lineRule="auto"/>
      </w:pPr>
    </w:p>
    <w:p w14:paraId="680A6C36">
      <w:pPr>
        <w:spacing w:before="78" w:line="220" w:lineRule="auto"/>
        <w:ind w:right="14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5.    GB/  T</w:t>
      </w:r>
      <w:r>
        <w:rPr>
          <w:rFonts w:ascii="Times New Roman" w:hAnsi="Times New Roman" w:eastAsia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28827.3-2012</w:t>
      </w:r>
      <w:r>
        <w:rPr>
          <w:rFonts w:ascii="Times New Roman" w:hAnsi="Times New Roman" w:eastAsia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2"/>
          <w:sz w:val="24"/>
          <w:szCs w:val="24"/>
        </w:rPr>
        <w:t>术</w:t>
      </w:r>
      <w:r>
        <w:rPr>
          <w:rFonts w:ascii="MS Gothic" w:hAnsi="MS Gothic" w:eastAsia="MS Gothic" w:cs="MS Gothic"/>
          <w:spacing w:val="-2"/>
          <w:sz w:val="24"/>
          <w:szCs w:val="24"/>
        </w:rPr>
        <w:t>服</w:t>
      </w:r>
      <w:r>
        <w:rPr>
          <w:rFonts w:ascii="宋体" w:hAnsi="宋体" w:eastAsia="宋体" w:cs="宋体"/>
          <w:spacing w:val="-2"/>
          <w:sz w:val="24"/>
          <w:szCs w:val="24"/>
        </w:rPr>
        <w:t>务</w:t>
      </w:r>
      <w:r>
        <w:rPr>
          <w:rFonts w:ascii="宋体" w:hAnsi="宋体" w:eastAsia="宋体" w:cs="宋体"/>
          <w:spacing w:val="60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2"/>
          <w:sz w:val="24"/>
          <w:szCs w:val="24"/>
        </w:rPr>
        <w:t>运行</w:t>
      </w:r>
      <w:r>
        <w:rPr>
          <w:rFonts w:ascii="宋体" w:hAnsi="宋体" w:eastAsia="宋体" w:cs="宋体"/>
          <w:spacing w:val="-2"/>
          <w:sz w:val="24"/>
          <w:szCs w:val="24"/>
        </w:rPr>
        <w:t>维护</w:t>
      </w:r>
      <w:r>
        <w:rPr>
          <w:rFonts w:ascii="宋体" w:hAnsi="宋体" w:eastAsia="宋体" w:cs="宋体"/>
          <w:spacing w:val="57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2"/>
          <w:sz w:val="24"/>
          <w:szCs w:val="24"/>
        </w:rPr>
        <w:t>第</w:t>
      </w:r>
      <w:r>
        <w:rPr>
          <w:rFonts w:ascii="MS Gothic" w:hAnsi="MS Gothic" w:eastAsia="MS Gothic" w:cs="MS Gothic"/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3 </w:t>
      </w:r>
      <w:r>
        <w:rPr>
          <w:rFonts w:ascii="MS Gothic" w:hAnsi="MS Gothic" w:eastAsia="MS Gothic" w:cs="MS Gothic"/>
          <w:spacing w:val="-2"/>
          <w:sz w:val="24"/>
          <w:szCs w:val="24"/>
        </w:rPr>
        <w:t>部分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</w:t>
      </w:r>
      <w:r>
        <w:rPr>
          <w:rFonts w:ascii="MS Gothic" w:hAnsi="MS Gothic" w:eastAsia="MS Gothic" w:cs="MS Gothic"/>
          <w:spacing w:val="-2"/>
          <w:sz w:val="24"/>
          <w:szCs w:val="24"/>
        </w:rPr>
        <w:t>急响</w:t>
      </w:r>
      <w:r>
        <w:rPr>
          <w:rFonts w:ascii="宋体" w:hAnsi="宋体" w:eastAsia="宋体" w:cs="宋体"/>
          <w:spacing w:val="-2"/>
          <w:sz w:val="24"/>
          <w:szCs w:val="24"/>
        </w:rPr>
        <w:t>应规</w:t>
      </w:r>
    </w:p>
    <w:p w14:paraId="33CE2A65">
      <w:pPr>
        <w:spacing w:before="261" w:line="218" w:lineRule="auto"/>
        <w:ind w:left="921"/>
        <w:rPr>
          <w:rFonts w:ascii="MS Gothic" w:hAnsi="MS Gothic" w:eastAsia="MS Gothic" w:cs="MS Gothic"/>
          <w:sz w:val="24"/>
          <w:szCs w:val="24"/>
        </w:rPr>
      </w:pPr>
      <w:r>
        <w:rPr>
          <w:rFonts w:ascii="MS Gothic" w:hAnsi="MS Gothic" w:eastAsia="MS Gothic" w:cs="MS Gothic"/>
          <w:spacing w:val="-4"/>
          <w:sz w:val="24"/>
          <w:szCs w:val="24"/>
        </w:rPr>
        <w:t>范》</w:t>
      </w:r>
    </w:p>
    <w:p w14:paraId="541E7492">
      <w:pPr>
        <w:spacing w:before="203" w:line="220" w:lineRule="auto"/>
        <w:ind w:left="508"/>
        <w:rPr>
          <w:rFonts w:ascii="MS Gothic" w:hAnsi="MS Gothic" w:eastAsia="MS Gothic" w:cs="MS Gothic"/>
          <w:sz w:val="24"/>
          <w:szCs w:val="24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   </w:t>
      </w:r>
      <w:r>
        <w:rPr>
          <w:rFonts w:ascii="MS Gothic" w:hAnsi="MS Gothic" w:eastAsia="MS Gothic" w:cs="MS Gothic"/>
          <w:spacing w:val="-1"/>
          <w:sz w:val="24"/>
          <w:szCs w:val="24"/>
        </w:rPr>
        <w:t>国家有关法律、法</w:t>
      </w:r>
      <w:r>
        <w:rPr>
          <w:rFonts w:ascii="宋体" w:hAnsi="宋体" w:eastAsia="宋体" w:cs="宋体"/>
          <w:spacing w:val="-1"/>
          <w:sz w:val="24"/>
          <w:szCs w:val="24"/>
        </w:rPr>
        <w:t>规</w:t>
      </w:r>
      <w:r>
        <w:rPr>
          <w:rFonts w:ascii="MS Gothic" w:hAnsi="MS Gothic" w:eastAsia="MS Gothic" w:cs="MS Gothic"/>
          <w:spacing w:val="-1"/>
          <w:sz w:val="24"/>
          <w:szCs w:val="24"/>
        </w:rPr>
        <w:t>及行</w:t>
      </w:r>
      <w:r>
        <w:rPr>
          <w:rFonts w:ascii="宋体" w:hAnsi="宋体" w:eastAsia="宋体" w:cs="宋体"/>
          <w:spacing w:val="-1"/>
          <w:sz w:val="24"/>
          <w:szCs w:val="24"/>
        </w:rPr>
        <w:t>业标</w:t>
      </w:r>
      <w:r>
        <w:rPr>
          <w:rFonts w:ascii="MS Gothic" w:hAnsi="MS Gothic" w:eastAsia="MS Gothic" w:cs="MS Gothic"/>
          <w:spacing w:val="-1"/>
          <w:sz w:val="24"/>
          <w:szCs w:val="24"/>
        </w:rPr>
        <w:t>准</w:t>
      </w:r>
    </w:p>
    <w:p w14:paraId="2BD1000A">
      <w:pPr>
        <w:pStyle w:val="2"/>
        <w:spacing w:before="226" w:line="221" w:lineRule="auto"/>
        <w:ind w:left="27"/>
        <w:outlineLvl w:val="0"/>
        <w:rPr>
          <w:rFonts w:ascii="黑体" w:hAnsi="黑体" w:eastAsia="黑体" w:cs="黑体"/>
          <w:sz w:val="36"/>
          <w:szCs w:val="36"/>
        </w:rPr>
      </w:pPr>
      <w:bookmarkStart w:id="4" w:name="_Toc8744"/>
      <w:r>
        <w:rPr>
          <w:b/>
          <w:bCs/>
          <w:spacing w:val="-7"/>
          <w:sz w:val="36"/>
          <w:szCs w:val="36"/>
        </w:rPr>
        <w:t>3.</w:t>
      </w:r>
      <w:r>
        <w:rPr>
          <w:b/>
          <w:bCs/>
          <w:spacing w:val="35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参会人员</w:t>
      </w:r>
      <w:bookmarkEnd w:id="4"/>
    </w:p>
    <w:p w14:paraId="09B04B6B">
      <w:pPr>
        <w:spacing w:before="198" w:line="217" w:lineRule="auto"/>
        <w:ind w:left="509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总经</w:t>
      </w:r>
      <w:r>
        <w:rPr>
          <w:rFonts w:ascii="MS Gothic" w:hAnsi="MS Gothic" w:eastAsia="MS Gothic" w:cs="MS Gothic"/>
          <w:spacing w:val="-1"/>
          <w:sz w:val="24"/>
          <w:szCs w:val="24"/>
        </w:rPr>
        <w:t>理、管理者代表及各部</w:t>
      </w:r>
      <w:r>
        <w:rPr>
          <w:rFonts w:ascii="宋体" w:hAnsi="宋体" w:eastAsia="宋体" w:cs="宋体"/>
          <w:spacing w:val="-1"/>
          <w:sz w:val="24"/>
          <w:szCs w:val="24"/>
        </w:rPr>
        <w:t>门负责</w:t>
      </w:r>
      <w:r>
        <w:rPr>
          <w:rFonts w:ascii="MS Gothic" w:hAnsi="MS Gothic" w:eastAsia="MS Gothic" w:cs="MS Gothic"/>
          <w:spacing w:val="-1"/>
          <w:sz w:val="24"/>
          <w:szCs w:val="24"/>
        </w:rPr>
        <w:t>人</w:t>
      </w:r>
    </w:p>
    <w:p w14:paraId="7079772E">
      <w:pPr>
        <w:pStyle w:val="2"/>
        <w:spacing w:before="229" w:line="221" w:lineRule="auto"/>
        <w:ind w:left="20"/>
        <w:outlineLvl w:val="0"/>
        <w:rPr>
          <w:rFonts w:ascii="黑体" w:hAnsi="黑体" w:eastAsia="黑体" w:cs="黑体"/>
          <w:sz w:val="36"/>
          <w:szCs w:val="36"/>
        </w:rPr>
      </w:pPr>
      <w:bookmarkStart w:id="5" w:name="_Toc8340"/>
      <w:r>
        <w:rPr>
          <w:b/>
          <w:bCs/>
          <w:spacing w:val="-6"/>
          <w:sz w:val="36"/>
          <w:szCs w:val="36"/>
        </w:rPr>
        <w:t>4.</w:t>
      </w:r>
      <w:r>
        <w:rPr>
          <w:b/>
          <w:bCs/>
          <w:spacing w:val="39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36"/>
          <w:szCs w:val="36"/>
        </w:rPr>
        <w:t>评审主要步骤</w:t>
      </w:r>
      <w:bookmarkEnd w:id="5"/>
    </w:p>
    <w:p w14:paraId="42212B05">
      <w:pPr>
        <w:spacing w:before="267" w:line="301" w:lineRule="auto"/>
        <w:ind w:left="449" w:right="36" w:firstLine="1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、质量中心汇总公司 </w:t>
      </w:r>
      <w:r>
        <w:rPr>
          <w:rFonts w:ascii="Calibri" w:hAnsi="Calibri" w:eastAsia="Calibri" w:cs="Calibri"/>
          <w:spacing w:val="-3"/>
          <w:sz w:val="24"/>
          <w:szCs w:val="24"/>
        </w:rPr>
        <w:t>IT</w:t>
      </w:r>
      <w:r>
        <w:rPr>
          <w:rFonts w:ascii="Calibri" w:hAnsi="Calibri" w:eastAsia="Calibri" w:cs="Calibri"/>
          <w:spacing w:val="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运维服务管理指标、管理能力情况、各组体系实施</w:t>
      </w:r>
      <w:r>
        <w:rPr>
          <w:rFonts w:ascii="宋体" w:hAnsi="宋体" w:eastAsia="宋体" w:cs="宋体"/>
          <w:spacing w:val="-2"/>
          <w:sz w:val="24"/>
          <w:szCs w:val="24"/>
        </w:rPr>
        <w:t>情况、客户满意度调查结果、内审报告、不符合项报告及其关闭材料</w:t>
      </w:r>
      <w:r>
        <w:rPr>
          <w:rFonts w:ascii="宋体" w:hAnsi="宋体" w:eastAsia="宋体" w:cs="宋体"/>
          <w:spacing w:val="-3"/>
          <w:sz w:val="24"/>
          <w:szCs w:val="24"/>
        </w:rPr>
        <w:t>等；</w:t>
      </w:r>
    </w:p>
    <w:p w14:paraId="0B891195">
      <w:pPr>
        <w:spacing w:before="217" w:line="219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、公司管理层对管理评审材料进行审核并签署评审意见；</w:t>
      </w:r>
    </w:p>
    <w:p w14:paraId="5766B807">
      <w:pPr>
        <w:spacing w:before="215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1"/>
          <w:sz w:val="24"/>
          <w:szCs w:val="24"/>
        </w:rPr>
        <w:t>、质量中心负责协助管理者代表纠正各部门发现的问题，并跟踪验证纠正</w:t>
      </w:r>
    </w:p>
    <w:p w14:paraId="1FFDCDC5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预防措施的执行情况；</w:t>
      </w:r>
    </w:p>
    <w:p w14:paraId="5A4E82AD">
      <w:pPr>
        <w:spacing w:before="146" w:line="220" w:lineRule="auto"/>
        <w:ind w:left="44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MS Gothic" w:hAnsi="MS Gothic" w:eastAsia="MS Gothic" w:cs="MS Gothic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2"/>
          <w:sz w:val="24"/>
          <w:szCs w:val="24"/>
        </w:rPr>
        <w:t>总经</w:t>
      </w:r>
      <w:r>
        <w:rPr>
          <w:rFonts w:ascii="MS Gothic" w:hAnsi="MS Gothic" w:eastAsia="MS Gothic" w:cs="MS Gothic"/>
          <w:spacing w:val="-2"/>
          <w:sz w:val="24"/>
          <w:szCs w:val="24"/>
        </w:rPr>
        <w:t>理</w:t>
      </w: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管理</w:t>
      </w:r>
      <w:r>
        <w:rPr>
          <w:rFonts w:ascii="宋体" w:hAnsi="宋体" w:eastAsia="宋体" w:cs="宋体"/>
          <w:spacing w:val="-2"/>
          <w:sz w:val="24"/>
          <w:szCs w:val="24"/>
        </w:rPr>
        <w:t>评审报</w:t>
      </w:r>
      <w:r>
        <w:rPr>
          <w:rFonts w:ascii="MS Gothic" w:hAnsi="MS Gothic" w:eastAsia="MS Gothic" w:cs="MS Gothic"/>
          <w:spacing w:val="-2"/>
          <w:sz w:val="24"/>
          <w:szCs w:val="24"/>
        </w:rPr>
        <w:t>告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审</w:t>
      </w:r>
      <w:r>
        <w:rPr>
          <w:rFonts w:ascii="MS Gothic" w:hAnsi="MS Gothic" w:eastAsia="MS Gothic" w:cs="MS Gothic"/>
          <w:spacing w:val="-2"/>
          <w:sz w:val="24"/>
          <w:szCs w:val="24"/>
        </w:rPr>
        <w:t>批。</w:t>
      </w:r>
    </w:p>
    <w:p w14:paraId="1EABF45C">
      <w:pPr>
        <w:pStyle w:val="2"/>
        <w:spacing w:before="226" w:line="222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6" w:name="_Toc17783"/>
      <w:r>
        <w:rPr>
          <w:b/>
          <w:bCs/>
          <w:spacing w:val="-7"/>
          <w:sz w:val="36"/>
          <w:szCs w:val="36"/>
        </w:rPr>
        <w:t>5.</w:t>
      </w:r>
      <w:r>
        <w:rPr>
          <w:b/>
          <w:bCs/>
          <w:spacing w:val="32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评审内容</w:t>
      </w:r>
      <w:bookmarkEnd w:id="6"/>
    </w:p>
    <w:p w14:paraId="03293495">
      <w:pPr>
        <w:spacing w:before="264" w:line="220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1</w:t>
      </w:r>
      <w:r>
        <w:rPr>
          <w:rFonts w:ascii="Calibri" w:hAnsi="Calibri" w:eastAsia="Calibri" w:cs="Calibri"/>
          <w:spacing w:val="-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2025</w:t>
      </w:r>
      <w:r>
        <w:rPr>
          <w:rFonts w:ascii="宋体" w:hAnsi="宋体" w:eastAsia="宋体" w:cs="宋体"/>
          <w:spacing w:val="-4"/>
          <w:sz w:val="24"/>
          <w:szCs w:val="24"/>
        </w:rPr>
        <w:t>年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spacing w:val="-4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pacing w:val="-4"/>
          <w:sz w:val="24"/>
          <w:szCs w:val="24"/>
        </w:rPr>
        <w:t>月运维能力体系内审结果</w:t>
      </w:r>
    </w:p>
    <w:p w14:paraId="443350E7">
      <w:pPr>
        <w:spacing w:before="214" w:line="220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3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8A6D80A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10" w:type="default"/>
          <w:pgSz w:w="11906" w:h="16839"/>
          <w:pgMar w:top="400" w:right="1785" w:bottom="400" w:left="1785" w:header="0" w:footer="0" w:gutter="0"/>
          <w:cols w:space="720" w:num="1"/>
        </w:sectPr>
      </w:pPr>
    </w:p>
    <w:p w14:paraId="3D5182E2">
      <w:pPr>
        <w:pStyle w:val="2"/>
        <w:spacing w:line="287" w:lineRule="auto"/>
      </w:pPr>
    </w:p>
    <w:p w14:paraId="560BA59D">
      <w:pPr>
        <w:pStyle w:val="2"/>
        <w:spacing w:line="287" w:lineRule="auto"/>
      </w:pPr>
    </w:p>
    <w:p w14:paraId="79DFD029">
      <w:pPr>
        <w:pStyle w:val="2"/>
        <w:spacing w:line="287" w:lineRule="auto"/>
      </w:pPr>
    </w:p>
    <w:p w14:paraId="5B46F9A3">
      <w:pPr>
        <w:pStyle w:val="2"/>
        <w:spacing w:line="287" w:lineRule="auto"/>
      </w:pPr>
    </w:p>
    <w:p w14:paraId="2E01DC7C">
      <w:pPr>
        <w:spacing w:before="78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4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spacing w:before="213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5</w:t>
      </w:r>
      <w:r>
        <w:rPr>
          <w:rFonts w:ascii="Calibri" w:hAnsi="Calibri" w:eastAsia="Calibri" w:cs="Calibri"/>
          <w:spacing w:val="-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6</w:t>
      </w:r>
      <w:r>
        <w:rPr>
          <w:rFonts w:ascii="Calibri" w:hAnsi="Calibri" w:eastAsia="Calibri" w:cs="Calibri"/>
          <w:spacing w:val="-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1"/>
          <w:sz w:val="24"/>
          <w:szCs w:val="24"/>
        </w:rPr>
        <w:t>7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、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"/>
        <w:spacing w:before="168" w:line="222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7" w:name="_Toc11078"/>
      <w:r>
        <w:rPr>
          <w:b/>
          <w:bCs/>
          <w:spacing w:val="-7"/>
          <w:sz w:val="36"/>
          <w:szCs w:val="36"/>
        </w:rPr>
        <w:t>6.</w:t>
      </w:r>
      <w:r>
        <w:rPr>
          <w:b/>
          <w:bCs/>
          <w:spacing w:val="33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评审结论</w:t>
      </w:r>
      <w:bookmarkEnd w:id="7"/>
    </w:p>
    <w:p w14:paraId="4760EA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根据各部门所提交的项目实施和部门总结资料</w:t>
      </w:r>
      <w:r>
        <w:rPr>
          <w:rFonts w:ascii="宋体" w:hAnsi="宋体" w:eastAsia="宋体" w:cs="宋体"/>
          <w:spacing w:val="-1"/>
          <w:sz w:val="24"/>
          <w:szCs w:val="24"/>
        </w:rPr>
        <w:t>，评审组成员经过认真的</w:t>
      </w:r>
      <w:r>
        <w:rPr>
          <w:rFonts w:ascii="宋体" w:hAnsi="宋体" w:eastAsia="宋体" w:cs="宋体"/>
          <w:spacing w:val="-5"/>
          <w:sz w:val="24"/>
          <w:szCs w:val="24"/>
        </w:rPr>
        <w:t>审核和讨论，就下面几项内容达成共识：</w:t>
      </w:r>
    </w:p>
    <w:p w14:paraId="399F29F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1</w:t>
      </w:r>
      <w:r>
        <w:rPr>
          <w:rFonts w:ascii="Calibri" w:hAnsi="Calibri" w:eastAsia="Calibri" w:cs="Calibri"/>
          <w:spacing w:val="-2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、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运维能力体系运行的适宜性、有效性评审</w:t>
      </w:r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 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spacing w:before="82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2</w:t>
      </w:r>
      <w:r>
        <w:rPr>
          <w:rFonts w:ascii="Calibri" w:hAnsi="Calibri" w:eastAsia="Calibri" w:cs="Calibri"/>
          <w:b/>
          <w:bCs/>
          <w:spacing w:val="-1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、</w:t>
      </w: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2025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年质量内部审核评审</w:t>
      </w:r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月组织了 1 次内部审核，共开出 1 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spacing w:before="78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sz w:val="24"/>
          <w:szCs w:val="24"/>
        </w:rPr>
        <w:t>3</w:t>
      </w: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、满意度调查评审</w:t>
      </w:r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 2025年年度规划的要求。希望</w:t>
      </w:r>
      <w:bookmarkStart w:id="8" w:name="_GoBack"/>
      <w:bookmarkEnd w:id="8"/>
      <w:r>
        <w:rPr>
          <w:rFonts w:ascii="宋体" w:hAnsi="宋体" w:eastAsia="宋体" w:cs="宋体"/>
          <w:sz w:val="24"/>
          <w:szCs w:val="24"/>
        </w:rPr>
        <w:t>各部门再接再厉，不断的改进我们的工作。</w:t>
      </w:r>
    </w:p>
    <w:p w14:paraId="5FD1A65D">
      <w:pPr>
        <w:spacing w:before="121" w:line="220" w:lineRule="auto"/>
        <w:ind w:left="443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4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、客户投诉情况评审</w:t>
      </w:r>
    </w:p>
    <w:p w14:paraId="7F4A13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71A2401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21BBC0D0">
      <w:pPr>
        <w:spacing w:before="122" w:line="221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7"/>
          <w:sz w:val="24"/>
          <w:szCs w:val="24"/>
        </w:rPr>
        <w:t>5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、结论</w:t>
      </w:r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 2025年质量管理体系运行的适宜性、有效性。通过这次管理评审，总结了经验，将更有力的推动公司持续发展。</w:t>
      </w:r>
    </w:p>
    <w:p w14:paraId="5861EDCC">
      <w:pPr>
        <w:spacing w:before="64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评审人：宫海亭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审核人：张仲全</w:t>
      </w:r>
    </w:p>
    <w:p w14:paraId="25A4662E">
      <w:pPr>
        <w:spacing w:before="147" w:line="222" w:lineRule="auto"/>
        <w:ind w:left="34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2025 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年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日                  </w:t>
      </w: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>2025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</w:t>
      </w:r>
      <w:r>
        <w:rPr>
          <w:rFonts w:ascii="MS Gothic" w:hAnsi="MS Gothic" w:eastAsia="MS Gothic" w:cs="MS Gothic"/>
          <w:spacing w:val="-6"/>
          <w:sz w:val="24"/>
          <w:szCs w:val="24"/>
        </w:rPr>
        <w:t>年</w:t>
      </w:r>
      <w:r>
        <w:rPr>
          <w:rFonts w:ascii="MS Gothic" w:hAnsi="MS Gothic" w:eastAsia="MS Gothic" w:cs="MS Gothic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日</w:t>
      </w:r>
    </w:p>
    <w:sectPr>
      <w:pgSz w:w="11906" w:h="16839"/>
      <w:pgMar w:top="400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2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2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782FF5"/>
    <w:rsid w:val="06905732"/>
    <w:rsid w:val="08F0070A"/>
    <w:rsid w:val="099B050A"/>
    <w:rsid w:val="100638F8"/>
    <w:rsid w:val="183121A5"/>
    <w:rsid w:val="18EB2C9C"/>
    <w:rsid w:val="22342FBD"/>
    <w:rsid w:val="23270D74"/>
    <w:rsid w:val="234A44CD"/>
    <w:rsid w:val="24C26FA6"/>
    <w:rsid w:val="2AC479D7"/>
    <w:rsid w:val="2FEC4ED7"/>
    <w:rsid w:val="328B4E7C"/>
    <w:rsid w:val="329448A6"/>
    <w:rsid w:val="39AE1450"/>
    <w:rsid w:val="39EC63F1"/>
    <w:rsid w:val="3BF70E8C"/>
    <w:rsid w:val="419A5ACF"/>
    <w:rsid w:val="438A4CDB"/>
    <w:rsid w:val="43BF2BD7"/>
    <w:rsid w:val="45CE26E6"/>
    <w:rsid w:val="464E0242"/>
    <w:rsid w:val="49DC7913"/>
    <w:rsid w:val="50AC44E3"/>
    <w:rsid w:val="583B7EFB"/>
    <w:rsid w:val="5CF27722"/>
    <w:rsid w:val="5ECE7D1A"/>
    <w:rsid w:val="61F77588"/>
    <w:rsid w:val="62662018"/>
    <w:rsid w:val="6AF208ED"/>
    <w:rsid w:val="713F6856"/>
    <w:rsid w:val="733F0D8F"/>
    <w:rsid w:val="749D3FBF"/>
    <w:rsid w:val="793D7B1F"/>
    <w:rsid w:val="7E556B04"/>
    <w:rsid w:val="7F4067B2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1445</Words>
  <Characters>1582</Characters>
  <TotalTime>0</TotalTime>
  <ScaleCrop>false</ScaleCrop>
  <LinksUpToDate>false</LinksUpToDate>
  <CharactersWithSpaces>1744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2025-08-23T19:37:30Z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