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84ADFE">
      <w:pPr>
        <w:pStyle w:val="11"/>
        <w:spacing w:line="258" w:lineRule="auto"/>
      </w:pPr>
    </w:p>
    <w:p w14:paraId="264DE825">
      <w:pPr>
        <w:pStyle w:val="11"/>
        <w:spacing w:line="258" w:lineRule="auto"/>
      </w:pPr>
    </w:p>
    <w:p w14:paraId="218218D7">
      <w:pPr>
        <w:pStyle w:val="11"/>
        <w:spacing w:line="258" w:lineRule="auto"/>
      </w:pPr>
    </w:p>
    <w:p w14:paraId="4B415A51">
      <w:pPr>
        <w:pStyle w:val="11"/>
        <w:spacing w:line="258" w:lineRule="auto"/>
      </w:pPr>
    </w:p>
    <w:p w14:paraId="70224159">
      <w:pPr>
        <w:pStyle w:val="11"/>
        <w:spacing w:line="258" w:lineRule="auto"/>
      </w:pPr>
    </w:p>
    <w:p w14:paraId="74CA0536">
      <w:pPr>
        <w:pStyle w:val="11"/>
        <w:spacing w:line="258" w:lineRule="auto"/>
      </w:pPr>
    </w:p>
    <w:p w14:paraId="0DD8EAB5">
      <w:pPr>
        <w:pStyle w:val="11"/>
        <w:spacing w:line="258" w:lineRule="auto"/>
      </w:pPr>
    </w:p>
    <w:p w14:paraId="3FD296D9">
      <w:pPr>
        <w:pStyle w:val="11"/>
        <w:spacing w:line="258" w:lineRule="auto"/>
      </w:pPr>
    </w:p>
    <w:p w14:paraId="5F86BAED">
      <w:pPr>
        <w:pStyle w:val="11"/>
        <w:spacing w:line="258" w:lineRule="auto"/>
      </w:pPr>
    </w:p>
    <w:p w14:paraId="14BE6448">
      <w:pPr>
        <w:pStyle w:val="11"/>
        <w:spacing w:line="259" w:lineRule="auto"/>
      </w:pPr>
    </w:p>
    <w:p w14:paraId="6C0BC556">
      <w:pPr>
        <w:pStyle w:val="11"/>
        <w:spacing w:line="259" w:lineRule="auto"/>
      </w:pPr>
    </w:p>
    <w:p w14:paraId="4879F1BD">
      <w:pPr>
        <w:spacing w:before="169" w:line="220" w:lineRule="auto"/>
        <w:ind w:left="1587"/>
        <w:outlineLvl w:val="0"/>
        <w:rPr>
          <w:rFonts w:ascii="宋体" w:hAnsi="宋体" w:eastAsia="宋体" w:cs="宋体"/>
          <w:sz w:val="52"/>
          <w:szCs w:val="52"/>
        </w:rPr>
      </w:pPr>
      <w:bookmarkStart w:id="0" w:name="_Toc27667"/>
      <w:r>
        <w:rPr>
          <w:rFonts w:ascii="宋体" w:hAnsi="宋体" w:eastAsia="宋体" w:cs="宋体"/>
          <w:b/>
          <w:bCs/>
          <w:spacing w:val="-8"/>
          <w:sz w:val="52"/>
          <w:szCs w:val="52"/>
        </w:rPr>
        <w:t>运维服务人员储备制度</w:t>
      </w:r>
      <w:bookmarkEnd w:id="0"/>
    </w:p>
    <w:p w14:paraId="365B1AED">
      <w:pPr>
        <w:pStyle w:val="11"/>
        <w:spacing w:line="256" w:lineRule="auto"/>
      </w:pPr>
    </w:p>
    <w:p w14:paraId="08C4A878">
      <w:pPr>
        <w:pStyle w:val="11"/>
        <w:spacing w:line="256" w:lineRule="auto"/>
      </w:pPr>
    </w:p>
    <w:p w14:paraId="05397614">
      <w:pPr>
        <w:pStyle w:val="11"/>
        <w:spacing w:line="256" w:lineRule="auto"/>
      </w:pPr>
    </w:p>
    <w:p w14:paraId="6A06EC9F">
      <w:pPr>
        <w:pStyle w:val="11"/>
        <w:spacing w:line="256" w:lineRule="auto"/>
      </w:pPr>
    </w:p>
    <w:p w14:paraId="0768145C">
      <w:pPr>
        <w:pStyle w:val="11"/>
        <w:spacing w:line="256" w:lineRule="auto"/>
      </w:pPr>
    </w:p>
    <w:p w14:paraId="48555FC7">
      <w:pPr>
        <w:pStyle w:val="11"/>
        <w:spacing w:line="256" w:lineRule="auto"/>
      </w:pPr>
    </w:p>
    <w:p w14:paraId="1276AFEC">
      <w:pPr>
        <w:pStyle w:val="11"/>
        <w:spacing w:line="256" w:lineRule="auto"/>
      </w:pPr>
    </w:p>
    <w:p w14:paraId="30237679">
      <w:pPr>
        <w:pStyle w:val="11"/>
        <w:spacing w:line="257" w:lineRule="auto"/>
      </w:pPr>
    </w:p>
    <w:p w14:paraId="62981B6C">
      <w:pPr>
        <w:pStyle w:val="11"/>
        <w:spacing w:line="257" w:lineRule="auto"/>
      </w:pPr>
    </w:p>
    <w:p w14:paraId="294AC435">
      <w:pPr>
        <w:pStyle w:val="11"/>
        <w:spacing w:line="257" w:lineRule="auto"/>
      </w:pPr>
    </w:p>
    <w:p w14:paraId="13442761">
      <w:pPr>
        <w:spacing w:line="1293" w:lineRule="exact"/>
        <w:ind w:firstLine="2021"/>
      </w:pPr>
      <w:r>
        <w:rPr>
          <w:position w:val="-25"/>
        </w:rPr>
        <w:drawing>
          <wp:inline distT="0" distB="0" distL="0" distR="0">
            <wp:extent cx="2724785" cy="8204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9"/>
                    <a:stretch>
                      <a:fillRect/>
                    </a:stretch>
                  </pic:blipFill>
                  <pic:spPr>
                    <a:xfrm>
                      <a:off x="0" y="0"/>
                      <a:ext cx="2725199" cy="820799"/>
                    </a:xfrm>
                    <a:prstGeom prst="rect">
                      <a:avLst/>
                    </a:prstGeom>
                  </pic:spPr>
                </pic:pic>
              </a:graphicData>
            </a:graphic>
          </wp:inline>
        </w:drawing>
      </w:r>
    </w:p>
    <w:p w14:paraId="04D82602">
      <w:pPr>
        <w:pStyle w:val="11"/>
        <w:spacing w:line="251" w:lineRule="auto"/>
      </w:pPr>
    </w:p>
    <w:p w14:paraId="70672859">
      <w:pPr>
        <w:pStyle w:val="11"/>
        <w:spacing w:line="251" w:lineRule="auto"/>
      </w:pPr>
    </w:p>
    <w:p w14:paraId="5550D95F">
      <w:pPr>
        <w:pStyle w:val="11"/>
        <w:spacing w:line="251" w:lineRule="auto"/>
      </w:pPr>
    </w:p>
    <w:p w14:paraId="39C84F04">
      <w:pPr>
        <w:pStyle w:val="11"/>
        <w:spacing w:line="251" w:lineRule="auto"/>
      </w:pPr>
    </w:p>
    <w:p w14:paraId="6D3396B1">
      <w:pPr>
        <w:pStyle w:val="11"/>
        <w:spacing w:line="251" w:lineRule="auto"/>
      </w:pPr>
    </w:p>
    <w:p w14:paraId="60DD8603">
      <w:pPr>
        <w:pStyle w:val="11"/>
        <w:spacing w:line="251" w:lineRule="auto"/>
      </w:pPr>
    </w:p>
    <w:p w14:paraId="6C2057D0">
      <w:pPr>
        <w:pStyle w:val="11"/>
        <w:spacing w:line="252" w:lineRule="auto"/>
      </w:pPr>
    </w:p>
    <w:p w14:paraId="074A86E2">
      <w:pPr>
        <w:pStyle w:val="11"/>
        <w:spacing w:line="252" w:lineRule="auto"/>
      </w:pPr>
    </w:p>
    <w:p w14:paraId="30A92165">
      <w:pPr>
        <w:pStyle w:val="11"/>
        <w:spacing w:line="252" w:lineRule="auto"/>
      </w:pPr>
    </w:p>
    <w:p w14:paraId="07B500B3">
      <w:pPr>
        <w:pStyle w:val="11"/>
        <w:spacing w:line="252" w:lineRule="auto"/>
      </w:pPr>
    </w:p>
    <w:p w14:paraId="6AB5E6C5">
      <w:pPr>
        <w:pStyle w:val="11"/>
        <w:spacing w:line="252" w:lineRule="auto"/>
      </w:pPr>
    </w:p>
    <w:p w14:paraId="7F9FFA88">
      <w:pPr>
        <w:pStyle w:val="11"/>
        <w:spacing w:line="252" w:lineRule="auto"/>
      </w:pPr>
    </w:p>
    <w:p w14:paraId="16897250">
      <w:pPr>
        <w:pStyle w:val="11"/>
        <w:spacing w:line="252" w:lineRule="auto"/>
      </w:pPr>
    </w:p>
    <w:p w14:paraId="299CB5F3">
      <w:pPr>
        <w:pStyle w:val="11"/>
        <w:spacing w:line="252" w:lineRule="auto"/>
      </w:pPr>
    </w:p>
    <w:p w14:paraId="439B07EB">
      <w:pPr>
        <w:pStyle w:val="11"/>
        <w:spacing w:line="252" w:lineRule="auto"/>
      </w:pPr>
    </w:p>
    <w:p w14:paraId="0AF1C2E5">
      <w:pPr>
        <w:pStyle w:val="11"/>
        <w:spacing w:line="252" w:lineRule="auto"/>
      </w:pPr>
    </w:p>
    <w:p w14:paraId="74117C79">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5C62F403">
      <w:pPr>
        <w:spacing w:line="219" w:lineRule="auto"/>
        <w:rPr>
          <w:rFonts w:ascii="宋体" w:hAnsi="宋体" w:eastAsia="宋体" w:cs="宋体"/>
          <w:sz w:val="36"/>
          <w:szCs w:val="36"/>
        </w:rPr>
        <w:sectPr>
          <w:pgSz w:w="11906" w:h="16839"/>
          <w:pgMar w:top="1431" w:right="1785" w:bottom="0" w:left="1785" w:header="0" w:footer="0" w:gutter="0"/>
          <w:cols w:space="720" w:num="1"/>
        </w:sectPr>
      </w:pPr>
    </w:p>
    <w:p w14:paraId="2915131C">
      <w:pPr>
        <w:pStyle w:val="11"/>
        <w:spacing w:line="355" w:lineRule="auto"/>
      </w:pPr>
    </w:p>
    <w:p w14:paraId="70E37569">
      <w:pPr>
        <w:pStyle w:val="11"/>
        <w:spacing w:line="355" w:lineRule="auto"/>
      </w:pPr>
    </w:p>
    <w:p w14:paraId="03BA832C">
      <w:pPr>
        <w:spacing w:before="91" w:line="220" w:lineRule="auto"/>
        <w:ind w:left="3753"/>
        <w:outlineLvl w:val="0"/>
        <w:rPr>
          <w:rFonts w:ascii="宋体" w:hAnsi="宋体" w:eastAsia="宋体" w:cs="宋体"/>
          <w:sz w:val="28"/>
          <w:szCs w:val="28"/>
        </w:rPr>
      </w:pPr>
      <w:bookmarkStart w:id="1" w:name="_Toc2114"/>
      <w:r>
        <w:rPr>
          <w:rFonts w:ascii="宋体" w:hAnsi="宋体" w:eastAsia="宋体" w:cs="宋体"/>
          <w:spacing w:val="-3"/>
          <w:sz w:val="28"/>
          <w:szCs w:val="28"/>
        </w:rPr>
        <w:t>文档信息</w:t>
      </w:r>
      <w:bookmarkEnd w:id="1"/>
    </w:p>
    <w:p w14:paraId="0905698E">
      <w:pPr>
        <w:spacing w:line="117" w:lineRule="exact"/>
      </w:pPr>
    </w:p>
    <w:tbl>
      <w:tblPr>
        <w:tblStyle w:val="18"/>
        <w:tblW w:w="868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63"/>
        <w:gridCol w:w="1696"/>
        <w:gridCol w:w="2302"/>
        <w:gridCol w:w="1557"/>
        <w:gridCol w:w="1562"/>
      </w:tblGrid>
      <w:tr w14:paraId="4AF569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2" w:hRule="atLeast"/>
        </w:trPr>
        <w:tc>
          <w:tcPr>
            <w:tcW w:w="1563" w:type="dxa"/>
            <w:vAlign w:val="top"/>
          </w:tcPr>
          <w:p w14:paraId="093B3FCD">
            <w:pPr>
              <w:spacing w:before="199" w:line="220" w:lineRule="auto"/>
              <w:ind w:left="154"/>
              <w:rPr>
                <w:rFonts w:ascii="宋体" w:hAnsi="宋体" w:eastAsia="宋体" w:cs="宋体"/>
                <w:sz w:val="21"/>
                <w:szCs w:val="21"/>
              </w:rPr>
            </w:pPr>
            <w:r>
              <w:rPr>
                <w:rFonts w:ascii="宋体" w:hAnsi="宋体" w:eastAsia="宋体" w:cs="宋体"/>
                <w:spacing w:val="-2"/>
                <w:sz w:val="21"/>
                <w:szCs w:val="21"/>
              </w:rPr>
              <w:t>文档名称编号</w:t>
            </w:r>
          </w:p>
        </w:tc>
        <w:tc>
          <w:tcPr>
            <w:tcW w:w="7117" w:type="dxa"/>
            <w:gridSpan w:val="4"/>
            <w:vAlign w:val="top"/>
          </w:tcPr>
          <w:p w14:paraId="0CF91D9D">
            <w:pPr>
              <w:spacing w:before="199" w:line="220" w:lineRule="auto"/>
              <w:ind w:left="108"/>
              <w:rPr>
                <w:rFonts w:ascii="宋体" w:hAnsi="宋体" w:eastAsia="宋体" w:cs="宋体"/>
                <w:sz w:val="21"/>
                <w:szCs w:val="21"/>
              </w:rPr>
            </w:pPr>
            <w:r>
              <w:rPr>
                <w:rFonts w:ascii="宋体" w:hAnsi="宋体" w:eastAsia="宋体" w:cs="宋体"/>
                <w:spacing w:val="-1"/>
                <w:sz w:val="21"/>
                <w:szCs w:val="21"/>
              </w:rPr>
              <w:t>运维服务人员储备制度（HHLC-ITSS-RYCBZD）</w:t>
            </w:r>
          </w:p>
        </w:tc>
      </w:tr>
      <w:tr w14:paraId="5FE935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563" w:type="dxa"/>
            <w:vAlign w:val="top"/>
          </w:tcPr>
          <w:p w14:paraId="51E35F8B">
            <w:pPr>
              <w:spacing w:before="195" w:line="220" w:lineRule="auto"/>
              <w:ind w:left="364"/>
              <w:rPr>
                <w:rFonts w:ascii="宋体" w:hAnsi="宋体" w:eastAsia="宋体" w:cs="宋体"/>
                <w:sz w:val="21"/>
                <w:szCs w:val="21"/>
              </w:rPr>
            </w:pPr>
            <w:r>
              <w:rPr>
                <w:rFonts w:ascii="宋体" w:hAnsi="宋体" w:eastAsia="宋体" w:cs="宋体"/>
                <w:spacing w:val="-2"/>
                <w:sz w:val="21"/>
                <w:szCs w:val="21"/>
              </w:rPr>
              <w:t>编制单位</w:t>
            </w:r>
          </w:p>
        </w:tc>
        <w:tc>
          <w:tcPr>
            <w:tcW w:w="7117" w:type="dxa"/>
            <w:gridSpan w:val="4"/>
            <w:vAlign w:val="top"/>
          </w:tcPr>
          <w:p w14:paraId="40982857">
            <w:pPr>
              <w:spacing w:before="196" w:line="219" w:lineRule="auto"/>
              <w:ind w:left="108"/>
              <w:rPr>
                <w:rFonts w:ascii="宋体" w:hAnsi="宋体" w:eastAsia="宋体" w:cs="宋体"/>
                <w:sz w:val="21"/>
                <w:szCs w:val="21"/>
              </w:rPr>
            </w:pPr>
            <w:r>
              <w:rPr>
                <w:rFonts w:ascii="宋体" w:hAnsi="宋体" w:eastAsia="宋体" w:cs="宋体"/>
                <w:spacing w:val="-1"/>
                <w:sz w:val="21"/>
                <w:szCs w:val="21"/>
              </w:rPr>
              <w:t>青岛慧海联创信息技术有限公司</w:t>
            </w:r>
          </w:p>
        </w:tc>
      </w:tr>
      <w:tr w14:paraId="0C3B13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563" w:type="dxa"/>
            <w:vAlign w:val="top"/>
          </w:tcPr>
          <w:p w14:paraId="111CE661">
            <w:pPr>
              <w:spacing w:before="196" w:line="220" w:lineRule="auto"/>
              <w:ind w:left="364"/>
              <w:rPr>
                <w:rFonts w:ascii="宋体" w:hAnsi="宋体" w:eastAsia="宋体" w:cs="宋体"/>
                <w:sz w:val="21"/>
                <w:szCs w:val="21"/>
              </w:rPr>
            </w:pPr>
            <w:r>
              <w:rPr>
                <w:rFonts w:ascii="宋体" w:hAnsi="宋体" w:eastAsia="宋体" w:cs="宋体"/>
                <w:spacing w:val="-2"/>
                <w:sz w:val="21"/>
                <w:szCs w:val="21"/>
              </w:rPr>
              <w:t>文档密级</w:t>
            </w:r>
          </w:p>
        </w:tc>
        <w:tc>
          <w:tcPr>
            <w:tcW w:w="7117" w:type="dxa"/>
            <w:gridSpan w:val="4"/>
            <w:vAlign w:val="top"/>
          </w:tcPr>
          <w:p w14:paraId="60C8A34F">
            <w:pPr>
              <w:spacing w:before="196" w:line="220" w:lineRule="auto"/>
              <w:ind w:left="107"/>
              <w:rPr>
                <w:rFonts w:ascii="宋体" w:hAnsi="宋体" w:eastAsia="宋体" w:cs="宋体"/>
                <w:sz w:val="21"/>
                <w:szCs w:val="21"/>
              </w:rPr>
            </w:pPr>
            <w:r>
              <w:rPr>
                <w:rFonts w:ascii="宋体" w:hAnsi="宋体" w:eastAsia="宋体" w:cs="宋体"/>
                <w:spacing w:val="-2"/>
                <w:sz w:val="21"/>
                <w:szCs w:val="21"/>
              </w:rPr>
              <w:t>秘密</w:t>
            </w:r>
          </w:p>
        </w:tc>
      </w:tr>
      <w:tr w14:paraId="55FA29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563" w:type="dxa"/>
            <w:vAlign w:val="top"/>
          </w:tcPr>
          <w:p w14:paraId="5C1D072E">
            <w:pPr>
              <w:spacing w:before="198" w:line="219" w:lineRule="auto"/>
              <w:ind w:left="364"/>
              <w:rPr>
                <w:rFonts w:ascii="宋体" w:hAnsi="宋体" w:eastAsia="宋体" w:cs="宋体"/>
                <w:sz w:val="21"/>
                <w:szCs w:val="21"/>
              </w:rPr>
            </w:pPr>
            <w:r>
              <w:rPr>
                <w:rFonts w:ascii="宋体" w:hAnsi="宋体" w:eastAsia="宋体" w:cs="宋体"/>
                <w:spacing w:val="-2"/>
                <w:sz w:val="21"/>
                <w:szCs w:val="21"/>
              </w:rPr>
              <w:t>文档版本</w:t>
            </w:r>
          </w:p>
        </w:tc>
        <w:tc>
          <w:tcPr>
            <w:tcW w:w="1696" w:type="dxa"/>
            <w:vAlign w:val="top"/>
          </w:tcPr>
          <w:p w14:paraId="4EE79B4F">
            <w:pPr>
              <w:spacing w:before="198" w:line="219" w:lineRule="auto"/>
              <w:ind w:left="430"/>
              <w:rPr>
                <w:rFonts w:ascii="宋体" w:hAnsi="宋体" w:eastAsia="宋体" w:cs="宋体"/>
                <w:sz w:val="21"/>
                <w:szCs w:val="21"/>
              </w:rPr>
            </w:pPr>
            <w:r>
              <w:rPr>
                <w:rFonts w:ascii="宋体" w:hAnsi="宋体" w:eastAsia="宋体" w:cs="宋体"/>
                <w:spacing w:val="-2"/>
                <w:sz w:val="21"/>
                <w:szCs w:val="21"/>
              </w:rPr>
              <w:t>版本日期</w:t>
            </w:r>
          </w:p>
        </w:tc>
        <w:tc>
          <w:tcPr>
            <w:tcW w:w="2302" w:type="dxa"/>
            <w:vAlign w:val="top"/>
          </w:tcPr>
          <w:p w14:paraId="64AA5F82">
            <w:pPr>
              <w:spacing w:before="198" w:line="219" w:lineRule="auto"/>
              <w:ind w:left="735"/>
              <w:rPr>
                <w:rFonts w:ascii="宋体" w:hAnsi="宋体" w:eastAsia="宋体" w:cs="宋体"/>
                <w:sz w:val="21"/>
                <w:szCs w:val="21"/>
              </w:rPr>
            </w:pPr>
            <w:r>
              <w:rPr>
                <w:rFonts w:ascii="宋体" w:hAnsi="宋体" w:eastAsia="宋体" w:cs="宋体"/>
                <w:spacing w:val="-2"/>
                <w:sz w:val="21"/>
                <w:szCs w:val="21"/>
              </w:rPr>
              <w:t>版本说明</w:t>
            </w:r>
          </w:p>
        </w:tc>
        <w:tc>
          <w:tcPr>
            <w:tcW w:w="1557" w:type="dxa"/>
            <w:vAlign w:val="top"/>
          </w:tcPr>
          <w:p w14:paraId="1106CF5F">
            <w:pPr>
              <w:spacing w:before="198" w:line="220" w:lineRule="auto"/>
              <w:ind w:left="575"/>
              <w:rPr>
                <w:rFonts w:ascii="宋体" w:hAnsi="宋体" w:eastAsia="宋体" w:cs="宋体"/>
                <w:sz w:val="21"/>
                <w:szCs w:val="21"/>
              </w:rPr>
            </w:pPr>
            <w:r>
              <w:rPr>
                <w:rFonts w:ascii="宋体" w:hAnsi="宋体" w:eastAsia="宋体" w:cs="宋体"/>
                <w:spacing w:val="-3"/>
                <w:sz w:val="21"/>
                <w:szCs w:val="21"/>
              </w:rPr>
              <w:t>作者</w:t>
            </w:r>
          </w:p>
        </w:tc>
        <w:tc>
          <w:tcPr>
            <w:tcW w:w="1562" w:type="dxa"/>
            <w:vAlign w:val="top"/>
          </w:tcPr>
          <w:p w14:paraId="1AFCFFD3">
            <w:pPr>
              <w:spacing w:before="198" w:line="220" w:lineRule="auto"/>
              <w:ind w:left="587"/>
              <w:rPr>
                <w:rFonts w:ascii="宋体" w:hAnsi="宋体" w:eastAsia="宋体" w:cs="宋体"/>
                <w:sz w:val="21"/>
                <w:szCs w:val="21"/>
              </w:rPr>
            </w:pPr>
            <w:r>
              <w:rPr>
                <w:rFonts w:ascii="宋体" w:hAnsi="宋体" w:eastAsia="宋体" w:cs="宋体"/>
                <w:spacing w:val="-5"/>
                <w:sz w:val="21"/>
                <w:szCs w:val="21"/>
              </w:rPr>
              <w:t>审核</w:t>
            </w:r>
          </w:p>
        </w:tc>
      </w:tr>
      <w:tr w14:paraId="01691D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563" w:type="dxa"/>
            <w:vAlign w:val="top"/>
          </w:tcPr>
          <w:p w14:paraId="4C097BEE">
            <w:pPr>
              <w:spacing w:before="162" w:line="239" w:lineRule="auto"/>
              <w:ind w:left="568"/>
              <w:rPr>
                <w:rFonts w:ascii="宋体" w:hAnsi="宋体" w:eastAsia="宋体" w:cs="宋体"/>
                <w:sz w:val="21"/>
                <w:szCs w:val="21"/>
              </w:rPr>
            </w:pPr>
            <w:r>
              <w:rPr>
                <w:rFonts w:ascii="宋体" w:hAnsi="宋体" w:eastAsia="宋体" w:cs="宋体"/>
                <w:spacing w:val="-1"/>
                <w:sz w:val="21"/>
                <w:szCs w:val="21"/>
              </w:rPr>
              <w:t>V1.0</w:t>
            </w:r>
          </w:p>
        </w:tc>
        <w:tc>
          <w:tcPr>
            <w:tcW w:w="1696" w:type="dxa"/>
            <w:vAlign w:val="top"/>
          </w:tcPr>
          <w:p w14:paraId="3F53AA9C">
            <w:pPr>
              <w:spacing w:before="162"/>
              <w:ind w:left="431"/>
              <w:rPr>
                <w:rFonts w:ascii="宋体" w:hAnsi="宋体" w:eastAsia="宋体" w:cs="宋体"/>
                <w:sz w:val="21"/>
                <w:szCs w:val="21"/>
              </w:rPr>
            </w:pPr>
            <w:r>
              <w:rPr>
                <w:rFonts w:ascii="宋体" w:hAnsi="宋体" w:eastAsia="宋体" w:cs="宋体"/>
                <w:spacing w:val="-2"/>
                <w:sz w:val="21"/>
                <w:szCs w:val="21"/>
              </w:rPr>
              <w:t>2025-1-4</w:t>
            </w:r>
          </w:p>
        </w:tc>
        <w:tc>
          <w:tcPr>
            <w:tcW w:w="2302" w:type="dxa"/>
            <w:vAlign w:val="top"/>
          </w:tcPr>
          <w:p w14:paraId="2218F151">
            <w:pPr>
              <w:spacing w:before="132" w:line="219" w:lineRule="auto"/>
              <w:ind w:left="738"/>
              <w:rPr>
                <w:rFonts w:ascii="宋体" w:hAnsi="宋体" w:eastAsia="宋体" w:cs="宋体"/>
                <w:sz w:val="21"/>
                <w:szCs w:val="21"/>
              </w:rPr>
            </w:pPr>
            <w:r>
              <w:rPr>
                <w:rFonts w:ascii="宋体" w:hAnsi="宋体" w:eastAsia="宋体" w:cs="宋体"/>
                <w:spacing w:val="-3"/>
                <w:sz w:val="21"/>
                <w:szCs w:val="21"/>
              </w:rPr>
              <w:t>发布版本</w:t>
            </w:r>
          </w:p>
        </w:tc>
        <w:tc>
          <w:tcPr>
            <w:tcW w:w="1557" w:type="dxa"/>
            <w:vAlign w:val="top"/>
          </w:tcPr>
          <w:p w14:paraId="1FD26668">
            <w:pPr>
              <w:spacing w:before="133" w:line="228" w:lineRule="auto"/>
              <w:ind w:left="576"/>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隋嘉宾</w:t>
            </w:r>
          </w:p>
        </w:tc>
        <w:tc>
          <w:tcPr>
            <w:tcW w:w="1562" w:type="dxa"/>
            <w:vAlign w:val="top"/>
          </w:tcPr>
          <w:p w14:paraId="630561C0">
            <w:pPr>
              <w:spacing w:before="132" w:line="220" w:lineRule="auto"/>
              <w:ind w:left="476"/>
              <w:rPr>
                <w:rFonts w:ascii="宋体" w:hAnsi="宋体" w:eastAsia="宋体" w:cs="宋体"/>
                <w:sz w:val="21"/>
                <w:szCs w:val="21"/>
              </w:rPr>
            </w:pPr>
            <w:r>
              <w:rPr>
                <w:rFonts w:ascii="宋体" w:hAnsi="宋体" w:eastAsia="宋体" w:cs="宋体"/>
                <w:spacing w:val="-3"/>
                <w:sz w:val="21"/>
                <w:szCs w:val="21"/>
              </w:rPr>
              <w:t>张仲全</w:t>
            </w:r>
          </w:p>
        </w:tc>
      </w:tr>
      <w:tr w14:paraId="72C8B1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563" w:type="dxa"/>
            <w:vAlign w:val="top"/>
          </w:tcPr>
          <w:p w14:paraId="2314BE55">
            <w:pPr>
              <w:pStyle w:val="19"/>
            </w:pPr>
          </w:p>
        </w:tc>
        <w:tc>
          <w:tcPr>
            <w:tcW w:w="1696" w:type="dxa"/>
            <w:vAlign w:val="top"/>
          </w:tcPr>
          <w:p w14:paraId="4AB21E38">
            <w:pPr>
              <w:pStyle w:val="19"/>
            </w:pPr>
          </w:p>
        </w:tc>
        <w:tc>
          <w:tcPr>
            <w:tcW w:w="2302" w:type="dxa"/>
            <w:vAlign w:val="top"/>
          </w:tcPr>
          <w:p w14:paraId="7E0890C5">
            <w:pPr>
              <w:pStyle w:val="19"/>
            </w:pPr>
          </w:p>
        </w:tc>
        <w:tc>
          <w:tcPr>
            <w:tcW w:w="1557" w:type="dxa"/>
            <w:vAlign w:val="top"/>
          </w:tcPr>
          <w:p w14:paraId="1AB7B16F">
            <w:pPr>
              <w:pStyle w:val="19"/>
            </w:pPr>
          </w:p>
        </w:tc>
        <w:tc>
          <w:tcPr>
            <w:tcW w:w="1562" w:type="dxa"/>
            <w:vAlign w:val="top"/>
          </w:tcPr>
          <w:p w14:paraId="55120959">
            <w:pPr>
              <w:pStyle w:val="19"/>
            </w:pPr>
          </w:p>
        </w:tc>
      </w:tr>
      <w:tr w14:paraId="40A42D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atLeast"/>
        </w:trPr>
        <w:tc>
          <w:tcPr>
            <w:tcW w:w="1563" w:type="dxa"/>
            <w:vAlign w:val="top"/>
          </w:tcPr>
          <w:p w14:paraId="0D7D28EB">
            <w:pPr>
              <w:pStyle w:val="19"/>
            </w:pPr>
          </w:p>
        </w:tc>
        <w:tc>
          <w:tcPr>
            <w:tcW w:w="1696" w:type="dxa"/>
            <w:vAlign w:val="top"/>
          </w:tcPr>
          <w:p w14:paraId="06D6B5C3">
            <w:pPr>
              <w:pStyle w:val="19"/>
            </w:pPr>
          </w:p>
        </w:tc>
        <w:tc>
          <w:tcPr>
            <w:tcW w:w="2302" w:type="dxa"/>
            <w:vAlign w:val="top"/>
          </w:tcPr>
          <w:p w14:paraId="29DC8886">
            <w:pPr>
              <w:pStyle w:val="19"/>
            </w:pPr>
          </w:p>
        </w:tc>
        <w:tc>
          <w:tcPr>
            <w:tcW w:w="1557" w:type="dxa"/>
            <w:vAlign w:val="top"/>
          </w:tcPr>
          <w:p w14:paraId="7B5B7E5C">
            <w:pPr>
              <w:pStyle w:val="19"/>
            </w:pPr>
          </w:p>
        </w:tc>
        <w:tc>
          <w:tcPr>
            <w:tcW w:w="1562" w:type="dxa"/>
            <w:vAlign w:val="top"/>
          </w:tcPr>
          <w:p w14:paraId="2E250942">
            <w:pPr>
              <w:pStyle w:val="19"/>
            </w:pPr>
          </w:p>
        </w:tc>
      </w:tr>
      <w:tr w14:paraId="49C52A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563" w:type="dxa"/>
            <w:vAlign w:val="top"/>
          </w:tcPr>
          <w:p w14:paraId="096EA4F4">
            <w:pPr>
              <w:pStyle w:val="19"/>
            </w:pPr>
          </w:p>
        </w:tc>
        <w:tc>
          <w:tcPr>
            <w:tcW w:w="1696" w:type="dxa"/>
            <w:vAlign w:val="top"/>
          </w:tcPr>
          <w:p w14:paraId="3DAAC8C1">
            <w:pPr>
              <w:pStyle w:val="19"/>
            </w:pPr>
          </w:p>
        </w:tc>
        <w:tc>
          <w:tcPr>
            <w:tcW w:w="2302" w:type="dxa"/>
            <w:vAlign w:val="top"/>
          </w:tcPr>
          <w:p w14:paraId="3A118EFE">
            <w:pPr>
              <w:pStyle w:val="19"/>
            </w:pPr>
          </w:p>
        </w:tc>
        <w:tc>
          <w:tcPr>
            <w:tcW w:w="1557" w:type="dxa"/>
            <w:vAlign w:val="top"/>
          </w:tcPr>
          <w:p w14:paraId="094771F2">
            <w:pPr>
              <w:pStyle w:val="19"/>
            </w:pPr>
          </w:p>
        </w:tc>
        <w:tc>
          <w:tcPr>
            <w:tcW w:w="1562" w:type="dxa"/>
            <w:vAlign w:val="top"/>
          </w:tcPr>
          <w:p w14:paraId="6F1A082E">
            <w:pPr>
              <w:pStyle w:val="19"/>
            </w:pPr>
          </w:p>
        </w:tc>
      </w:tr>
      <w:tr w14:paraId="0A0050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563" w:type="dxa"/>
            <w:vAlign w:val="top"/>
          </w:tcPr>
          <w:p w14:paraId="7D386A87">
            <w:pPr>
              <w:pStyle w:val="19"/>
            </w:pPr>
          </w:p>
        </w:tc>
        <w:tc>
          <w:tcPr>
            <w:tcW w:w="1696" w:type="dxa"/>
            <w:vAlign w:val="top"/>
          </w:tcPr>
          <w:p w14:paraId="66143D1A">
            <w:pPr>
              <w:pStyle w:val="19"/>
            </w:pPr>
          </w:p>
        </w:tc>
        <w:tc>
          <w:tcPr>
            <w:tcW w:w="2302" w:type="dxa"/>
            <w:vAlign w:val="top"/>
          </w:tcPr>
          <w:p w14:paraId="7A021149">
            <w:pPr>
              <w:pStyle w:val="19"/>
            </w:pPr>
          </w:p>
        </w:tc>
        <w:tc>
          <w:tcPr>
            <w:tcW w:w="1557" w:type="dxa"/>
            <w:vAlign w:val="top"/>
          </w:tcPr>
          <w:p w14:paraId="39BBE5F2">
            <w:pPr>
              <w:pStyle w:val="19"/>
            </w:pPr>
          </w:p>
        </w:tc>
        <w:tc>
          <w:tcPr>
            <w:tcW w:w="1562" w:type="dxa"/>
            <w:vAlign w:val="top"/>
          </w:tcPr>
          <w:p w14:paraId="0E1D7A8B">
            <w:pPr>
              <w:pStyle w:val="19"/>
            </w:pPr>
          </w:p>
        </w:tc>
      </w:tr>
      <w:tr w14:paraId="76CB18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563" w:type="dxa"/>
            <w:vAlign w:val="top"/>
          </w:tcPr>
          <w:p w14:paraId="76C2D714">
            <w:pPr>
              <w:pStyle w:val="19"/>
            </w:pPr>
          </w:p>
        </w:tc>
        <w:tc>
          <w:tcPr>
            <w:tcW w:w="1696" w:type="dxa"/>
            <w:vAlign w:val="top"/>
          </w:tcPr>
          <w:p w14:paraId="2C65F274">
            <w:pPr>
              <w:pStyle w:val="19"/>
            </w:pPr>
          </w:p>
        </w:tc>
        <w:tc>
          <w:tcPr>
            <w:tcW w:w="2302" w:type="dxa"/>
            <w:vAlign w:val="top"/>
          </w:tcPr>
          <w:p w14:paraId="45647481">
            <w:pPr>
              <w:pStyle w:val="19"/>
            </w:pPr>
          </w:p>
        </w:tc>
        <w:tc>
          <w:tcPr>
            <w:tcW w:w="1557" w:type="dxa"/>
            <w:vAlign w:val="top"/>
          </w:tcPr>
          <w:p w14:paraId="35F876C6">
            <w:pPr>
              <w:pStyle w:val="19"/>
            </w:pPr>
          </w:p>
        </w:tc>
        <w:tc>
          <w:tcPr>
            <w:tcW w:w="1562" w:type="dxa"/>
            <w:vAlign w:val="top"/>
          </w:tcPr>
          <w:p w14:paraId="57535A05">
            <w:pPr>
              <w:pStyle w:val="19"/>
            </w:pPr>
          </w:p>
        </w:tc>
      </w:tr>
      <w:tr w14:paraId="6F4016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563" w:type="dxa"/>
            <w:vAlign w:val="top"/>
          </w:tcPr>
          <w:p w14:paraId="5860B852">
            <w:pPr>
              <w:pStyle w:val="19"/>
            </w:pPr>
          </w:p>
        </w:tc>
        <w:tc>
          <w:tcPr>
            <w:tcW w:w="1696" w:type="dxa"/>
            <w:vAlign w:val="top"/>
          </w:tcPr>
          <w:p w14:paraId="448FB2C4">
            <w:pPr>
              <w:pStyle w:val="19"/>
            </w:pPr>
          </w:p>
        </w:tc>
        <w:tc>
          <w:tcPr>
            <w:tcW w:w="2302" w:type="dxa"/>
            <w:vAlign w:val="top"/>
          </w:tcPr>
          <w:p w14:paraId="06DB4E22">
            <w:pPr>
              <w:pStyle w:val="19"/>
            </w:pPr>
          </w:p>
        </w:tc>
        <w:tc>
          <w:tcPr>
            <w:tcW w:w="1557" w:type="dxa"/>
            <w:vAlign w:val="top"/>
          </w:tcPr>
          <w:p w14:paraId="629E474A">
            <w:pPr>
              <w:pStyle w:val="19"/>
            </w:pPr>
          </w:p>
        </w:tc>
        <w:tc>
          <w:tcPr>
            <w:tcW w:w="1562" w:type="dxa"/>
            <w:vAlign w:val="top"/>
          </w:tcPr>
          <w:p w14:paraId="4A4D6B97">
            <w:pPr>
              <w:pStyle w:val="19"/>
            </w:pPr>
          </w:p>
        </w:tc>
      </w:tr>
      <w:tr w14:paraId="5E103F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89" w:hRule="atLeast"/>
        </w:trPr>
        <w:tc>
          <w:tcPr>
            <w:tcW w:w="1563" w:type="dxa"/>
            <w:vAlign w:val="top"/>
          </w:tcPr>
          <w:p w14:paraId="3EE90220">
            <w:pPr>
              <w:pStyle w:val="19"/>
            </w:pPr>
          </w:p>
        </w:tc>
        <w:tc>
          <w:tcPr>
            <w:tcW w:w="1696" w:type="dxa"/>
            <w:vAlign w:val="top"/>
          </w:tcPr>
          <w:p w14:paraId="26B3B982">
            <w:pPr>
              <w:pStyle w:val="19"/>
            </w:pPr>
          </w:p>
        </w:tc>
        <w:tc>
          <w:tcPr>
            <w:tcW w:w="2302" w:type="dxa"/>
            <w:vAlign w:val="top"/>
          </w:tcPr>
          <w:p w14:paraId="48153BC6">
            <w:pPr>
              <w:pStyle w:val="19"/>
            </w:pPr>
          </w:p>
        </w:tc>
        <w:tc>
          <w:tcPr>
            <w:tcW w:w="1557" w:type="dxa"/>
            <w:vAlign w:val="top"/>
          </w:tcPr>
          <w:p w14:paraId="30DBFB78">
            <w:pPr>
              <w:pStyle w:val="19"/>
            </w:pPr>
          </w:p>
        </w:tc>
        <w:tc>
          <w:tcPr>
            <w:tcW w:w="1562" w:type="dxa"/>
            <w:vAlign w:val="top"/>
          </w:tcPr>
          <w:p w14:paraId="0676D09E">
            <w:pPr>
              <w:pStyle w:val="19"/>
            </w:pPr>
          </w:p>
        </w:tc>
      </w:tr>
    </w:tbl>
    <w:p w14:paraId="60D56B0F">
      <w:pPr>
        <w:pStyle w:val="11"/>
      </w:pPr>
    </w:p>
    <w:p w14:paraId="152F2190">
      <w:pPr>
        <w:sectPr>
          <w:footerReference r:id="rId5" w:type="default"/>
          <w:pgSz w:w="11906" w:h="16839"/>
          <w:pgMar w:top="1431" w:right="1561" w:bottom="1374" w:left="1653" w:header="0" w:footer="1211" w:gutter="0"/>
          <w:cols w:space="720" w:num="1"/>
        </w:sectPr>
      </w:pPr>
    </w:p>
    <w:sdt>
      <w:sdtPr>
        <w:rPr>
          <w:rFonts w:ascii="宋体" w:hAnsi="宋体" w:eastAsia="宋体" w:cs="Arial"/>
          <w:snapToGrid w:val="0"/>
          <w:color w:val="000000"/>
          <w:kern w:val="0"/>
          <w:sz w:val="21"/>
          <w:szCs w:val="21"/>
          <w:lang w:val="en-US" w:eastAsia="en-US" w:bidi="ar-SA"/>
        </w:rPr>
        <w:id w:val="147463413"/>
        <w15:color w:val="DBDBDB"/>
        <w:docPartObj>
          <w:docPartGallery w:val="Table of Contents"/>
          <w:docPartUnique/>
        </w:docPartObj>
      </w:sdtPr>
      <w:sdtEndPr>
        <w:rPr>
          <w:rFonts w:ascii="Calibri" w:hAnsi="Calibri" w:eastAsia="Calibri" w:cs="Calibri"/>
          <w:snapToGrid w:val="0"/>
          <w:color w:val="000000"/>
          <w:kern w:val="0"/>
          <w:sz w:val="21"/>
          <w:szCs w:val="22"/>
          <w:lang w:val="en-US" w:eastAsia="en-US" w:bidi="ar-SA"/>
        </w:rPr>
      </w:sdtEndPr>
      <w:sdtContent>
        <w:p w14:paraId="35C00CF3">
          <w:pPr>
            <w:spacing w:before="0" w:beforeLines="0" w:after="0" w:afterLines="0" w:line="240" w:lineRule="auto"/>
            <w:ind w:left="0" w:leftChars="0" w:right="0" w:rightChars="0" w:firstLine="0" w:firstLineChars="0"/>
            <w:jc w:val="center"/>
          </w:pPr>
          <w:r>
            <w:rPr>
              <w:rFonts w:ascii="宋体" w:hAnsi="宋体" w:eastAsia="宋体"/>
              <w:sz w:val="21"/>
            </w:rPr>
            <w:t>目录</w:t>
          </w:r>
        </w:p>
        <w:p w14:paraId="34E71D4F">
          <w:pPr>
            <w:pStyle w:val="14"/>
            <w:tabs>
              <w:tab w:val="right" w:leader="dot" w:pos="8336"/>
            </w:tabs>
          </w:pPr>
          <w:r>
            <w:rPr>
              <w:rFonts w:ascii="Calibri" w:hAnsi="Calibri" w:eastAsia="Calibri" w:cs="Calibri"/>
              <w:sz w:val="22"/>
              <w:szCs w:val="22"/>
            </w:rPr>
            <w:fldChar w:fldCharType="begin"/>
          </w:r>
          <w:r>
            <w:rPr>
              <w:rFonts w:ascii="Calibri" w:hAnsi="Calibri" w:eastAsia="Calibri" w:cs="Calibri"/>
              <w:sz w:val="22"/>
              <w:szCs w:val="22"/>
            </w:rPr>
            <w:instrText xml:space="preserve">TOC \o "1-3" \h \u </w:instrText>
          </w:r>
          <w:r>
            <w:rPr>
              <w:rFonts w:ascii="Calibri" w:hAnsi="Calibri" w:eastAsia="Calibri" w:cs="Calibri"/>
              <w:sz w:val="22"/>
              <w:szCs w:val="22"/>
            </w:rPr>
            <w:fldChar w:fldCharType="separate"/>
          </w:r>
          <w:r>
            <w:rPr>
              <w:rFonts w:ascii="Calibri" w:hAnsi="Calibri" w:eastAsia="Calibri" w:cs="Calibri"/>
              <w:szCs w:val="22"/>
            </w:rPr>
            <w:fldChar w:fldCharType="begin"/>
          </w:r>
          <w:r>
            <w:rPr>
              <w:rFonts w:ascii="Calibri" w:hAnsi="Calibri" w:eastAsia="Calibri" w:cs="Calibri"/>
              <w:szCs w:val="22"/>
            </w:rPr>
            <w:instrText xml:space="preserve"> HYPERLINK \l _Toc27667 </w:instrText>
          </w:r>
          <w:r>
            <w:rPr>
              <w:rFonts w:ascii="Calibri" w:hAnsi="Calibri" w:eastAsia="Calibri" w:cs="Calibri"/>
              <w:szCs w:val="22"/>
            </w:rPr>
            <w:fldChar w:fldCharType="separate"/>
          </w:r>
          <w:r>
            <w:rPr>
              <w:rFonts w:ascii="宋体" w:hAnsi="宋体" w:eastAsia="宋体" w:cs="宋体"/>
              <w:bCs/>
              <w:spacing w:val="-8"/>
              <w:szCs w:val="52"/>
            </w:rPr>
            <w:t>运维服务人员储备制度</w:t>
          </w:r>
          <w:r>
            <w:tab/>
          </w:r>
          <w:r>
            <w:fldChar w:fldCharType="begin"/>
          </w:r>
          <w:r>
            <w:instrText xml:space="preserve"> PAGEREF _Toc27667 \h </w:instrText>
          </w:r>
          <w:r>
            <w:fldChar w:fldCharType="separate"/>
          </w:r>
          <w:r>
            <w:t>1</w:t>
          </w:r>
          <w:r>
            <w:fldChar w:fldCharType="end"/>
          </w:r>
          <w:r>
            <w:rPr>
              <w:rFonts w:ascii="Calibri" w:hAnsi="Calibri" w:eastAsia="Calibri" w:cs="Calibri"/>
              <w:szCs w:val="22"/>
            </w:rPr>
            <w:fldChar w:fldCharType="end"/>
          </w:r>
        </w:p>
        <w:p w14:paraId="7C6CA53F">
          <w:pPr>
            <w:pStyle w:val="14"/>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_Toc2114 </w:instrText>
          </w:r>
          <w:r>
            <w:rPr>
              <w:rFonts w:ascii="Calibri" w:hAnsi="Calibri" w:eastAsia="Calibri" w:cs="Calibri"/>
              <w:szCs w:val="22"/>
            </w:rPr>
            <w:fldChar w:fldCharType="separate"/>
          </w:r>
          <w:r>
            <w:rPr>
              <w:rFonts w:ascii="宋体" w:hAnsi="宋体" w:eastAsia="宋体" w:cs="宋体"/>
              <w:spacing w:val="-3"/>
              <w:szCs w:val="28"/>
            </w:rPr>
            <w:t>文档信息</w:t>
          </w:r>
          <w:r>
            <w:tab/>
          </w:r>
          <w:r>
            <w:fldChar w:fldCharType="begin"/>
          </w:r>
          <w:r>
            <w:instrText xml:space="preserve"> PAGEREF _Toc2114 \h </w:instrText>
          </w:r>
          <w:r>
            <w:fldChar w:fldCharType="separate"/>
          </w:r>
          <w:r>
            <w:t>2</w:t>
          </w:r>
          <w:r>
            <w:fldChar w:fldCharType="end"/>
          </w:r>
          <w:r>
            <w:rPr>
              <w:rFonts w:ascii="Calibri" w:hAnsi="Calibri" w:eastAsia="Calibri" w:cs="Calibri"/>
              <w:szCs w:val="22"/>
            </w:rPr>
            <w:fldChar w:fldCharType="end"/>
          </w:r>
        </w:p>
        <w:p w14:paraId="15F148F5">
          <w:pPr>
            <w:pStyle w:val="14"/>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_Toc20925 </w:instrText>
          </w:r>
          <w:r>
            <w:rPr>
              <w:rFonts w:ascii="Calibri" w:hAnsi="Calibri" w:eastAsia="Calibri" w:cs="Calibri"/>
              <w:szCs w:val="22"/>
            </w:rPr>
            <w:fldChar w:fldCharType="separate"/>
          </w:r>
          <w:r>
            <w:rPr>
              <w:rFonts w:hint="default"/>
            </w:rPr>
            <w:t xml:space="preserve">1. </w:t>
          </w:r>
          <w:r>
            <w:t>1.简介</w:t>
          </w:r>
          <w:r>
            <w:tab/>
          </w:r>
          <w:r>
            <w:fldChar w:fldCharType="begin"/>
          </w:r>
          <w:r>
            <w:instrText xml:space="preserve"> PAGEREF _Toc20925 \h </w:instrText>
          </w:r>
          <w:r>
            <w:fldChar w:fldCharType="separate"/>
          </w:r>
          <w:r>
            <w:t>4</w:t>
          </w:r>
          <w:r>
            <w:fldChar w:fldCharType="end"/>
          </w:r>
          <w:r>
            <w:rPr>
              <w:rFonts w:ascii="Calibri" w:hAnsi="Calibri" w:eastAsia="Calibri" w:cs="Calibri"/>
              <w:szCs w:val="22"/>
            </w:rPr>
            <w:fldChar w:fldCharType="end"/>
          </w:r>
        </w:p>
        <w:p w14:paraId="3098DB9C">
          <w:pPr>
            <w:pStyle w:val="15"/>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_Toc424 </w:instrText>
          </w:r>
          <w:r>
            <w:rPr>
              <w:rFonts w:ascii="Calibri" w:hAnsi="Calibri" w:eastAsia="Calibri" w:cs="Calibri"/>
              <w:szCs w:val="22"/>
            </w:rPr>
            <w:fldChar w:fldCharType="separate"/>
          </w:r>
          <w:r>
            <w:rPr>
              <w:rFonts w:hint="default"/>
            </w:rPr>
            <w:t xml:space="preserve">1.1. </w:t>
          </w:r>
          <w:r>
            <w:t>目的</w:t>
          </w:r>
          <w:r>
            <w:tab/>
          </w:r>
          <w:r>
            <w:fldChar w:fldCharType="begin"/>
          </w:r>
          <w:r>
            <w:instrText xml:space="preserve"> PAGEREF _Toc424 \h </w:instrText>
          </w:r>
          <w:r>
            <w:fldChar w:fldCharType="separate"/>
          </w:r>
          <w:r>
            <w:t>4</w:t>
          </w:r>
          <w:r>
            <w:fldChar w:fldCharType="end"/>
          </w:r>
          <w:r>
            <w:rPr>
              <w:rFonts w:ascii="Calibri" w:hAnsi="Calibri" w:eastAsia="Calibri" w:cs="Calibri"/>
              <w:szCs w:val="22"/>
            </w:rPr>
            <w:fldChar w:fldCharType="end"/>
          </w:r>
        </w:p>
        <w:p w14:paraId="3CD3AE6C">
          <w:pPr>
            <w:pStyle w:val="15"/>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_Toc22916 </w:instrText>
          </w:r>
          <w:r>
            <w:rPr>
              <w:rFonts w:ascii="Calibri" w:hAnsi="Calibri" w:eastAsia="Calibri" w:cs="Calibri"/>
              <w:szCs w:val="22"/>
            </w:rPr>
            <w:fldChar w:fldCharType="separate"/>
          </w:r>
          <w:r>
            <w:rPr>
              <w:rFonts w:hint="default"/>
            </w:rPr>
            <w:t xml:space="preserve">1.2. </w:t>
          </w:r>
          <w:r>
            <w:t>原则</w:t>
          </w:r>
          <w:r>
            <w:tab/>
          </w:r>
          <w:r>
            <w:fldChar w:fldCharType="begin"/>
          </w:r>
          <w:r>
            <w:instrText xml:space="preserve"> PAGEREF _Toc22916 \h </w:instrText>
          </w:r>
          <w:r>
            <w:fldChar w:fldCharType="separate"/>
          </w:r>
          <w:r>
            <w:t>4</w:t>
          </w:r>
          <w:r>
            <w:fldChar w:fldCharType="end"/>
          </w:r>
          <w:r>
            <w:rPr>
              <w:rFonts w:ascii="Calibri" w:hAnsi="Calibri" w:eastAsia="Calibri" w:cs="Calibri"/>
              <w:szCs w:val="22"/>
            </w:rPr>
            <w:fldChar w:fldCharType="end"/>
          </w:r>
        </w:p>
        <w:p w14:paraId="45BFB244">
          <w:pPr>
            <w:pStyle w:val="12"/>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_Toc13576 </w:instrText>
          </w:r>
          <w:r>
            <w:rPr>
              <w:rFonts w:ascii="Calibri" w:hAnsi="Calibri" w:eastAsia="Calibri" w:cs="Calibri"/>
              <w:szCs w:val="22"/>
            </w:rPr>
            <w:fldChar w:fldCharType="separate"/>
          </w:r>
          <w:r>
            <w:rPr>
              <w:rFonts w:hint="default"/>
            </w:rPr>
            <w:t xml:space="preserve">1.2.1. </w:t>
          </w:r>
          <w:r>
            <w:t>适用原则</w:t>
          </w:r>
          <w:r>
            <w:tab/>
          </w:r>
          <w:r>
            <w:fldChar w:fldCharType="begin"/>
          </w:r>
          <w:r>
            <w:instrText xml:space="preserve"> PAGEREF _Toc13576 \h </w:instrText>
          </w:r>
          <w:r>
            <w:fldChar w:fldCharType="separate"/>
          </w:r>
          <w:r>
            <w:t>4</w:t>
          </w:r>
          <w:r>
            <w:fldChar w:fldCharType="end"/>
          </w:r>
          <w:r>
            <w:rPr>
              <w:rFonts w:ascii="Calibri" w:hAnsi="Calibri" w:eastAsia="Calibri" w:cs="Calibri"/>
              <w:szCs w:val="22"/>
            </w:rPr>
            <w:fldChar w:fldCharType="end"/>
          </w:r>
        </w:p>
        <w:p w14:paraId="608DCDBA">
          <w:pPr>
            <w:pStyle w:val="12"/>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_Toc27494 </w:instrText>
          </w:r>
          <w:r>
            <w:rPr>
              <w:rFonts w:ascii="Calibri" w:hAnsi="Calibri" w:eastAsia="Calibri" w:cs="Calibri"/>
              <w:szCs w:val="22"/>
            </w:rPr>
            <w:fldChar w:fldCharType="separate"/>
          </w:r>
          <w:r>
            <w:rPr>
              <w:rFonts w:hint="default"/>
            </w:rPr>
            <w:t xml:space="preserve">1.2.2. </w:t>
          </w:r>
          <w:r>
            <w:t>以人为本的原则</w:t>
          </w:r>
          <w:r>
            <w:tab/>
          </w:r>
          <w:r>
            <w:fldChar w:fldCharType="begin"/>
          </w:r>
          <w:r>
            <w:instrText xml:space="preserve"> PAGEREF _Toc27494 \h </w:instrText>
          </w:r>
          <w:r>
            <w:fldChar w:fldCharType="separate"/>
          </w:r>
          <w:r>
            <w:t>4</w:t>
          </w:r>
          <w:r>
            <w:fldChar w:fldCharType="end"/>
          </w:r>
          <w:r>
            <w:rPr>
              <w:rFonts w:ascii="Calibri" w:hAnsi="Calibri" w:eastAsia="Calibri" w:cs="Calibri"/>
              <w:szCs w:val="22"/>
            </w:rPr>
            <w:fldChar w:fldCharType="end"/>
          </w:r>
        </w:p>
        <w:p w14:paraId="2B1EF0F1">
          <w:pPr>
            <w:pStyle w:val="12"/>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_Toc22266 </w:instrText>
          </w:r>
          <w:r>
            <w:rPr>
              <w:rFonts w:ascii="Calibri" w:hAnsi="Calibri" w:eastAsia="Calibri" w:cs="Calibri"/>
              <w:szCs w:val="22"/>
            </w:rPr>
            <w:fldChar w:fldCharType="separate"/>
          </w:r>
          <w:r>
            <w:rPr>
              <w:rFonts w:hint="default"/>
            </w:rPr>
            <w:t xml:space="preserve">1.2.3. </w:t>
          </w:r>
          <w:r>
            <w:t>权变原则</w:t>
          </w:r>
          <w:r>
            <w:tab/>
          </w:r>
          <w:r>
            <w:fldChar w:fldCharType="begin"/>
          </w:r>
          <w:r>
            <w:instrText xml:space="preserve"> PAGEREF _Toc22266 \h </w:instrText>
          </w:r>
          <w:r>
            <w:fldChar w:fldCharType="separate"/>
          </w:r>
          <w:r>
            <w:t>4</w:t>
          </w:r>
          <w:r>
            <w:fldChar w:fldCharType="end"/>
          </w:r>
          <w:r>
            <w:rPr>
              <w:rFonts w:ascii="Calibri" w:hAnsi="Calibri" w:eastAsia="Calibri" w:cs="Calibri"/>
              <w:szCs w:val="22"/>
            </w:rPr>
            <w:fldChar w:fldCharType="end"/>
          </w:r>
        </w:p>
        <w:p w14:paraId="09FA5CAF">
          <w:pPr>
            <w:pStyle w:val="14"/>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_Toc27621 </w:instrText>
          </w:r>
          <w:r>
            <w:rPr>
              <w:rFonts w:ascii="Calibri" w:hAnsi="Calibri" w:eastAsia="Calibri" w:cs="Calibri"/>
              <w:szCs w:val="22"/>
            </w:rPr>
            <w:fldChar w:fldCharType="separate"/>
          </w:r>
          <w:r>
            <w:rPr>
              <w:rFonts w:hint="default"/>
            </w:rPr>
            <w:t xml:space="preserve">2. </w:t>
          </w:r>
          <w:r>
            <w:t>储备原因分类</w:t>
          </w:r>
          <w:r>
            <w:tab/>
          </w:r>
          <w:r>
            <w:fldChar w:fldCharType="begin"/>
          </w:r>
          <w:r>
            <w:instrText xml:space="preserve"> PAGEREF _Toc27621 \h </w:instrText>
          </w:r>
          <w:r>
            <w:fldChar w:fldCharType="separate"/>
          </w:r>
          <w:r>
            <w:t>4</w:t>
          </w:r>
          <w:r>
            <w:fldChar w:fldCharType="end"/>
          </w:r>
          <w:r>
            <w:rPr>
              <w:rFonts w:ascii="Calibri" w:hAnsi="Calibri" w:eastAsia="Calibri" w:cs="Calibri"/>
              <w:szCs w:val="22"/>
            </w:rPr>
            <w:fldChar w:fldCharType="end"/>
          </w:r>
        </w:p>
        <w:p w14:paraId="2BE59B5A">
          <w:pPr>
            <w:pStyle w:val="14"/>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_Toc23323 </w:instrText>
          </w:r>
          <w:r>
            <w:rPr>
              <w:rFonts w:ascii="Calibri" w:hAnsi="Calibri" w:eastAsia="Calibri" w:cs="Calibri"/>
              <w:szCs w:val="22"/>
            </w:rPr>
            <w:fldChar w:fldCharType="separate"/>
          </w:r>
          <w:r>
            <w:rPr>
              <w:rFonts w:hint="default"/>
            </w:rPr>
            <w:t xml:space="preserve">3. </w:t>
          </w:r>
          <w:r>
            <w:t>储备人才分类</w:t>
          </w:r>
          <w:r>
            <w:tab/>
          </w:r>
          <w:r>
            <w:fldChar w:fldCharType="begin"/>
          </w:r>
          <w:r>
            <w:instrText xml:space="preserve"> PAGEREF _Toc23323 \h </w:instrText>
          </w:r>
          <w:r>
            <w:fldChar w:fldCharType="separate"/>
          </w:r>
          <w:r>
            <w:t>4</w:t>
          </w:r>
          <w:r>
            <w:fldChar w:fldCharType="end"/>
          </w:r>
          <w:r>
            <w:rPr>
              <w:rFonts w:ascii="Calibri" w:hAnsi="Calibri" w:eastAsia="Calibri" w:cs="Calibri"/>
              <w:szCs w:val="22"/>
            </w:rPr>
            <w:fldChar w:fldCharType="end"/>
          </w:r>
        </w:p>
        <w:p w14:paraId="7B88243C">
          <w:pPr>
            <w:pStyle w:val="14"/>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_Toc9415 </w:instrText>
          </w:r>
          <w:r>
            <w:rPr>
              <w:rFonts w:ascii="Calibri" w:hAnsi="Calibri" w:eastAsia="Calibri" w:cs="Calibri"/>
              <w:szCs w:val="22"/>
            </w:rPr>
            <w:fldChar w:fldCharType="separate"/>
          </w:r>
          <w:r>
            <w:rPr>
              <w:rFonts w:hint="default"/>
            </w:rPr>
            <w:t xml:space="preserve">4. </w:t>
          </w:r>
          <w:r>
            <w:t>储备人才渠道</w:t>
          </w:r>
          <w:r>
            <w:tab/>
          </w:r>
          <w:r>
            <w:fldChar w:fldCharType="begin"/>
          </w:r>
          <w:r>
            <w:instrText xml:space="preserve"> PAGEREF _Toc9415 \h </w:instrText>
          </w:r>
          <w:r>
            <w:fldChar w:fldCharType="separate"/>
          </w:r>
          <w:r>
            <w:t>5</w:t>
          </w:r>
          <w:r>
            <w:fldChar w:fldCharType="end"/>
          </w:r>
          <w:r>
            <w:rPr>
              <w:rFonts w:ascii="Calibri" w:hAnsi="Calibri" w:eastAsia="Calibri" w:cs="Calibri"/>
              <w:szCs w:val="22"/>
            </w:rPr>
            <w:fldChar w:fldCharType="end"/>
          </w:r>
        </w:p>
        <w:p w14:paraId="21A5F12B">
          <w:pPr>
            <w:pStyle w:val="15"/>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_Toc24141 </w:instrText>
          </w:r>
          <w:r>
            <w:rPr>
              <w:rFonts w:ascii="Calibri" w:hAnsi="Calibri" w:eastAsia="Calibri" w:cs="Calibri"/>
              <w:szCs w:val="22"/>
            </w:rPr>
            <w:fldChar w:fldCharType="separate"/>
          </w:r>
          <w:r>
            <w:rPr>
              <w:rFonts w:hint="default"/>
            </w:rPr>
            <w:t xml:space="preserve">4.1. </w:t>
          </w:r>
          <w:r>
            <w:t>外部招聘渠道</w:t>
          </w:r>
          <w:r>
            <w:tab/>
          </w:r>
          <w:r>
            <w:fldChar w:fldCharType="begin"/>
          </w:r>
          <w:r>
            <w:instrText xml:space="preserve"> PAGEREF _Toc24141 \h </w:instrText>
          </w:r>
          <w:r>
            <w:fldChar w:fldCharType="separate"/>
          </w:r>
          <w:r>
            <w:t>5</w:t>
          </w:r>
          <w:r>
            <w:fldChar w:fldCharType="end"/>
          </w:r>
          <w:r>
            <w:rPr>
              <w:rFonts w:ascii="Calibri" w:hAnsi="Calibri" w:eastAsia="Calibri" w:cs="Calibri"/>
              <w:szCs w:val="22"/>
            </w:rPr>
            <w:fldChar w:fldCharType="end"/>
          </w:r>
        </w:p>
        <w:p w14:paraId="2764A404">
          <w:pPr>
            <w:pStyle w:val="15"/>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_Toc6347 </w:instrText>
          </w:r>
          <w:r>
            <w:rPr>
              <w:rFonts w:ascii="Calibri" w:hAnsi="Calibri" w:eastAsia="Calibri" w:cs="Calibri"/>
              <w:szCs w:val="22"/>
            </w:rPr>
            <w:fldChar w:fldCharType="separate"/>
          </w:r>
          <w:r>
            <w:rPr>
              <w:rFonts w:hint="default"/>
            </w:rPr>
            <w:t xml:space="preserve">4.2. </w:t>
          </w:r>
          <w:r>
            <w:t>内部招聘渠道</w:t>
          </w:r>
          <w:r>
            <w:tab/>
          </w:r>
          <w:r>
            <w:fldChar w:fldCharType="begin"/>
          </w:r>
          <w:r>
            <w:instrText xml:space="preserve"> PAGEREF _Toc6347 \h </w:instrText>
          </w:r>
          <w:r>
            <w:fldChar w:fldCharType="separate"/>
          </w:r>
          <w:r>
            <w:t>5</w:t>
          </w:r>
          <w:r>
            <w:fldChar w:fldCharType="end"/>
          </w:r>
          <w:r>
            <w:rPr>
              <w:rFonts w:ascii="Calibri" w:hAnsi="Calibri" w:eastAsia="Calibri" w:cs="Calibri"/>
              <w:szCs w:val="22"/>
            </w:rPr>
            <w:fldChar w:fldCharType="end"/>
          </w:r>
        </w:p>
        <w:p w14:paraId="0EB6A36E">
          <w:pPr>
            <w:pStyle w:val="15"/>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_Toc29714 </w:instrText>
          </w:r>
          <w:r>
            <w:rPr>
              <w:rFonts w:ascii="Calibri" w:hAnsi="Calibri" w:eastAsia="Calibri" w:cs="Calibri"/>
              <w:szCs w:val="22"/>
            </w:rPr>
            <w:fldChar w:fldCharType="separate"/>
          </w:r>
          <w:r>
            <w:rPr>
              <w:rFonts w:hint="default"/>
            </w:rPr>
            <w:t xml:space="preserve">4.3. </w:t>
          </w:r>
          <w:r>
            <w:t>内部调控和培养</w:t>
          </w:r>
          <w:r>
            <w:tab/>
          </w:r>
          <w:r>
            <w:fldChar w:fldCharType="begin"/>
          </w:r>
          <w:r>
            <w:instrText xml:space="preserve"> PAGEREF _Toc29714 \h </w:instrText>
          </w:r>
          <w:r>
            <w:fldChar w:fldCharType="separate"/>
          </w:r>
          <w:r>
            <w:t>5</w:t>
          </w:r>
          <w:r>
            <w:fldChar w:fldCharType="end"/>
          </w:r>
          <w:r>
            <w:rPr>
              <w:rFonts w:ascii="Calibri" w:hAnsi="Calibri" w:eastAsia="Calibri" w:cs="Calibri"/>
              <w:szCs w:val="22"/>
            </w:rPr>
            <w:fldChar w:fldCharType="end"/>
          </w:r>
        </w:p>
        <w:p w14:paraId="002D283C">
          <w:pPr>
            <w:pStyle w:val="14"/>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_Toc16934 </w:instrText>
          </w:r>
          <w:r>
            <w:rPr>
              <w:rFonts w:ascii="Calibri" w:hAnsi="Calibri" w:eastAsia="Calibri" w:cs="Calibri"/>
              <w:szCs w:val="22"/>
            </w:rPr>
            <w:fldChar w:fldCharType="separate"/>
          </w:r>
          <w:r>
            <w:rPr>
              <w:rFonts w:hint="default"/>
            </w:rPr>
            <w:t xml:space="preserve">5. </w:t>
          </w:r>
          <w:r>
            <w:t>储备人才的培养与考核</w:t>
          </w:r>
          <w:r>
            <w:tab/>
          </w:r>
          <w:r>
            <w:fldChar w:fldCharType="begin"/>
          </w:r>
          <w:r>
            <w:instrText xml:space="preserve"> PAGEREF _Toc16934 \h </w:instrText>
          </w:r>
          <w:r>
            <w:fldChar w:fldCharType="separate"/>
          </w:r>
          <w:r>
            <w:t>5</w:t>
          </w:r>
          <w:r>
            <w:fldChar w:fldCharType="end"/>
          </w:r>
          <w:r>
            <w:rPr>
              <w:rFonts w:ascii="Calibri" w:hAnsi="Calibri" w:eastAsia="Calibri" w:cs="Calibri"/>
              <w:szCs w:val="22"/>
            </w:rPr>
            <w:fldChar w:fldCharType="end"/>
          </w:r>
        </w:p>
        <w:p w14:paraId="7B54B648">
          <w:pPr>
            <w:pStyle w:val="15"/>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_Toc30625 </w:instrText>
          </w:r>
          <w:r>
            <w:rPr>
              <w:rFonts w:ascii="Calibri" w:hAnsi="Calibri" w:eastAsia="Calibri" w:cs="Calibri"/>
              <w:szCs w:val="22"/>
            </w:rPr>
            <w:fldChar w:fldCharType="separate"/>
          </w:r>
          <w:r>
            <w:rPr>
              <w:rFonts w:hint="default"/>
            </w:rPr>
            <w:t xml:space="preserve">5.1. </w:t>
          </w:r>
          <w:r>
            <w:t>建立长效的培训机制</w:t>
          </w:r>
          <w:r>
            <w:tab/>
          </w:r>
          <w:r>
            <w:fldChar w:fldCharType="begin"/>
          </w:r>
          <w:r>
            <w:instrText xml:space="preserve"> PAGEREF _Toc30625 \h </w:instrText>
          </w:r>
          <w:r>
            <w:fldChar w:fldCharType="separate"/>
          </w:r>
          <w:r>
            <w:t>5</w:t>
          </w:r>
          <w:r>
            <w:fldChar w:fldCharType="end"/>
          </w:r>
          <w:r>
            <w:rPr>
              <w:rFonts w:ascii="Calibri" w:hAnsi="Calibri" w:eastAsia="Calibri" w:cs="Calibri"/>
              <w:szCs w:val="22"/>
            </w:rPr>
            <w:fldChar w:fldCharType="end"/>
          </w:r>
        </w:p>
        <w:p w14:paraId="14B11441">
          <w:pPr>
            <w:pStyle w:val="15"/>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_Toc31169 </w:instrText>
          </w:r>
          <w:r>
            <w:rPr>
              <w:rFonts w:ascii="Calibri" w:hAnsi="Calibri" w:eastAsia="Calibri" w:cs="Calibri"/>
              <w:szCs w:val="22"/>
            </w:rPr>
            <w:fldChar w:fldCharType="separate"/>
          </w:r>
          <w:r>
            <w:rPr>
              <w:rFonts w:hint="default"/>
            </w:rPr>
            <w:t xml:space="preserve">5.2. </w:t>
          </w:r>
          <w:r>
            <w:t>利用社会培训资源对储备人才能力提升作用</w:t>
          </w:r>
          <w:r>
            <w:tab/>
          </w:r>
          <w:r>
            <w:fldChar w:fldCharType="begin"/>
          </w:r>
          <w:r>
            <w:instrText xml:space="preserve"> PAGEREF _Toc31169 \h </w:instrText>
          </w:r>
          <w:r>
            <w:fldChar w:fldCharType="separate"/>
          </w:r>
          <w:r>
            <w:t>5</w:t>
          </w:r>
          <w:r>
            <w:fldChar w:fldCharType="end"/>
          </w:r>
          <w:r>
            <w:rPr>
              <w:rFonts w:ascii="Calibri" w:hAnsi="Calibri" w:eastAsia="Calibri" w:cs="Calibri"/>
              <w:szCs w:val="22"/>
            </w:rPr>
            <w:fldChar w:fldCharType="end"/>
          </w:r>
        </w:p>
        <w:p w14:paraId="6589D254">
          <w:pPr>
            <w:pStyle w:val="14"/>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_Toc18074 </w:instrText>
          </w:r>
          <w:r>
            <w:rPr>
              <w:rFonts w:ascii="Calibri" w:hAnsi="Calibri" w:eastAsia="Calibri" w:cs="Calibri"/>
              <w:szCs w:val="22"/>
            </w:rPr>
            <w:fldChar w:fldCharType="separate"/>
          </w:r>
          <w:r>
            <w:rPr>
              <w:rFonts w:hint="default"/>
            </w:rPr>
            <w:t xml:space="preserve">6. </w:t>
          </w:r>
          <w:r>
            <w:t>储备人才的激励</w:t>
          </w:r>
          <w:r>
            <w:tab/>
          </w:r>
          <w:r>
            <w:fldChar w:fldCharType="begin"/>
          </w:r>
          <w:r>
            <w:instrText xml:space="preserve"> PAGEREF _Toc18074 \h </w:instrText>
          </w:r>
          <w:r>
            <w:fldChar w:fldCharType="separate"/>
          </w:r>
          <w:r>
            <w:t>6</w:t>
          </w:r>
          <w:r>
            <w:fldChar w:fldCharType="end"/>
          </w:r>
          <w:r>
            <w:rPr>
              <w:rFonts w:ascii="Calibri" w:hAnsi="Calibri" w:eastAsia="Calibri" w:cs="Calibri"/>
              <w:szCs w:val="22"/>
            </w:rPr>
            <w:fldChar w:fldCharType="end"/>
          </w:r>
        </w:p>
        <w:p w14:paraId="4E6E9322">
          <w:pPr>
            <w:pStyle w:val="14"/>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_Toc30098 </w:instrText>
          </w:r>
          <w:r>
            <w:rPr>
              <w:rFonts w:ascii="Calibri" w:hAnsi="Calibri" w:eastAsia="Calibri" w:cs="Calibri"/>
              <w:szCs w:val="22"/>
            </w:rPr>
            <w:fldChar w:fldCharType="separate"/>
          </w:r>
          <w:r>
            <w:rPr>
              <w:rFonts w:hint="default"/>
            </w:rPr>
            <w:t xml:space="preserve">7. </w:t>
          </w:r>
          <w:r>
            <w:t>流程衡量指标</w:t>
          </w:r>
          <w:r>
            <w:tab/>
          </w:r>
          <w:r>
            <w:fldChar w:fldCharType="begin"/>
          </w:r>
          <w:r>
            <w:instrText xml:space="preserve"> PAGEREF _Toc30098 \h </w:instrText>
          </w:r>
          <w:r>
            <w:fldChar w:fldCharType="separate"/>
          </w:r>
          <w:r>
            <w:t>6</w:t>
          </w:r>
          <w:r>
            <w:fldChar w:fldCharType="end"/>
          </w:r>
          <w:r>
            <w:rPr>
              <w:rFonts w:ascii="Calibri" w:hAnsi="Calibri" w:eastAsia="Calibri" w:cs="Calibri"/>
              <w:szCs w:val="22"/>
            </w:rPr>
            <w:fldChar w:fldCharType="end"/>
          </w:r>
        </w:p>
        <w:p w14:paraId="0623D8B8">
          <w:pPr>
            <w:spacing w:line="219" w:lineRule="auto"/>
            <w:rPr>
              <w:rFonts w:ascii="Calibri" w:hAnsi="Calibri" w:eastAsia="Calibri" w:cs="Calibri"/>
              <w:snapToGrid w:val="0"/>
              <w:color w:val="000000"/>
              <w:kern w:val="0"/>
              <w:sz w:val="21"/>
              <w:szCs w:val="22"/>
              <w:lang w:val="en-US" w:eastAsia="en-US" w:bidi="ar-SA"/>
            </w:rPr>
          </w:pPr>
          <w:r>
            <w:rPr>
              <w:rFonts w:ascii="Calibri" w:hAnsi="Calibri" w:eastAsia="Calibri" w:cs="Calibri"/>
              <w:szCs w:val="22"/>
            </w:rPr>
            <w:fldChar w:fldCharType="end"/>
          </w:r>
        </w:p>
      </w:sdtContent>
    </w:sdt>
    <w:p w14:paraId="290A1088">
      <w:pPr>
        <w:spacing w:line="219" w:lineRule="auto"/>
        <w:rPr>
          <w:rFonts w:ascii="Calibri" w:hAnsi="Calibri" w:eastAsia="Calibri" w:cs="Calibri"/>
          <w:snapToGrid w:val="0"/>
          <w:color w:val="000000"/>
          <w:kern w:val="0"/>
          <w:sz w:val="21"/>
          <w:szCs w:val="22"/>
          <w:lang w:val="en-US" w:eastAsia="en-US" w:bidi="ar-SA"/>
        </w:rPr>
        <w:sectPr>
          <w:footerReference r:id="rId6" w:type="default"/>
          <w:pgSz w:w="11906" w:h="16839"/>
          <w:pgMar w:top="1431" w:right="1785" w:bottom="1375" w:left="1785" w:header="0" w:footer="1211" w:gutter="0"/>
          <w:cols w:space="720" w:num="1"/>
        </w:sectPr>
      </w:pPr>
    </w:p>
    <w:p w14:paraId="0E3BFE6C">
      <w:pPr>
        <w:pStyle w:val="20"/>
        <w:bidi w:val="0"/>
      </w:pPr>
      <w:bookmarkStart w:id="2" w:name="bookmark1"/>
      <w:bookmarkEnd w:id="2"/>
      <w:bookmarkStart w:id="3" w:name="_Toc20925"/>
      <w:r>
        <w:t>1.简介</w:t>
      </w:r>
      <w:bookmarkEnd w:id="3"/>
    </w:p>
    <w:p w14:paraId="59E289C5">
      <w:pPr>
        <w:pStyle w:val="21"/>
        <w:bidi w:val="0"/>
      </w:pPr>
      <w:bookmarkStart w:id="4" w:name="bookmark1"/>
      <w:bookmarkEnd w:id="4"/>
      <w:bookmarkStart w:id="5" w:name="_Toc424"/>
      <w:r>
        <w:t>目的</w:t>
      </w:r>
      <w:bookmarkEnd w:id="5"/>
    </w:p>
    <w:p w14:paraId="17986A1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jc w:val="left"/>
        <w:textAlignment w:val="baseline"/>
        <w:rPr>
          <w:rFonts w:ascii="宋体" w:hAnsi="宋体" w:eastAsia="宋体" w:cs="宋体"/>
          <w:sz w:val="21"/>
          <w:szCs w:val="21"/>
        </w:rPr>
      </w:pPr>
      <w:r>
        <w:rPr>
          <w:rFonts w:ascii="宋体" w:hAnsi="宋体" w:eastAsia="宋体" w:cs="宋体"/>
          <w:sz w:val="21"/>
          <w:szCs w:val="21"/>
        </w:rPr>
        <w:t>人力资源储备是为公司发展所需的人力提供后备保障，是公</w:t>
      </w:r>
      <w:r>
        <w:rPr>
          <w:rFonts w:ascii="宋体" w:hAnsi="宋体" w:eastAsia="宋体" w:cs="宋体"/>
          <w:spacing w:val="-1"/>
          <w:sz w:val="21"/>
          <w:szCs w:val="21"/>
        </w:rPr>
        <w:t>司资源管理的核心内容之</w:t>
      </w:r>
      <w:r>
        <w:rPr>
          <w:rFonts w:ascii="宋体" w:hAnsi="宋体" w:eastAsia="宋体" w:cs="宋体"/>
          <w:sz w:val="21"/>
          <w:szCs w:val="21"/>
        </w:rPr>
        <w:t>一。公司在整体战略框架基础上</w:t>
      </w:r>
      <w:r>
        <w:rPr>
          <w:rFonts w:ascii="Calibri" w:hAnsi="Calibri" w:eastAsia="Calibri" w:cs="Calibri"/>
          <w:sz w:val="21"/>
          <w:szCs w:val="21"/>
        </w:rPr>
        <w:t>,</w:t>
      </w:r>
      <w:r>
        <w:rPr>
          <w:rFonts w:ascii="宋体" w:hAnsi="宋体" w:eastAsia="宋体" w:cs="宋体"/>
          <w:sz w:val="21"/>
          <w:szCs w:val="21"/>
        </w:rPr>
        <w:t>事先做好各职位候选人的规划、招聘、</w:t>
      </w:r>
      <w:r>
        <w:rPr>
          <w:rFonts w:ascii="宋体" w:hAnsi="宋体" w:eastAsia="宋体" w:cs="宋体"/>
          <w:spacing w:val="-1"/>
          <w:sz w:val="21"/>
          <w:szCs w:val="21"/>
        </w:rPr>
        <w:t>培训、晋升和考核</w:t>
      </w:r>
      <w:r>
        <w:rPr>
          <w:rFonts w:ascii="Calibri" w:hAnsi="Calibri" w:eastAsia="Calibri" w:cs="Calibri"/>
          <w:spacing w:val="-1"/>
          <w:sz w:val="21"/>
          <w:szCs w:val="21"/>
        </w:rPr>
        <w:t>,</w:t>
      </w:r>
      <w:r>
        <w:rPr>
          <w:rFonts w:ascii="宋体" w:hAnsi="宋体" w:eastAsia="宋体" w:cs="宋体"/>
          <w:sz w:val="21"/>
          <w:szCs w:val="21"/>
        </w:rPr>
        <w:t>并辅于相关的制度流程和服务管理等全局思考和预见性的谋划</w:t>
      </w:r>
      <w:r>
        <w:rPr>
          <w:rFonts w:ascii="Calibri" w:hAnsi="Calibri" w:eastAsia="Calibri" w:cs="Calibri"/>
          <w:sz w:val="21"/>
          <w:szCs w:val="21"/>
        </w:rPr>
        <w:t>,</w:t>
      </w:r>
      <w:r>
        <w:rPr>
          <w:rFonts w:ascii="宋体" w:hAnsi="宋体" w:eastAsia="宋体" w:cs="宋体"/>
          <w:sz w:val="21"/>
          <w:szCs w:val="21"/>
        </w:rPr>
        <w:t>实现科</w:t>
      </w:r>
      <w:r>
        <w:rPr>
          <w:rFonts w:ascii="宋体" w:hAnsi="宋体" w:eastAsia="宋体" w:cs="宋体"/>
          <w:spacing w:val="-1"/>
          <w:sz w:val="21"/>
          <w:szCs w:val="21"/>
        </w:rPr>
        <w:t>学的留才、育才、用才观念，使公司人力资源战略与公司的发展战略同步、稳定、协</w:t>
      </w:r>
      <w:r>
        <w:rPr>
          <w:rFonts w:ascii="宋体" w:hAnsi="宋体" w:eastAsia="宋体" w:cs="宋体"/>
          <w:spacing w:val="-2"/>
          <w:sz w:val="21"/>
          <w:szCs w:val="21"/>
        </w:rPr>
        <w:t>调的运作。</w:t>
      </w:r>
    </w:p>
    <w:p w14:paraId="160D1781">
      <w:pPr>
        <w:pStyle w:val="21"/>
        <w:bidi w:val="0"/>
      </w:pPr>
      <w:bookmarkStart w:id="6" w:name="bookmark1"/>
      <w:bookmarkEnd w:id="6"/>
      <w:bookmarkStart w:id="7" w:name="_Toc22916"/>
      <w:r>
        <w:t>原则</w:t>
      </w:r>
      <w:bookmarkEnd w:id="7"/>
    </w:p>
    <w:p w14:paraId="4DB7F067">
      <w:pPr>
        <w:pStyle w:val="22"/>
        <w:bidi w:val="0"/>
      </w:pPr>
      <w:bookmarkStart w:id="8" w:name="_Toc13576"/>
      <w:r>
        <w:t>适用原则</w:t>
      </w:r>
      <w:bookmarkEnd w:id="8"/>
    </w:p>
    <w:p w14:paraId="6629BC9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jc w:val="left"/>
        <w:textAlignment w:val="baseline"/>
        <w:rPr>
          <w:rFonts w:ascii="宋体" w:hAnsi="宋体" w:eastAsia="宋体" w:cs="宋体"/>
          <w:sz w:val="21"/>
          <w:szCs w:val="21"/>
        </w:rPr>
      </w:pPr>
      <w:r>
        <w:rPr>
          <w:rFonts w:ascii="宋体" w:hAnsi="宋体" w:eastAsia="宋体" w:cs="宋体"/>
          <w:sz w:val="21"/>
          <w:szCs w:val="21"/>
        </w:rPr>
        <w:t>公司实施人力资源储备的主要目的是避免出现人才缺位，并满足公司战略发展需求。而保持员工的稳定,公司基于各阶段的业务规模、对人才的实际要求、资源条件等。</w:t>
      </w:r>
    </w:p>
    <w:p w14:paraId="56C3AFB5">
      <w:pPr>
        <w:pStyle w:val="22"/>
        <w:bidi w:val="0"/>
      </w:pPr>
      <w:bookmarkStart w:id="9" w:name="_Toc27494"/>
      <w:r>
        <w:t>以人为本的原则</w:t>
      </w:r>
      <w:bookmarkEnd w:id="9"/>
    </w:p>
    <w:p w14:paraId="2B363DC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jc w:val="left"/>
        <w:textAlignment w:val="baseline"/>
        <w:rPr>
          <w:rFonts w:ascii="宋体" w:hAnsi="宋体" w:eastAsia="宋体" w:cs="宋体"/>
          <w:sz w:val="21"/>
          <w:szCs w:val="21"/>
        </w:rPr>
      </w:pPr>
      <w:r>
        <w:rPr>
          <w:rFonts w:ascii="宋体" w:hAnsi="宋体" w:eastAsia="宋体" w:cs="宋体"/>
          <w:sz w:val="21"/>
          <w:szCs w:val="21"/>
        </w:rPr>
        <w:t>建立与新老员工之间的诚实信用关系，以员工的实际利益为中心，将公司的实际情况和员工的未来发展晋升规划等方面内容全部向员工交待清楚，使之有较好的心理准备或重新进行职业选择，这样才能使员工从内心深处树立起自身发展与公司的发展血肉相连的关系，忠诚于企业。</w:t>
      </w:r>
    </w:p>
    <w:p w14:paraId="1ADD18DA">
      <w:pPr>
        <w:pStyle w:val="22"/>
        <w:bidi w:val="0"/>
      </w:pPr>
      <w:r>
        <w:t xml:space="preserve"> </w:t>
      </w:r>
      <w:bookmarkStart w:id="10" w:name="_Toc22266"/>
      <w:r>
        <w:t>权变原则</w:t>
      </w:r>
      <w:bookmarkEnd w:id="10"/>
    </w:p>
    <w:p w14:paraId="276562B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jc w:val="left"/>
        <w:textAlignment w:val="baseline"/>
        <w:rPr>
          <w:rFonts w:ascii="宋体" w:hAnsi="宋体" w:eastAsia="宋体" w:cs="宋体"/>
          <w:sz w:val="21"/>
          <w:szCs w:val="21"/>
        </w:rPr>
      </w:pPr>
      <w:r>
        <w:rPr>
          <w:rFonts w:ascii="宋体" w:hAnsi="宋体" w:eastAsia="宋体" w:cs="宋体"/>
          <w:sz w:val="21"/>
          <w:szCs w:val="21"/>
        </w:rPr>
        <w:t>将此原则运用于公司的发展战略和内部员工调整。因为公司的经营环境处在不断的变化之中，相应的人才储备方向和人力资源要求层次、知识结构、工作经验等也不能脱离具体的环境，需把握环境变化和公司的实际情况。</w:t>
      </w:r>
    </w:p>
    <w:p w14:paraId="6947A70A">
      <w:pPr>
        <w:pStyle w:val="20"/>
        <w:bidi w:val="0"/>
      </w:pPr>
      <w:bookmarkStart w:id="11" w:name="bookmark1"/>
      <w:bookmarkEnd w:id="11"/>
      <w:bookmarkStart w:id="12" w:name="_Toc27621"/>
      <w:r>
        <w:t>储备原因分类</w:t>
      </w:r>
      <w:bookmarkEnd w:id="12"/>
    </w:p>
    <w:p w14:paraId="282CF568">
      <w:pPr>
        <w:numPr>
          <w:ilvl w:val="0"/>
          <w:numId w:val="2"/>
        </w:numPr>
        <w:spacing w:before="86" w:line="220" w:lineRule="auto"/>
        <w:ind w:left="425" w:leftChars="0" w:hanging="425" w:firstLineChars="0"/>
        <w:rPr>
          <w:rFonts w:ascii="宋体" w:hAnsi="宋体" w:eastAsia="宋体" w:cs="宋体"/>
          <w:sz w:val="21"/>
          <w:szCs w:val="21"/>
        </w:rPr>
      </w:pPr>
      <w:r>
        <w:rPr>
          <w:rFonts w:ascii="宋体" w:hAnsi="宋体" w:eastAsia="宋体" w:cs="宋体"/>
          <w:spacing w:val="-1"/>
          <w:sz w:val="21"/>
          <w:szCs w:val="21"/>
        </w:rPr>
        <w:t>常规储备：根据年度岗位员工离职率等指标进行的储备</w:t>
      </w:r>
    </w:p>
    <w:p w14:paraId="1B1662C4">
      <w:pPr>
        <w:numPr>
          <w:ilvl w:val="0"/>
          <w:numId w:val="2"/>
        </w:numPr>
        <w:spacing w:before="61" w:line="220" w:lineRule="auto"/>
        <w:ind w:left="425" w:leftChars="0" w:hanging="425" w:firstLineChars="0"/>
        <w:rPr>
          <w:rFonts w:ascii="宋体" w:hAnsi="宋体" w:eastAsia="宋体" w:cs="宋体"/>
          <w:sz w:val="21"/>
          <w:szCs w:val="21"/>
        </w:rPr>
      </w:pPr>
      <w:r>
        <w:rPr>
          <w:rFonts w:ascii="宋体" w:hAnsi="宋体" w:eastAsia="宋体" w:cs="宋体"/>
          <w:spacing w:val="-1"/>
          <w:sz w:val="21"/>
          <w:szCs w:val="21"/>
        </w:rPr>
        <w:t>业务发展储备：根据公司年度业务发展预测进行的储备</w:t>
      </w:r>
    </w:p>
    <w:p w14:paraId="6D07F835">
      <w:pPr>
        <w:numPr>
          <w:ilvl w:val="0"/>
          <w:numId w:val="2"/>
        </w:numPr>
        <w:spacing w:before="62" w:line="220" w:lineRule="auto"/>
        <w:ind w:left="425" w:leftChars="0" w:hanging="425" w:firstLineChars="0"/>
        <w:rPr>
          <w:rFonts w:ascii="宋体" w:hAnsi="宋体" w:eastAsia="宋体" w:cs="宋体"/>
          <w:sz w:val="21"/>
          <w:szCs w:val="21"/>
        </w:rPr>
      </w:pPr>
      <w:r>
        <w:rPr>
          <w:rFonts w:ascii="宋体" w:hAnsi="宋体" w:eastAsia="宋体" w:cs="宋体"/>
          <w:sz w:val="21"/>
          <w:szCs w:val="21"/>
        </w:rPr>
        <w:t>新业务新产品储备：因为服务质量升级、新产</w:t>
      </w:r>
      <w:r>
        <w:rPr>
          <w:rFonts w:ascii="宋体" w:hAnsi="宋体" w:eastAsia="宋体" w:cs="宋体"/>
          <w:spacing w:val="-1"/>
          <w:sz w:val="21"/>
          <w:szCs w:val="21"/>
        </w:rPr>
        <w:t>品、变更等进行的储备</w:t>
      </w:r>
    </w:p>
    <w:p w14:paraId="7493F09D">
      <w:pPr>
        <w:pStyle w:val="20"/>
        <w:bidi w:val="0"/>
      </w:pPr>
      <w:bookmarkStart w:id="13" w:name="bookmark1"/>
      <w:bookmarkEnd w:id="13"/>
      <w:bookmarkStart w:id="14" w:name="_Toc23323"/>
      <w:r>
        <w:t>储备人才分类</w:t>
      </w:r>
      <w:bookmarkEnd w:id="14"/>
    </w:p>
    <w:p w14:paraId="72CD4301">
      <w:pPr>
        <w:numPr>
          <w:ilvl w:val="0"/>
          <w:numId w:val="3"/>
        </w:numPr>
        <w:spacing w:before="62" w:line="220" w:lineRule="auto"/>
        <w:ind w:left="425" w:leftChars="0" w:hanging="425" w:firstLineChars="0"/>
        <w:rPr>
          <w:rFonts w:ascii="宋体" w:hAnsi="宋体" w:eastAsia="宋体" w:cs="宋体"/>
          <w:sz w:val="21"/>
          <w:szCs w:val="21"/>
        </w:rPr>
      </w:pPr>
      <w:r>
        <w:rPr>
          <w:rFonts w:ascii="宋体" w:hAnsi="宋体" w:eastAsia="宋体" w:cs="宋体"/>
          <w:sz w:val="21"/>
          <w:szCs w:val="21"/>
        </w:rPr>
        <w:t>一般岗位人才储备：职位为一般岗位。</w:t>
      </w:r>
    </w:p>
    <w:p w14:paraId="3F647F09">
      <w:pPr>
        <w:numPr>
          <w:ilvl w:val="0"/>
          <w:numId w:val="3"/>
        </w:numPr>
        <w:spacing w:before="62" w:line="220" w:lineRule="auto"/>
        <w:ind w:left="425" w:leftChars="0" w:hanging="425" w:firstLineChars="0"/>
        <w:rPr>
          <w:rFonts w:ascii="宋体" w:hAnsi="宋体" w:eastAsia="宋体" w:cs="宋体"/>
          <w:sz w:val="21"/>
          <w:szCs w:val="21"/>
        </w:rPr>
      </w:pPr>
      <w:r>
        <w:rPr>
          <w:rFonts w:ascii="宋体" w:hAnsi="宋体" w:eastAsia="宋体" w:cs="宋体"/>
          <w:sz w:val="21"/>
          <w:szCs w:val="21"/>
        </w:rPr>
        <w:t>关键岗位人才储备：职位为重要岗位员工。</w:t>
      </w:r>
    </w:p>
    <w:p w14:paraId="00CABDA7">
      <w:pPr>
        <w:pStyle w:val="20"/>
        <w:bidi w:val="0"/>
      </w:pPr>
      <w:bookmarkStart w:id="15" w:name="bookmark1"/>
      <w:bookmarkEnd w:id="15"/>
      <w:bookmarkStart w:id="16" w:name="_Toc9415"/>
      <w:r>
        <w:t>储备人才渠道</w:t>
      </w:r>
      <w:bookmarkEnd w:id="16"/>
    </w:p>
    <w:p w14:paraId="362A4A0C">
      <w:pPr>
        <w:pStyle w:val="21"/>
        <w:bidi w:val="0"/>
      </w:pPr>
      <w:bookmarkStart w:id="17" w:name="bookmark1"/>
      <w:bookmarkEnd w:id="17"/>
      <w:bookmarkStart w:id="18" w:name="_Toc24141"/>
      <w:r>
        <w:t>外部招聘渠道</w:t>
      </w:r>
      <w:bookmarkEnd w:id="18"/>
    </w:p>
    <w:p w14:paraId="51AFE6C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jc w:val="left"/>
        <w:textAlignment w:val="baseline"/>
        <w:rPr>
          <w:rFonts w:ascii="宋体" w:hAnsi="宋体" w:eastAsia="宋体" w:cs="宋体"/>
          <w:sz w:val="21"/>
          <w:szCs w:val="21"/>
        </w:rPr>
      </w:pPr>
      <w:r>
        <w:rPr>
          <w:rFonts w:ascii="宋体" w:hAnsi="宋体" w:eastAsia="宋体" w:cs="宋体"/>
          <w:sz w:val="21"/>
          <w:szCs w:val="21"/>
        </w:rPr>
        <w:t>可利用互联网络、人才市场、人才交流会、职介机构、广告媒体、校园招聘、猎头公司等招聘渠道发布招聘信息，收集应聘者信息</w:t>
      </w:r>
    </w:p>
    <w:p w14:paraId="4B7A9FC3">
      <w:pPr>
        <w:pStyle w:val="21"/>
        <w:bidi w:val="0"/>
      </w:pPr>
      <w:bookmarkStart w:id="19" w:name="bookmark1"/>
      <w:bookmarkEnd w:id="19"/>
      <w:bookmarkStart w:id="20" w:name="_Toc6347"/>
      <w:r>
        <w:t>内部招聘渠道</w:t>
      </w:r>
      <w:bookmarkEnd w:id="20"/>
    </w:p>
    <w:p w14:paraId="7345E70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jc w:val="left"/>
        <w:textAlignment w:val="baseline"/>
        <w:rPr>
          <w:rFonts w:ascii="宋体" w:hAnsi="宋体" w:eastAsia="宋体" w:cs="宋体"/>
          <w:sz w:val="21"/>
          <w:szCs w:val="21"/>
        </w:rPr>
      </w:pPr>
      <w:r>
        <w:rPr>
          <w:rFonts w:ascii="宋体" w:hAnsi="宋体" w:eastAsia="宋体" w:cs="宋体"/>
          <w:sz w:val="21"/>
          <w:szCs w:val="21"/>
        </w:rPr>
        <w:t>鼓励和提倡员工向公司推荐各类优秀人才。如被推荐人才通过试用，则给予推荐员工相应奖励，具体实施办法参照《内部人才推荐奖励管理制度》。</w:t>
      </w:r>
    </w:p>
    <w:p w14:paraId="3FC3C0E9">
      <w:pPr>
        <w:pStyle w:val="21"/>
        <w:bidi w:val="0"/>
      </w:pPr>
      <w:bookmarkStart w:id="21" w:name="_Toc29714"/>
      <w:r>
        <w:t>内部调控和培养</w:t>
      </w:r>
      <w:bookmarkEnd w:id="21"/>
    </w:p>
    <w:p w14:paraId="33B08E5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jc w:val="left"/>
        <w:textAlignment w:val="baseline"/>
        <w:rPr>
          <w:rFonts w:ascii="宋体" w:hAnsi="宋体" w:eastAsia="宋体" w:cs="宋体"/>
          <w:sz w:val="21"/>
          <w:szCs w:val="21"/>
        </w:rPr>
      </w:pPr>
      <w:r>
        <w:rPr>
          <w:rFonts w:ascii="宋体" w:hAnsi="宋体" w:eastAsia="宋体" w:cs="宋体"/>
          <w:sz w:val="21"/>
          <w:szCs w:val="21"/>
        </w:rPr>
        <w:t>结合公司业务发展需求和员工个人职业发展生涯。调整人员储备结构：针对目前存在各业务部门在人员分工结构上分布不适应公司业务和技术发展需求的、或因员工个人职业生涯的与现任岗位不一致等现实问题，阶段性调控，坚持应急业务项目人员需求或目前缺编的岗位优先储备；产品研发岗位、公司中长期业务岗位和培养周期长期储备和有目标培养；对即将开展的业务提前储备或培养。</w:t>
      </w:r>
    </w:p>
    <w:p w14:paraId="16241869">
      <w:pPr>
        <w:pStyle w:val="20"/>
        <w:bidi w:val="0"/>
      </w:pPr>
      <w:bookmarkStart w:id="22" w:name="_Toc16934"/>
      <w:r>
        <w:t>储备人才的培养与考核</w:t>
      </w:r>
      <w:bookmarkEnd w:id="22"/>
    </w:p>
    <w:p w14:paraId="0F17DF93">
      <w:pPr>
        <w:pStyle w:val="21"/>
        <w:bidi w:val="0"/>
      </w:pPr>
      <w:bookmarkStart w:id="23" w:name="bookmark16"/>
      <w:bookmarkEnd w:id="23"/>
      <w:bookmarkStart w:id="24" w:name="_Toc30625"/>
      <w:r>
        <w:t>建立长效的培训机制</w:t>
      </w:r>
      <w:bookmarkEnd w:id="24"/>
    </w:p>
    <w:p w14:paraId="1277809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jc w:val="left"/>
        <w:textAlignment w:val="baseline"/>
        <w:rPr>
          <w:rFonts w:ascii="宋体" w:hAnsi="宋体" w:eastAsia="宋体" w:cs="宋体"/>
          <w:sz w:val="21"/>
          <w:szCs w:val="21"/>
        </w:rPr>
      </w:pPr>
      <w:r>
        <w:rPr>
          <w:rFonts w:ascii="宋体" w:hAnsi="宋体" w:eastAsia="宋体" w:cs="宋体"/>
          <w:sz w:val="21"/>
          <w:szCs w:val="21"/>
        </w:rPr>
        <w:t>建立根据各岗位的任职能力要求，搭建岗位课程库，并对员工进行岗位任职测评，根据测评结果制定培训计划</w:t>
      </w:r>
      <w:bookmarkStart w:id="28" w:name="_GoBack"/>
      <w:bookmarkEnd w:id="28"/>
      <w:r>
        <w:rPr>
          <w:rFonts w:ascii="宋体" w:hAnsi="宋体" w:eastAsia="宋体" w:cs="宋体"/>
          <w:sz w:val="21"/>
          <w:szCs w:val="21"/>
        </w:rPr>
        <w:t>，根据培训内容的不同可选择换岗培训、交叉培训、直接主管（师傅）负责在岗业务培训等方式。</w:t>
      </w:r>
    </w:p>
    <w:p w14:paraId="46538C27">
      <w:pPr>
        <w:pStyle w:val="21"/>
        <w:bidi w:val="0"/>
      </w:pPr>
      <w:bookmarkStart w:id="25" w:name="_Toc31169"/>
      <w:r>
        <w:t>利用社会培训资源对储备人才能力提升作用</w:t>
      </w:r>
      <w:bookmarkEnd w:id="25"/>
    </w:p>
    <w:p w14:paraId="6649191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jc w:val="left"/>
        <w:textAlignment w:val="baseline"/>
      </w:pPr>
      <w:r>
        <w:rPr>
          <w:rFonts w:ascii="宋体" w:hAnsi="宋体" w:eastAsia="宋体" w:cs="宋体"/>
          <w:sz w:val="21"/>
          <w:szCs w:val="21"/>
        </w:rPr>
        <w:t>鼓励和推荐储备人才中优秀员工参加外部培训机构组织的培训，包括工作相关的职业资格认证、管理类、专业类课程，提升其综合能力。</w:t>
      </w:r>
      <w:r>
        <w:t>岗位绩效考核与任职能力测评</w:t>
      </w:r>
    </w:p>
    <w:p w14:paraId="47989C7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jc w:val="left"/>
        <w:textAlignment w:val="baseline"/>
        <w:rPr>
          <w:rFonts w:ascii="宋体" w:hAnsi="宋体" w:eastAsia="宋体" w:cs="宋体"/>
          <w:sz w:val="21"/>
          <w:szCs w:val="21"/>
        </w:rPr>
      </w:pPr>
      <w:r>
        <w:rPr>
          <w:rFonts w:ascii="宋体" w:hAnsi="宋体" w:eastAsia="宋体" w:cs="宋体"/>
          <w:sz w:val="21"/>
          <w:szCs w:val="21"/>
        </w:rPr>
        <w:t>根据岗位考核 KPI 定期对员工的工作绩效进行考核，基于能力评价维度对员工进行岗位任职能力测评。</w:t>
      </w:r>
    </w:p>
    <w:p w14:paraId="06DB2F7B">
      <w:pPr>
        <w:pStyle w:val="20"/>
        <w:bidi w:val="0"/>
      </w:pPr>
      <w:bookmarkStart w:id="26" w:name="_Toc18074"/>
      <w:r>
        <w:t>储备人才的激励</w:t>
      </w:r>
      <w:bookmarkEnd w:id="26"/>
    </w:p>
    <w:p w14:paraId="20BA14E4">
      <w:pPr>
        <w:numPr>
          <w:ilvl w:val="0"/>
          <w:numId w:val="4"/>
        </w:numPr>
        <w:spacing w:before="62" w:line="220" w:lineRule="auto"/>
        <w:ind w:left="425" w:leftChars="0" w:hanging="425" w:firstLineChars="0"/>
        <w:rPr>
          <w:rFonts w:ascii="宋体" w:hAnsi="宋体" w:eastAsia="宋体" w:cs="宋体"/>
          <w:sz w:val="21"/>
          <w:szCs w:val="21"/>
        </w:rPr>
      </w:pPr>
      <w:r>
        <w:rPr>
          <w:rFonts w:ascii="宋体" w:hAnsi="宋体" w:eastAsia="宋体" w:cs="宋体"/>
          <w:sz w:val="21"/>
          <w:szCs w:val="21"/>
        </w:rPr>
        <w:t>激励与学费补助：公司支持员工参加和岗位相关的外部专业培训以及职业资格认证，对于通过考试或者认证的员工给予一定的奖励，或者学费补助。</w:t>
      </w:r>
    </w:p>
    <w:p w14:paraId="13F18F3C">
      <w:pPr>
        <w:numPr>
          <w:ilvl w:val="0"/>
          <w:numId w:val="4"/>
        </w:numPr>
        <w:spacing w:before="62" w:line="220" w:lineRule="auto"/>
        <w:ind w:left="425" w:leftChars="0" w:hanging="425" w:firstLineChars="0"/>
        <w:rPr>
          <w:rFonts w:ascii="宋体" w:hAnsi="宋体" w:eastAsia="宋体" w:cs="宋体"/>
          <w:sz w:val="21"/>
          <w:szCs w:val="21"/>
        </w:rPr>
      </w:pPr>
      <w:r>
        <w:rPr>
          <w:rFonts w:ascii="宋体" w:hAnsi="宋体" w:eastAsia="宋体" w:cs="宋体"/>
          <w:sz w:val="21"/>
          <w:szCs w:val="21"/>
        </w:rPr>
        <w:t>年度优秀评选：根据年度 KPI 考核以及岗位任职能力测评成绩，推荐员工参加各项年度优秀奖项的评选。</w:t>
      </w:r>
    </w:p>
    <w:p w14:paraId="7CF4C32B">
      <w:pPr>
        <w:numPr>
          <w:ilvl w:val="0"/>
          <w:numId w:val="4"/>
        </w:numPr>
        <w:spacing w:before="62" w:line="220" w:lineRule="auto"/>
        <w:ind w:left="425" w:leftChars="0" w:hanging="425" w:firstLineChars="0"/>
        <w:rPr>
          <w:rFonts w:ascii="宋体" w:hAnsi="宋体" w:eastAsia="宋体" w:cs="宋体"/>
          <w:sz w:val="21"/>
          <w:szCs w:val="21"/>
        </w:rPr>
      </w:pPr>
      <w:r>
        <w:rPr>
          <w:rFonts w:ascii="宋体" w:hAnsi="宋体" w:eastAsia="宋体" w:cs="宋体"/>
          <w:sz w:val="21"/>
          <w:szCs w:val="21"/>
        </w:rPr>
        <w:t>为员工提供跨职系发展等多渠道职业通道：使员工根据自身能力情况与企业要求进行匹配分析，员工可选择个人志趣与企业发展需要相符的职业通道，通过努力考核晋升为管理职位或技术职位。</w:t>
      </w:r>
    </w:p>
    <w:p w14:paraId="27ACBB83">
      <w:pPr>
        <w:pStyle w:val="20"/>
        <w:bidi w:val="0"/>
      </w:pPr>
      <w:bookmarkStart w:id="27" w:name="_Toc30098"/>
      <w:r>
        <w:t>流程衡量指标</w:t>
      </w:r>
      <w:bookmarkEnd w:id="27"/>
    </w:p>
    <w:tbl>
      <w:tblPr>
        <w:tblStyle w:val="18"/>
        <w:tblW w:w="8504" w:type="dxa"/>
        <w:tblInd w:w="13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7"/>
        <w:gridCol w:w="1337"/>
        <w:gridCol w:w="3545"/>
        <w:gridCol w:w="2895"/>
      </w:tblGrid>
      <w:tr w14:paraId="7C317E8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3" w:hRule="atLeast"/>
        </w:trPr>
        <w:tc>
          <w:tcPr>
            <w:tcW w:w="727" w:type="dxa"/>
            <w:tcBorders>
              <w:top w:val="single" w:color="000000" w:sz="6" w:space="0"/>
              <w:left w:val="single" w:color="000000" w:sz="6" w:space="0"/>
              <w:bottom w:val="single" w:color="000000" w:sz="6" w:space="0"/>
            </w:tcBorders>
            <w:shd w:val="clear" w:color="auto" w:fill="C0C0C0"/>
            <w:vAlign w:val="top"/>
          </w:tcPr>
          <w:p w14:paraId="73E6A363">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序号</w:t>
            </w:r>
          </w:p>
        </w:tc>
        <w:tc>
          <w:tcPr>
            <w:tcW w:w="1337" w:type="dxa"/>
            <w:tcBorders>
              <w:top w:val="single" w:color="000000" w:sz="6" w:space="0"/>
              <w:bottom w:val="single" w:color="000000" w:sz="6" w:space="0"/>
            </w:tcBorders>
            <w:shd w:val="clear" w:color="auto" w:fill="C0C0C0"/>
            <w:vAlign w:val="top"/>
          </w:tcPr>
          <w:p w14:paraId="2DF06743">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衡量指标</w:t>
            </w:r>
          </w:p>
        </w:tc>
        <w:tc>
          <w:tcPr>
            <w:tcW w:w="3545" w:type="dxa"/>
            <w:tcBorders>
              <w:top w:val="single" w:color="000000" w:sz="6" w:space="0"/>
              <w:bottom w:val="single" w:color="000000" w:sz="6" w:space="0"/>
              <w:right w:val="single" w:color="000000" w:sz="6" w:space="0"/>
            </w:tcBorders>
            <w:shd w:val="clear" w:color="auto" w:fill="C0C0C0"/>
            <w:vAlign w:val="top"/>
          </w:tcPr>
          <w:p w14:paraId="09761634">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指标计算说明</w:t>
            </w:r>
          </w:p>
        </w:tc>
        <w:tc>
          <w:tcPr>
            <w:tcW w:w="2895" w:type="dxa"/>
            <w:tcBorders>
              <w:top w:val="single" w:color="000000" w:sz="6" w:space="0"/>
              <w:bottom w:val="single" w:color="000000" w:sz="6" w:space="0"/>
              <w:right w:val="single" w:color="000000" w:sz="6" w:space="0"/>
            </w:tcBorders>
            <w:shd w:val="clear" w:color="auto" w:fill="C0C0C0"/>
            <w:vAlign w:val="top"/>
          </w:tcPr>
          <w:p w14:paraId="0751B9CB">
            <w:pPr>
              <w:spacing w:before="205" w:line="221" w:lineRule="auto"/>
              <w:ind w:left="195"/>
              <w:rPr>
                <w:rFonts w:hint="default" w:ascii="宋体" w:hAnsi="宋体" w:eastAsia="宋体" w:cs="宋体"/>
                <w:b/>
                <w:bCs/>
                <w:spacing w:val="-7"/>
                <w:sz w:val="24"/>
                <w:szCs w:val="24"/>
                <w:lang w:val="en-US" w:eastAsia="zh-CN"/>
              </w:rPr>
            </w:pPr>
            <w:r>
              <w:rPr>
                <w:rFonts w:hint="eastAsia" w:ascii="宋体" w:hAnsi="宋体" w:eastAsia="宋体" w:cs="宋体"/>
                <w:b/>
                <w:bCs/>
                <w:spacing w:val="-7"/>
                <w:sz w:val="24"/>
                <w:szCs w:val="24"/>
                <w:lang w:val="en-US" w:eastAsia="zh-CN"/>
              </w:rPr>
              <w:t>考核频次</w:t>
            </w:r>
          </w:p>
        </w:tc>
      </w:tr>
      <w:tr w14:paraId="301F560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9" w:hRule="atLeast"/>
        </w:trPr>
        <w:tc>
          <w:tcPr>
            <w:tcW w:w="727" w:type="dxa"/>
            <w:tcBorders>
              <w:top w:val="single" w:color="000000" w:sz="6" w:space="0"/>
              <w:left w:val="single" w:color="000000" w:sz="6" w:space="0"/>
            </w:tcBorders>
            <w:vAlign w:val="top"/>
          </w:tcPr>
          <w:p w14:paraId="5431EE10">
            <w:pPr>
              <w:spacing w:before="194" w:line="219" w:lineRule="auto"/>
              <w:ind w:left="123"/>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1</w:t>
            </w:r>
          </w:p>
        </w:tc>
        <w:tc>
          <w:tcPr>
            <w:tcW w:w="1337" w:type="dxa"/>
            <w:tcBorders>
              <w:top w:val="single" w:color="000000" w:sz="6" w:space="0"/>
            </w:tcBorders>
            <w:vAlign w:val="top"/>
          </w:tcPr>
          <w:p w14:paraId="1D96E77D">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储备完成率</w:t>
            </w:r>
          </w:p>
        </w:tc>
        <w:tc>
          <w:tcPr>
            <w:tcW w:w="3545" w:type="dxa"/>
            <w:tcBorders>
              <w:top w:val="single" w:color="000000" w:sz="6" w:space="0"/>
              <w:right w:val="single" w:color="000000" w:sz="6" w:space="0"/>
            </w:tcBorders>
            <w:vAlign w:val="top"/>
          </w:tcPr>
          <w:p w14:paraId="553B292D">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(实际储备人员的数量/计划储备人员的数量)*100%</w:t>
            </w:r>
          </w:p>
        </w:tc>
        <w:tc>
          <w:tcPr>
            <w:tcW w:w="2895" w:type="dxa"/>
            <w:tcBorders>
              <w:top w:val="single" w:color="000000" w:sz="6" w:space="0"/>
              <w:right w:val="single" w:color="000000" w:sz="6" w:space="0"/>
            </w:tcBorders>
            <w:vAlign w:val="top"/>
          </w:tcPr>
          <w:p w14:paraId="2DEEDEF8">
            <w:pPr>
              <w:spacing w:before="194" w:line="219" w:lineRule="auto"/>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按季度</w:t>
            </w:r>
          </w:p>
        </w:tc>
      </w:tr>
    </w:tbl>
    <w:p w14:paraId="600088B2">
      <w:pPr>
        <w:spacing w:before="184" w:line="313" w:lineRule="auto"/>
        <w:ind w:left="927" w:right="220" w:hanging="419"/>
        <w:rPr>
          <w:rFonts w:ascii="宋体" w:hAnsi="宋体" w:eastAsia="宋体" w:cs="宋体"/>
          <w:spacing w:val="-2"/>
          <w:sz w:val="24"/>
          <w:szCs w:val="24"/>
        </w:rPr>
      </w:pPr>
    </w:p>
    <w:sectPr>
      <w:footerReference r:id="rId7" w:type="default"/>
      <w:pgSz w:w="11906" w:h="16839"/>
      <w:pgMar w:top="1431" w:right="1785" w:bottom="1374" w:left="1785"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475E0C">
    <w:pPr>
      <w:spacing w:line="166" w:lineRule="auto"/>
      <w:ind w:left="4269"/>
      <w:rPr>
        <w:rFonts w:ascii="Calibri" w:hAnsi="Calibri" w:eastAsia="Calibri" w:cs="Calibri"/>
        <w:sz w:val="18"/>
        <w:szCs w:val="18"/>
      </w:rPr>
    </w:pPr>
    <w:r>
      <w:rPr>
        <w:rFonts w:ascii="Calibri" w:hAnsi="Calibri" w:eastAsia="Calibri" w:cs="Calibri"/>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D3D409">
    <w:pPr>
      <w:spacing w:line="167" w:lineRule="auto"/>
      <w:ind w:left="4131"/>
      <w:rPr>
        <w:rFonts w:ascii="Calibri" w:hAnsi="Calibri" w:eastAsia="Calibri" w:cs="Calibri"/>
        <w:sz w:val="18"/>
        <w:szCs w:val="18"/>
      </w:rPr>
    </w:pPr>
    <w:r>
      <w:rPr>
        <w:rFonts w:ascii="Calibri" w:hAnsi="Calibri" w:eastAsia="Calibri" w:cs="Calibri"/>
        <w:sz w:val="18"/>
        <w:szCs w:val="18"/>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C7F620">
    <w:pPr>
      <w:spacing w:line="166" w:lineRule="auto"/>
      <w:ind w:left="4125"/>
      <w:rPr>
        <w:rFonts w:ascii="Calibri" w:hAnsi="Calibri" w:eastAsia="Calibri" w:cs="Calibri"/>
        <w:sz w:val="18"/>
        <w:szCs w:val="18"/>
      </w:rPr>
    </w:pPr>
    <w:r>
      <w:rPr>
        <w:rFonts w:ascii="Calibri" w:hAnsi="Calibri" w:eastAsia="Calibri" w:cs="Calibri"/>
        <w:sz w:val="18"/>
        <w:szCs w:val="18"/>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0682D8"/>
    <w:multiLevelType w:val="singleLevel"/>
    <w:tmpl w:val="870682D8"/>
    <w:lvl w:ilvl="0" w:tentative="0">
      <w:start w:val="1"/>
      <w:numFmt w:val="decimal"/>
      <w:lvlText w:val="(%1)"/>
      <w:lvlJc w:val="left"/>
      <w:pPr>
        <w:ind w:left="425" w:hanging="425"/>
      </w:pPr>
      <w:rPr>
        <w:rFonts w:hint="default"/>
      </w:rPr>
    </w:lvl>
  </w:abstractNum>
  <w:abstractNum w:abstractNumId="1">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510EFC5D"/>
    <w:multiLevelType w:val="singleLevel"/>
    <w:tmpl w:val="510EFC5D"/>
    <w:lvl w:ilvl="0" w:tentative="0">
      <w:start w:val="1"/>
      <w:numFmt w:val="decimal"/>
      <w:lvlText w:val="(%1)"/>
      <w:lvlJc w:val="left"/>
      <w:pPr>
        <w:ind w:left="425" w:hanging="425"/>
      </w:pPr>
      <w:rPr>
        <w:rFonts w:hint="default"/>
      </w:rPr>
    </w:lvl>
  </w:abstractNum>
  <w:abstractNum w:abstractNumId="3">
    <w:nsid w:val="6C7AED69"/>
    <w:multiLevelType w:val="singleLevel"/>
    <w:tmpl w:val="6C7AED69"/>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FB5772"/>
    <w:rsid w:val="01080A12"/>
    <w:rsid w:val="0BEB340A"/>
    <w:rsid w:val="0E9B1118"/>
    <w:rsid w:val="0F6E05DA"/>
    <w:rsid w:val="12762E5C"/>
    <w:rsid w:val="131E2317"/>
    <w:rsid w:val="13D33102"/>
    <w:rsid w:val="17076FDA"/>
    <w:rsid w:val="1EAC6A29"/>
    <w:rsid w:val="2E24259B"/>
    <w:rsid w:val="2E440A2C"/>
    <w:rsid w:val="30D72AF4"/>
    <w:rsid w:val="33A07934"/>
    <w:rsid w:val="388C54AA"/>
    <w:rsid w:val="496425F6"/>
    <w:rsid w:val="516A48FC"/>
    <w:rsid w:val="5A8C4900"/>
    <w:rsid w:val="67F325A0"/>
    <w:rsid w:val="699F6438"/>
    <w:rsid w:val="6CE16E6B"/>
    <w:rsid w:val="6F090932"/>
    <w:rsid w:val="6F7246F2"/>
    <w:rsid w:val="6FEC6ADC"/>
    <w:rsid w:val="72CC41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1672</Words>
  <Characters>1751</Characters>
  <TotalTime>1</TotalTime>
  <ScaleCrop>false</ScaleCrop>
  <LinksUpToDate>false</LinksUpToDate>
  <CharactersWithSpaces>1830</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2025-08-19T20:25:00Z</dcterms:created>
  <dc:creator>zhouyw@qdhuihai.com</dc:creator>
  <cp:lastModifiedBy>郝宇</cp:lastModifiedBy>
  <dcterms:modified xsi:type="dcterms:W3CDTF">2025-08-29T06:45:23Z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2025-08-27T10:01:51Z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57B4BE8EBEE54C0098E4C8164C2759C4_12</vt:lpwstr>
  </property>
</Properties>
</file>