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84ADFE">
      <w:pPr>
        <w:pStyle w:val="11"/>
        <w:spacing w:line="258" w:lineRule="auto"/>
      </w:pPr>
    </w:p>
    <w:p w14:paraId="264DE825">
      <w:pPr>
        <w:pStyle w:val="11"/>
        <w:spacing w:line="258" w:lineRule="auto"/>
      </w:pPr>
    </w:p>
    <w:p w14:paraId="218218D7">
      <w:pPr>
        <w:pStyle w:val="11"/>
        <w:spacing w:line="258" w:lineRule="auto"/>
      </w:pPr>
    </w:p>
    <w:p w14:paraId="4B415A51">
      <w:pPr>
        <w:pStyle w:val="11"/>
        <w:spacing w:line="258" w:lineRule="auto"/>
      </w:pPr>
    </w:p>
    <w:p w14:paraId="70224159">
      <w:pPr>
        <w:pStyle w:val="11"/>
        <w:spacing w:line="258" w:lineRule="auto"/>
      </w:pPr>
    </w:p>
    <w:p w14:paraId="74CA0536">
      <w:pPr>
        <w:pStyle w:val="11"/>
        <w:spacing w:line="258" w:lineRule="auto"/>
      </w:pPr>
    </w:p>
    <w:p w14:paraId="0DD8EAB5">
      <w:pPr>
        <w:pStyle w:val="11"/>
        <w:spacing w:line="258" w:lineRule="auto"/>
      </w:pPr>
    </w:p>
    <w:p w14:paraId="3FD296D9">
      <w:pPr>
        <w:pStyle w:val="11"/>
        <w:spacing w:line="258" w:lineRule="auto"/>
      </w:pPr>
    </w:p>
    <w:p w14:paraId="5F86BAED">
      <w:pPr>
        <w:pStyle w:val="11"/>
        <w:spacing w:line="258" w:lineRule="auto"/>
      </w:pPr>
    </w:p>
    <w:p w14:paraId="14BE6448">
      <w:pPr>
        <w:pStyle w:val="11"/>
        <w:spacing w:line="259" w:lineRule="auto"/>
      </w:pPr>
    </w:p>
    <w:p w14:paraId="6C0BC556">
      <w:pPr>
        <w:pStyle w:val="11"/>
        <w:spacing w:line="259" w:lineRule="auto"/>
      </w:pPr>
    </w:p>
    <w:p w14:paraId="4879F1BD">
      <w:pPr>
        <w:spacing w:before="169" w:line="220" w:lineRule="auto"/>
        <w:ind w:left="1587"/>
        <w:outlineLvl w:val="0"/>
        <w:rPr>
          <w:rFonts w:ascii="宋体" w:hAnsi="宋体" w:eastAsia="宋体" w:cs="宋体"/>
          <w:sz w:val="52"/>
          <w:szCs w:val="52"/>
        </w:rPr>
      </w:pPr>
      <w:bookmarkStart w:id="0" w:name="_Toc1265"/>
      <w:r>
        <w:rPr>
          <w:rFonts w:ascii="宋体" w:hAnsi="宋体" w:eastAsia="宋体" w:cs="宋体"/>
          <w:b/>
          <w:bCs/>
          <w:spacing w:val="-8"/>
          <w:sz w:val="52"/>
          <w:szCs w:val="52"/>
        </w:rPr>
        <w:t>运维服务人员储备制度</w:t>
      </w:r>
      <w:bookmarkEnd w:id="0"/>
    </w:p>
    <w:p w14:paraId="365B1AED">
      <w:pPr>
        <w:pStyle w:val="11"/>
        <w:spacing w:line="256" w:lineRule="auto"/>
      </w:pPr>
    </w:p>
    <w:p w14:paraId="08C4A878">
      <w:pPr>
        <w:pStyle w:val="11"/>
        <w:spacing w:line="256" w:lineRule="auto"/>
      </w:pPr>
    </w:p>
    <w:p w14:paraId="05397614">
      <w:pPr>
        <w:pStyle w:val="11"/>
        <w:spacing w:line="256" w:lineRule="auto"/>
      </w:pPr>
    </w:p>
    <w:p w14:paraId="6A06EC9F">
      <w:pPr>
        <w:pStyle w:val="11"/>
        <w:spacing w:line="256" w:lineRule="auto"/>
      </w:pPr>
    </w:p>
    <w:p w14:paraId="0768145C">
      <w:pPr>
        <w:pStyle w:val="11"/>
        <w:spacing w:line="256" w:lineRule="auto"/>
      </w:pPr>
    </w:p>
    <w:p w14:paraId="48555FC7">
      <w:pPr>
        <w:pStyle w:val="11"/>
        <w:spacing w:line="256" w:lineRule="auto"/>
      </w:pPr>
    </w:p>
    <w:p w14:paraId="1276AFEC">
      <w:pPr>
        <w:pStyle w:val="11"/>
        <w:spacing w:line="256" w:lineRule="auto"/>
      </w:pPr>
    </w:p>
    <w:p w14:paraId="30237679">
      <w:pPr>
        <w:pStyle w:val="11"/>
        <w:spacing w:line="257" w:lineRule="auto"/>
      </w:pPr>
    </w:p>
    <w:p w14:paraId="62981B6C">
      <w:pPr>
        <w:pStyle w:val="11"/>
        <w:spacing w:line="257" w:lineRule="auto"/>
      </w:pPr>
    </w:p>
    <w:p w14:paraId="294AC435">
      <w:pPr>
        <w:pStyle w:val="11"/>
        <w:spacing w:line="257" w:lineRule="auto"/>
      </w:pPr>
    </w:p>
    <w:p w14:paraId="13442761">
      <w:pPr>
        <w:spacing w:line="1293" w:lineRule="exact"/>
        <w:ind w:firstLine="2021"/>
      </w:pPr>
      <w:r>
        <w:rPr>
          <w:position w:val="-25"/>
        </w:rPr>
        <w:drawing>
          <wp:inline distT="0" distB="0" distL="0" distR="0">
            <wp:extent cx="2724785"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2725199" cy="820799"/>
                    </a:xfrm>
                    <a:prstGeom prst="rect">
                      <a:avLst/>
                    </a:prstGeom>
                  </pic:spPr>
                </pic:pic>
              </a:graphicData>
            </a:graphic>
          </wp:inline>
        </w:drawing>
      </w:r>
    </w:p>
    <w:p w14:paraId="04D82602">
      <w:pPr>
        <w:pStyle w:val="11"/>
        <w:spacing w:line="251" w:lineRule="auto"/>
      </w:pPr>
    </w:p>
    <w:p w14:paraId="70672859">
      <w:pPr>
        <w:pStyle w:val="11"/>
        <w:spacing w:line="251" w:lineRule="auto"/>
      </w:pPr>
    </w:p>
    <w:p w14:paraId="5550D95F">
      <w:pPr>
        <w:pStyle w:val="11"/>
        <w:spacing w:line="251" w:lineRule="auto"/>
      </w:pPr>
    </w:p>
    <w:p w14:paraId="39C84F04">
      <w:pPr>
        <w:pStyle w:val="11"/>
        <w:spacing w:line="251" w:lineRule="auto"/>
      </w:pPr>
    </w:p>
    <w:p w14:paraId="6D3396B1">
      <w:pPr>
        <w:pStyle w:val="11"/>
        <w:spacing w:line="251" w:lineRule="auto"/>
      </w:pPr>
    </w:p>
    <w:p w14:paraId="60DD8603">
      <w:pPr>
        <w:pStyle w:val="11"/>
        <w:spacing w:line="251" w:lineRule="auto"/>
      </w:pPr>
    </w:p>
    <w:p w14:paraId="6C2057D0">
      <w:pPr>
        <w:pStyle w:val="11"/>
        <w:spacing w:line="252" w:lineRule="auto"/>
      </w:pPr>
    </w:p>
    <w:p w14:paraId="074A86E2">
      <w:pPr>
        <w:pStyle w:val="11"/>
        <w:spacing w:line="252" w:lineRule="auto"/>
      </w:pPr>
    </w:p>
    <w:p w14:paraId="30A92165">
      <w:pPr>
        <w:pStyle w:val="11"/>
        <w:spacing w:line="252" w:lineRule="auto"/>
      </w:pPr>
    </w:p>
    <w:p w14:paraId="07B500B3">
      <w:pPr>
        <w:pStyle w:val="11"/>
        <w:spacing w:line="252" w:lineRule="auto"/>
      </w:pPr>
    </w:p>
    <w:p w14:paraId="6AB5E6C5">
      <w:pPr>
        <w:pStyle w:val="11"/>
        <w:spacing w:line="252" w:lineRule="auto"/>
      </w:pPr>
    </w:p>
    <w:p w14:paraId="7F9FFA88">
      <w:pPr>
        <w:pStyle w:val="11"/>
        <w:spacing w:line="252" w:lineRule="auto"/>
      </w:pPr>
    </w:p>
    <w:p w14:paraId="16897250">
      <w:pPr>
        <w:pStyle w:val="11"/>
        <w:spacing w:line="252" w:lineRule="auto"/>
      </w:pPr>
    </w:p>
    <w:p w14:paraId="299CB5F3">
      <w:pPr>
        <w:pStyle w:val="11"/>
        <w:spacing w:line="252" w:lineRule="auto"/>
      </w:pPr>
    </w:p>
    <w:p w14:paraId="439B07EB">
      <w:pPr>
        <w:pStyle w:val="11"/>
        <w:spacing w:line="252" w:lineRule="auto"/>
      </w:pPr>
    </w:p>
    <w:p w14:paraId="0AF1C2E5">
      <w:pPr>
        <w:pStyle w:val="11"/>
        <w:spacing w:line="252" w:lineRule="auto"/>
      </w:pPr>
    </w:p>
    <w:p w14:paraId="74117C79">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5C62F403">
      <w:pPr>
        <w:spacing w:line="219" w:lineRule="auto"/>
        <w:rPr>
          <w:rFonts w:ascii="宋体" w:hAnsi="宋体" w:eastAsia="宋体" w:cs="宋体"/>
          <w:sz w:val="36"/>
          <w:szCs w:val="36"/>
        </w:rPr>
        <w:sectPr>
          <w:pgSz w:w="11906" w:h="16839"/>
          <w:pgMar w:top="1431" w:right="1785" w:bottom="0" w:left="1785" w:header="0" w:footer="0" w:gutter="0"/>
          <w:cols w:space="720" w:num="1"/>
        </w:sectPr>
      </w:pPr>
    </w:p>
    <w:p w14:paraId="2915131C">
      <w:pPr>
        <w:pStyle w:val="11"/>
        <w:spacing w:line="355" w:lineRule="auto"/>
      </w:pPr>
    </w:p>
    <w:p w14:paraId="70E37569">
      <w:pPr>
        <w:pStyle w:val="11"/>
        <w:spacing w:line="355" w:lineRule="auto"/>
      </w:pPr>
    </w:p>
    <w:p w14:paraId="03BA832C">
      <w:pPr>
        <w:spacing w:before="91" w:line="220" w:lineRule="auto"/>
        <w:ind w:left="3753"/>
        <w:outlineLvl w:val="0"/>
        <w:rPr>
          <w:rFonts w:ascii="宋体" w:hAnsi="宋体" w:eastAsia="宋体" w:cs="宋体"/>
          <w:sz w:val="28"/>
          <w:szCs w:val="28"/>
        </w:rPr>
      </w:pPr>
      <w:bookmarkStart w:id="1" w:name="_Toc31455"/>
      <w:r>
        <w:rPr>
          <w:rFonts w:ascii="宋体" w:hAnsi="宋体" w:eastAsia="宋体" w:cs="宋体"/>
          <w:spacing w:val="-3"/>
          <w:sz w:val="28"/>
          <w:szCs w:val="28"/>
        </w:rPr>
        <w:t>文档信息</w:t>
      </w:r>
      <w:bookmarkEnd w:id="1"/>
    </w:p>
    <w:p w14:paraId="0905698E">
      <w:pPr>
        <w:spacing w:line="117" w:lineRule="exact"/>
      </w:pPr>
    </w:p>
    <w:tbl>
      <w:tblPr>
        <w:tblStyle w:val="18"/>
        <w:tblW w:w="868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3"/>
        <w:gridCol w:w="1696"/>
        <w:gridCol w:w="2302"/>
        <w:gridCol w:w="1557"/>
        <w:gridCol w:w="1562"/>
      </w:tblGrid>
      <w:tr w14:paraId="4AF569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2" w:hRule="atLeast"/>
        </w:trPr>
        <w:tc>
          <w:tcPr>
            <w:tcW w:w="1563" w:type="dxa"/>
            <w:vAlign w:val="top"/>
          </w:tcPr>
          <w:p w14:paraId="093B3FCD">
            <w:pPr>
              <w:spacing w:before="199" w:line="220" w:lineRule="auto"/>
              <w:ind w:left="154"/>
              <w:rPr>
                <w:rFonts w:ascii="宋体" w:hAnsi="宋体" w:eastAsia="宋体" w:cs="宋体"/>
                <w:sz w:val="21"/>
                <w:szCs w:val="21"/>
              </w:rPr>
            </w:pPr>
            <w:r>
              <w:rPr>
                <w:rFonts w:ascii="宋体" w:hAnsi="宋体" w:eastAsia="宋体" w:cs="宋体"/>
                <w:spacing w:val="-2"/>
                <w:sz w:val="21"/>
                <w:szCs w:val="21"/>
              </w:rPr>
              <w:t>文档名称编号</w:t>
            </w:r>
          </w:p>
        </w:tc>
        <w:tc>
          <w:tcPr>
            <w:tcW w:w="7117" w:type="dxa"/>
            <w:gridSpan w:val="4"/>
            <w:vAlign w:val="top"/>
          </w:tcPr>
          <w:p w14:paraId="0CF91D9D">
            <w:pPr>
              <w:spacing w:before="199" w:line="220" w:lineRule="auto"/>
              <w:ind w:left="108"/>
              <w:rPr>
                <w:rFonts w:ascii="宋体" w:hAnsi="宋体" w:eastAsia="宋体" w:cs="宋体"/>
                <w:sz w:val="21"/>
                <w:szCs w:val="21"/>
              </w:rPr>
            </w:pPr>
            <w:r>
              <w:rPr>
                <w:rFonts w:ascii="宋体" w:hAnsi="宋体" w:eastAsia="宋体" w:cs="宋体"/>
                <w:spacing w:val="-1"/>
                <w:sz w:val="21"/>
                <w:szCs w:val="21"/>
              </w:rPr>
              <w:t>运维服务人员储备制度（HHLC-ITSS-RYCBZD）</w:t>
            </w:r>
          </w:p>
        </w:tc>
      </w:tr>
      <w:tr w14:paraId="5FE935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563" w:type="dxa"/>
            <w:vAlign w:val="top"/>
          </w:tcPr>
          <w:p w14:paraId="51E35F8B">
            <w:pPr>
              <w:spacing w:before="195" w:line="220" w:lineRule="auto"/>
              <w:ind w:left="364"/>
              <w:rPr>
                <w:rFonts w:ascii="宋体" w:hAnsi="宋体" w:eastAsia="宋体" w:cs="宋体"/>
                <w:sz w:val="21"/>
                <w:szCs w:val="21"/>
              </w:rPr>
            </w:pPr>
            <w:r>
              <w:rPr>
                <w:rFonts w:ascii="宋体" w:hAnsi="宋体" w:eastAsia="宋体" w:cs="宋体"/>
                <w:spacing w:val="-2"/>
                <w:sz w:val="21"/>
                <w:szCs w:val="21"/>
              </w:rPr>
              <w:t>编制单位</w:t>
            </w:r>
          </w:p>
        </w:tc>
        <w:tc>
          <w:tcPr>
            <w:tcW w:w="7117" w:type="dxa"/>
            <w:gridSpan w:val="4"/>
            <w:vAlign w:val="top"/>
          </w:tcPr>
          <w:p w14:paraId="40982857">
            <w:pPr>
              <w:spacing w:before="196"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0C3B13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563" w:type="dxa"/>
            <w:vAlign w:val="top"/>
          </w:tcPr>
          <w:p w14:paraId="111CE661">
            <w:pPr>
              <w:spacing w:before="196" w:line="220" w:lineRule="auto"/>
              <w:ind w:left="364"/>
              <w:rPr>
                <w:rFonts w:ascii="宋体" w:hAnsi="宋体" w:eastAsia="宋体" w:cs="宋体"/>
                <w:sz w:val="21"/>
                <w:szCs w:val="21"/>
              </w:rPr>
            </w:pPr>
            <w:r>
              <w:rPr>
                <w:rFonts w:ascii="宋体" w:hAnsi="宋体" w:eastAsia="宋体" w:cs="宋体"/>
                <w:spacing w:val="-2"/>
                <w:sz w:val="21"/>
                <w:szCs w:val="21"/>
              </w:rPr>
              <w:t>文档密级</w:t>
            </w:r>
          </w:p>
        </w:tc>
        <w:tc>
          <w:tcPr>
            <w:tcW w:w="7117" w:type="dxa"/>
            <w:gridSpan w:val="4"/>
            <w:vAlign w:val="top"/>
          </w:tcPr>
          <w:p w14:paraId="60C8A34F">
            <w:pPr>
              <w:spacing w:before="196" w:line="220" w:lineRule="auto"/>
              <w:ind w:left="107"/>
              <w:rPr>
                <w:rFonts w:ascii="宋体" w:hAnsi="宋体" w:eastAsia="宋体" w:cs="宋体"/>
                <w:sz w:val="21"/>
                <w:szCs w:val="21"/>
              </w:rPr>
            </w:pPr>
            <w:r>
              <w:rPr>
                <w:rFonts w:ascii="宋体" w:hAnsi="宋体" w:eastAsia="宋体" w:cs="宋体"/>
                <w:spacing w:val="-2"/>
                <w:sz w:val="21"/>
                <w:szCs w:val="21"/>
              </w:rPr>
              <w:t>秘密</w:t>
            </w:r>
          </w:p>
        </w:tc>
      </w:tr>
      <w:tr w14:paraId="55FA29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563" w:type="dxa"/>
            <w:vAlign w:val="top"/>
          </w:tcPr>
          <w:p w14:paraId="5C1D072E">
            <w:pPr>
              <w:spacing w:before="198" w:line="219" w:lineRule="auto"/>
              <w:ind w:left="364"/>
              <w:rPr>
                <w:rFonts w:ascii="宋体" w:hAnsi="宋体" w:eastAsia="宋体" w:cs="宋体"/>
                <w:sz w:val="21"/>
                <w:szCs w:val="21"/>
              </w:rPr>
            </w:pPr>
            <w:r>
              <w:rPr>
                <w:rFonts w:ascii="宋体" w:hAnsi="宋体" w:eastAsia="宋体" w:cs="宋体"/>
                <w:spacing w:val="-2"/>
                <w:sz w:val="21"/>
                <w:szCs w:val="21"/>
              </w:rPr>
              <w:t>文档版本</w:t>
            </w:r>
          </w:p>
        </w:tc>
        <w:tc>
          <w:tcPr>
            <w:tcW w:w="1696" w:type="dxa"/>
            <w:vAlign w:val="top"/>
          </w:tcPr>
          <w:p w14:paraId="4EE79B4F">
            <w:pPr>
              <w:spacing w:before="198" w:line="219" w:lineRule="auto"/>
              <w:ind w:left="430"/>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64AA5F82">
            <w:pPr>
              <w:spacing w:before="198"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1106CF5F">
            <w:pPr>
              <w:spacing w:before="198"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562" w:type="dxa"/>
            <w:vAlign w:val="top"/>
          </w:tcPr>
          <w:p w14:paraId="1AFCFFD3">
            <w:pPr>
              <w:spacing w:before="198" w:line="220" w:lineRule="auto"/>
              <w:ind w:left="587"/>
              <w:rPr>
                <w:rFonts w:ascii="宋体" w:hAnsi="宋体" w:eastAsia="宋体" w:cs="宋体"/>
                <w:sz w:val="21"/>
                <w:szCs w:val="21"/>
              </w:rPr>
            </w:pPr>
            <w:r>
              <w:rPr>
                <w:rFonts w:ascii="宋体" w:hAnsi="宋体" w:eastAsia="宋体" w:cs="宋体"/>
                <w:spacing w:val="-5"/>
                <w:sz w:val="21"/>
                <w:szCs w:val="21"/>
              </w:rPr>
              <w:t>审核</w:t>
            </w:r>
          </w:p>
        </w:tc>
      </w:tr>
      <w:tr w14:paraId="01691D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563" w:type="dxa"/>
            <w:vAlign w:val="top"/>
          </w:tcPr>
          <w:p w14:paraId="4C097BEE">
            <w:pPr>
              <w:spacing w:before="162" w:line="239" w:lineRule="auto"/>
              <w:ind w:left="568"/>
              <w:rPr>
                <w:rFonts w:ascii="宋体" w:hAnsi="宋体" w:eastAsia="宋体" w:cs="宋体"/>
                <w:sz w:val="21"/>
                <w:szCs w:val="21"/>
              </w:rPr>
            </w:pPr>
            <w:r>
              <w:rPr>
                <w:rFonts w:ascii="宋体" w:hAnsi="宋体" w:eastAsia="宋体" w:cs="宋体"/>
                <w:spacing w:val="-1"/>
                <w:sz w:val="21"/>
                <w:szCs w:val="21"/>
              </w:rPr>
              <w:t>V1.0</w:t>
            </w:r>
          </w:p>
        </w:tc>
        <w:tc>
          <w:tcPr>
            <w:tcW w:w="1696" w:type="dxa"/>
            <w:vAlign w:val="top"/>
          </w:tcPr>
          <w:p w14:paraId="3F53AA9C">
            <w:pPr>
              <w:spacing w:before="162"/>
              <w:ind w:left="431"/>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2218F151">
            <w:pPr>
              <w:spacing w:before="132"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1FD26668">
            <w:pPr>
              <w:spacing w:before="133" w:line="228" w:lineRule="auto"/>
              <w:ind w:left="576"/>
              <w:rPr>
                <w:rFonts w:ascii="宋体" w:hAnsi="宋体" w:eastAsia="宋体" w:cs="宋体"/>
                <w:sz w:val="21"/>
                <w:szCs w:val="21"/>
              </w:rPr>
            </w:pPr>
            <w:r>
              <w:rPr>
                <w:rFonts w:ascii="宋体" w:hAnsi="宋体" w:eastAsia="宋体" w:cs="宋体"/>
                <w:spacing w:val="-3"/>
                <w:sz w:val="21"/>
                <w:szCs w:val="21"/>
              </w:rPr>
              <w:t>王慧</w:t>
            </w:r>
          </w:p>
        </w:tc>
        <w:tc>
          <w:tcPr>
            <w:tcW w:w="1562" w:type="dxa"/>
            <w:vAlign w:val="top"/>
          </w:tcPr>
          <w:p w14:paraId="630561C0">
            <w:pPr>
              <w:spacing w:before="132" w:line="220" w:lineRule="auto"/>
              <w:ind w:left="476"/>
              <w:rPr>
                <w:rFonts w:ascii="宋体" w:hAnsi="宋体" w:eastAsia="宋体" w:cs="宋体"/>
                <w:sz w:val="21"/>
                <w:szCs w:val="21"/>
              </w:rPr>
            </w:pPr>
            <w:r>
              <w:rPr>
                <w:rFonts w:ascii="宋体" w:hAnsi="宋体" w:eastAsia="宋体" w:cs="宋体"/>
                <w:spacing w:val="-3"/>
                <w:sz w:val="21"/>
                <w:szCs w:val="21"/>
              </w:rPr>
              <w:t>张仲全</w:t>
            </w:r>
          </w:p>
        </w:tc>
      </w:tr>
      <w:tr w14:paraId="72C8B1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563" w:type="dxa"/>
            <w:vAlign w:val="top"/>
          </w:tcPr>
          <w:p w14:paraId="2314BE55">
            <w:pPr>
              <w:pStyle w:val="19"/>
            </w:pPr>
          </w:p>
        </w:tc>
        <w:tc>
          <w:tcPr>
            <w:tcW w:w="1696" w:type="dxa"/>
            <w:vAlign w:val="top"/>
          </w:tcPr>
          <w:p w14:paraId="4AB21E38">
            <w:pPr>
              <w:pStyle w:val="19"/>
            </w:pPr>
          </w:p>
        </w:tc>
        <w:tc>
          <w:tcPr>
            <w:tcW w:w="2302" w:type="dxa"/>
            <w:vAlign w:val="top"/>
          </w:tcPr>
          <w:p w14:paraId="7E0890C5">
            <w:pPr>
              <w:pStyle w:val="19"/>
            </w:pPr>
          </w:p>
        </w:tc>
        <w:tc>
          <w:tcPr>
            <w:tcW w:w="1557" w:type="dxa"/>
            <w:vAlign w:val="top"/>
          </w:tcPr>
          <w:p w14:paraId="1AB7B16F">
            <w:pPr>
              <w:pStyle w:val="19"/>
            </w:pPr>
          </w:p>
        </w:tc>
        <w:tc>
          <w:tcPr>
            <w:tcW w:w="1562" w:type="dxa"/>
            <w:vAlign w:val="top"/>
          </w:tcPr>
          <w:p w14:paraId="55120959">
            <w:pPr>
              <w:pStyle w:val="19"/>
            </w:pPr>
          </w:p>
        </w:tc>
      </w:tr>
      <w:tr w14:paraId="40A42D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1563" w:type="dxa"/>
            <w:vAlign w:val="top"/>
          </w:tcPr>
          <w:p w14:paraId="0D7D28EB">
            <w:pPr>
              <w:pStyle w:val="19"/>
            </w:pPr>
          </w:p>
        </w:tc>
        <w:tc>
          <w:tcPr>
            <w:tcW w:w="1696" w:type="dxa"/>
            <w:vAlign w:val="top"/>
          </w:tcPr>
          <w:p w14:paraId="06D6B5C3">
            <w:pPr>
              <w:pStyle w:val="19"/>
            </w:pPr>
          </w:p>
        </w:tc>
        <w:tc>
          <w:tcPr>
            <w:tcW w:w="2302" w:type="dxa"/>
            <w:vAlign w:val="top"/>
          </w:tcPr>
          <w:p w14:paraId="29DC8886">
            <w:pPr>
              <w:pStyle w:val="19"/>
            </w:pPr>
          </w:p>
        </w:tc>
        <w:tc>
          <w:tcPr>
            <w:tcW w:w="1557" w:type="dxa"/>
            <w:vAlign w:val="top"/>
          </w:tcPr>
          <w:p w14:paraId="7B5B7E5C">
            <w:pPr>
              <w:pStyle w:val="19"/>
            </w:pPr>
          </w:p>
        </w:tc>
        <w:tc>
          <w:tcPr>
            <w:tcW w:w="1562" w:type="dxa"/>
            <w:vAlign w:val="top"/>
          </w:tcPr>
          <w:p w14:paraId="2E250942">
            <w:pPr>
              <w:pStyle w:val="19"/>
            </w:pPr>
          </w:p>
        </w:tc>
      </w:tr>
      <w:tr w14:paraId="49C52A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563" w:type="dxa"/>
            <w:vAlign w:val="top"/>
          </w:tcPr>
          <w:p w14:paraId="096EA4F4">
            <w:pPr>
              <w:pStyle w:val="19"/>
            </w:pPr>
          </w:p>
        </w:tc>
        <w:tc>
          <w:tcPr>
            <w:tcW w:w="1696" w:type="dxa"/>
            <w:vAlign w:val="top"/>
          </w:tcPr>
          <w:p w14:paraId="3DAAC8C1">
            <w:pPr>
              <w:pStyle w:val="19"/>
            </w:pPr>
          </w:p>
        </w:tc>
        <w:tc>
          <w:tcPr>
            <w:tcW w:w="2302" w:type="dxa"/>
            <w:vAlign w:val="top"/>
          </w:tcPr>
          <w:p w14:paraId="3A118EFE">
            <w:pPr>
              <w:pStyle w:val="19"/>
            </w:pPr>
          </w:p>
        </w:tc>
        <w:tc>
          <w:tcPr>
            <w:tcW w:w="1557" w:type="dxa"/>
            <w:vAlign w:val="top"/>
          </w:tcPr>
          <w:p w14:paraId="094771F2">
            <w:pPr>
              <w:pStyle w:val="19"/>
            </w:pPr>
          </w:p>
        </w:tc>
        <w:tc>
          <w:tcPr>
            <w:tcW w:w="1562" w:type="dxa"/>
            <w:vAlign w:val="top"/>
          </w:tcPr>
          <w:p w14:paraId="6F1A082E">
            <w:pPr>
              <w:pStyle w:val="19"/>
            </w:pPr>
          </w:p>
        </w:tc>
      </w:tr>
      <w:tr w14:paraId="0A0050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563" w:type="dxa"/>
            <w:vAlign w:val="top"/>
          </w:tcPr>
          <w:p w14:paraId="7D386A87">
            <w:pPr>
              <w:pStyle w:val="19"/>
            </w:pPr>
          </w:p>
        </w:tc>
        <w:tc>
          <w:tcPr>
            <w:tcW w:w="1696" w:type="dxa"/>
            <w:vAlign w:val="top"/>
          </w:tcPr>
          <w:p w14:paraId="66143D1A">
            <w:pPr>
              <w:pStyle w:val="19"/>
            </w:pPr>
          </w:p>
        </w:tc>
        <w:tc>
          <w:tcPr>
            <w:tcW w:w="2302" w:type="dxa"/>
            <w:vAlign w:val="top"/>
          </w:tcPr>
          <w:p w14:paraId="7A021149">
            <w:pPr>
              <w:pStyle w:val="19"/>
            </w:pPr>
          </w:p>
        </w:tc>
        <w:tc>
          <w:tcPr>
            <w:tcW w:w="1557" w:type="dxa"/>
            <w:vAlign w:val="top"/>
          </w:tcPr>
          <w:p w14:paraId="39BBE5F2">
            <w:pPr>
              <w:pStyle w:val="19"/>
            </w:pPr>
          </w:p>
        </w:tc>
        <w:tc>
          <w:tcPr>
            <w:tcW w:w="1562" w:type="dxa"/>
            <w:vAlign w:val="top"/>
          </w:tcPr>
          <w:p w14:paraId="0E1D7A8B">
            <w:pPr>
              <w:pStyle w:val="19"/>
            </w:pPr>
          </w:p>
        </w:tc>
      </w:tr>
      <w:tr w14:paraId="76CB18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563" w:type="dxa"/>
            <w:vAlign w:val="top"/>
          </w:tcPr>
          <w:p w14:paraId="76C2D714">
            <w:pPr>
              <w:pStyle w:val="19"/>
            </w:pPr>
          </w:p>
        </w:tc>
        <w:tc>
          <w:tcPr>
            <w:tcW w:w="1696" w:type="dxa"/>
            <w:vAlign w:val="top"/>
          </w:tcPr>
          <w:p w14:paraId="2C65F274">
            <w:pPr>
              <w:pStyle w:val="19"/>
            </w:pPr>
          </w:p>
        </w:tc>
        <w:tc>
          <w:tcPr>
            <w:tcW w:w="2302" w:type="dxa"/>
            <w:vAlign w:val="top"/>
          </w:tcPr>
          <w:p w14:paraId="45647481">
            <w:pPr>
              <w:pStyle w:val="19"/>
            </w:pPr>
          </w:p>
        </w:tc>
        <w:tc>
          <w:tcPr>
            <w:tcW w:w="1557" w:type="dxa"/>
            <w:vAlign w:val="top"/>
          </w:tcPr>
          <w:p w14:paraId="35F876C6">
            <w:pPr>
              <w:pStyle w:val="19"/>
            </w:pPr>
          </w:p>
        </w:tc>
        <w:tc>
          <w:tcPr>
            <w:tcW w:w="1562" w:type="dxa"/>
            <w:vAlign w:val="top"/>
          </w:tcPr>
          <w:p w14:paraId="57535A05">
            <w:pPr>
              <w:pStyle w:val="19"/>
            </w:pPr>
          </w:p>
        </w:tc>
      </w:tr>
      <w:tr w14:paraId="6F4016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563" w:type="dxa"/>
            <w:vAlign w:val="top"/>
          </w:tcPr>
          <w:p w14:paraId="5860B852">
            <w:pPr>
              <w:pStyle w:val="19"/>
            </w:pPr>
          </w:p>
        </w:tc>
        <w:tc>
          <w:tcPr>
            <w:tcW w:w="1696" w:type="dxa"/>
            <w:vAlign w:val="top"/>
          </w:tcPr>
          <w:p w14:paraId="448FB2C4">
            <w:pPr>
              <w:pStyle w:val="19"/>
            </w:pPr>
          </w:p>
        </w:tc>
        <w:tc>
          <w:tcPr>
            <w:tcW w:w="2302" w:type="dxa"/>
            <w:vAlign w:val="top"/>
          </w:tcPr>
          <w:p w14:paraId="06DB4E22">
            <w:pPr>
              <w:pStyle w:val="19"/>
            </w:pPr>
          </w:p>
        </w:tc>
        <w:tc>
          <w:tcPr>
            <w:tcW w:w="1557" w:type="dxa"/>
            <w:vAlign w:val="top"/>
          </w:tcPr>
          <w:p w14:paraId="629E474A">
            <w:pPr>
              <w:pStyle w:val="19"/>
            </w:pPr>
          </w:p>
        </w:tc>
        <w:tc>
          <w:tcPr>
            <w:tcW w:w="1562" w:type="dxa"/>
            <w:vAlign w:val="top"/>
          </w:tcPr>
          <w:p w14:paraId="4A4D6B97">
            <w:pPr>
              <w:pStyle w:val="19"/>
            </w:pPr>
          </w:p>
        </w:tc>
      </w:tr>
      <w:tr w14:paraId="5E103F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563" w:type="dxa"/>
            <w:vAlign w:val="top"/>
          </w:tcPr>
          <w:p w14:paraId="3EE90220">
            <w:pPr>
              <w:pStyle w:val="19"/>
            </w:pPr>
          </w:p>
        </w:tc>
        <w:tc>
          <w:tcPr>
            <w:tcW w:w="1696" w:type="dxa"/>
            <w:vAlign w:val="top"/>
          </w:tcPr>
          <w:p w14:paraId="26B3B982">
            <w:pPr>
              <w:pStyle w:val="19"/>
            </w:pPr>
          </w:p>
        </w:tc>
        <w:tc>
          <w:tcPr>
            <w:tcW w:w="2302" w:type="dxa"/>
            <w:vAlign w:val="top"/>
          </w:tcPr>
          <w:p w14:paraId="48153BC6">
            <w:pPr>
              <w:pStyle w:val="19"/>
            </w:pPr>
          </w:p>
        </w:tc>
        <w:tc>
          <w:tcPr>
            <w:tcW w:w="1557" w:type="dxa"/>
            <w:vAlign w:val="top"/>
          </w:tcPr>
          <w:p w14:paraId="30DBFB78">
            <w:pPr>
              <w:pStyle w:val="19"/>
            </w:pPr>
          </w:p>
        </w:tc>
        <w:tc>
          <w:tcPr>
            <w:tcW w:w="1562" w:type="dxa"/>
            <w:vAlign w:val="top"/>
          </w:tcPr>
          <w:p w14:paraId="0676D09E">
            <w:pPr>
              <w:pStyle w:val="19"/>
            </w:pPr>
          </w:p>
        </w:tc>
      </w:tr>
    </w:tbl>
    <w:p w14:paraId="60D56B0F">
      <w:pPr>
        <w:pStyle w:val="11"/>
      </w:pPr>
    </w:p>
    <w:p w14:paraId="152F2190">
      <w:pPr>
        <w:sectPr>
          <w:footerReference r:id="rId5" w:type="default"/>
          <w:pgSz w:w="11906" w:h="16839"/>
          <w:pgMar w:top="1431" w:right="1561" w:bottom="1374" w:left="1653" w:header="0" w:footer="1211" w:gutter="0"/>
          <w:cols w:space="720" w:num="1"/>
        </w:sectPr>
      </w:pPr>
    </w:p>
    <w:sdt>
      <w:sdtPr>
        <w:rPr>
          <w:rFonts w:ascii="宋体" w:hAnsi="宋体" w:eastAsia="宋体" w:cs="Arial"/>
          <w:snapToGrid w:val="0"/>
          <w:color w:val="000000"/>
          <w:kern w:val="0"/>
          <w:sz w:val="21"/>
          <w:szCs w:val="21"/>
          <w:lang w:val="en-US" w:eastAsia="en-US" w:bidi="ar-SA"/>
        </w:rPr>
        <w:id w:val="147463413"/>
        <w15:color w:val="DBDBDB"/>
        <w:docPartObj>
          <w:docPartGallery w:val="Table of Contents"/>
          <w:docPartUnique/>
        </w:docPartObj>
      </w:sdtPr>
      <w:sdtEndPr>
        <w:rPr>
          <w:rFonts w:ascii="Calibri" w:hAnsi="Calibri" w:eastAsia="Calibri" w:cs="Calibri"/>
          <w:snapToGrid w:val="0"/>
          <w:color w:val="000000"/>
          <w:kern w:val="0"/>
          <w:sz w:val="21"/>
          <w:szCs w:val="22"/>
          <w:lang w:val="en-US" w:eastAsia="en-US" w:bidi="ar-SA"/>
        </w:rPr>
      </w:sdtEndPr>
      <w:sdtContent>
        <w:p w14:paraId="35C00CF3">
          <w:pPr>
            <w:spacing w:before="0" w:beforeLines="0" w:after="0" w:afterLines="0" w:line="240" w:lineRule="auto"/>
            <w:ind w:left="0" w:leftChars="0" w:right="0" w:rightChars="0" w:firstLine="0" w:firstLineChars="0"/>
            <w:jc w:val="center"/>
          </w:pPr>
          <w:r>
            <w:rPr>
              <w:rFonts w:ascii="宋体" w:hAnsi="宋体" w:eastAsia="宋体"/>
              <w:sz w:val="21"/>
            </w:rPr>
            <w:t>目录</w:t>
          </w:r>
        </w:p>
        <w:p w14:paraId="1BE0BACE">
          <w:pPr>
            <w:pStyle w:val="14"/>
            <w:tabs>
              <w:tab w:val="right" w:leader="dot" w:pos="8336"/>
            </w:tabs>
          </w:pPr>
          <w:r>
            <w:rPr>
              <w:rFonts w:ascii="Calibri" w:hAnsi="Calibri" w:eastAsia="Calibri" w:cs="Calibri"/>
              <w:sz w:val="22"/>
              <w:szCs w:val="22"/>
            </w:rPr>
            <w:fldChar w:fldCharType="begin"/>
          </w:r>
          <w:r>
            <w:rPr>
              <w:rFonts w:ascii="Calibri" w:hAnsi="Calibri" w:eastAsia="Calibri" w:cs="Calibri"/>
              <w:sz w:val="22"/>
              <w:szCs w:val="22"/>
            </w:rPr>
            <w:instrText xml:space="preserve">TOC \o "1-3" \h \u </w:instrText>
          </w:r>
          <w:r>
            <w:rPr>
              <w:rFonts w:ascii="Calibri" w:hAnsi="Calibri" w:eastAsia="Calibri" w:cs="Calibri"/>
              <w:sz w:val="22"/>
              <w:szCs w:val="22"/>
            </w:rPr>
            <w:fldChar w:fldCharType="separate"/>
          </w:r>
          <w:r>
            <w:rPr>
              <w:rFonts w:ascii="Calibri" w:hAnsi="Calibri" w:eastAsia="Calibri" w:cs="Calibri"/>
              <w:szCs w:val="22"/>
            </w:rPr>
            <w:fldChar w:fldCharType="begin"/>
          </w:r>
          <w:r>
            <w:rPr>
              <w:rFonts w:ascii="Calibri" w:hAnsi="Calibri" w:eastAsia="Calibri" w:cs="Calibri"/>
              <w:szCs w:val="22"/>
            </w:rPr>
            <w:instrText xml:space="preserve"> HYPERLINK \l _Toc1265 </w:instrText>
          </w:r>
          <w:r>
            <w:rPr>
              <w:rFonts w:ascii="Calibri" w:hAnsi="Calibri" w:eastAsia="Calibri" w:cs="Calibri"/>
              <w:szCs w:val="22"/>
            </w:rPr>
            <w:fldChar w:fldCharType="separate"/>
          </w:r>
          <w:r>
            <w:rPr>
              <w:rFonts w:ascii="宋体" w:hAnsi="宋体" w:eastAsia="宋体" w:cs="宋体"/>
              <w:bCs/>
              <w:spacing w:val="-8"/>
              <w:szCs w:val="52"/>
            </w:rPr>
            <w:t>运维服务人员储备制度</w:t>
          </w:r>
          <w:r>
            <w:tab/>
          </w:r>
          <w:r>
            <w:fldChar w:fldCharType="begin"/>
          </w:r>
          <w:r>
            <w:instrText xml:space="preserve"> PAGEREF _Toc1265 \h </w:instrText>
          </w:r>
          <w:r>
            <w:fldChar w:fldCharType="separate"/>
          </w:r>
          <w:r>
            <w:t>1</w:t>
          </w:r>
          <w:r>
            <w:fldChar w:fldCharType="end"/>
          </w:r>
          <w:r>
            <w:rPr>
              <w:rFonts w:ascii="Calibri" w:hAnsi="Calibri" w:eastAsia="Calibri" w:cs="Calibri"/>
              <w:szCs w:val="22"/>
            </w:rPr>
            <w:fldChar w:fldCharType="end"/>
          </w:r>
        </w:p>
        <w:p w14:paraId="66E37CC5">
          <w:pPr>
            <w:pStyle w:val="14"/>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_Toc31455 </w:instrText>
          </w:r>
          <w:r>
            <w:rPr>
              <w:rFonts w:ascii="Calibri" w:hAnsi="Calibri" w:eastAsia="Calibri" w:cs="Calibri"/>
              <w:szCs w:val="22"/>
            </w:rPr>
            <w:fldChar w:fldCharType="separate"/>
          </w:r>
          <w:r>
            <w:rPr>
              <w:rFonts w:ascii="宋体" w:hAnsi="宋体" w:eastAsia="宋体" w:cs="宋体"/>
              <w:spacing w:val="-3"/>
              <w:szCs w:val="28"/>
            </w:rPr>
            <w:t>文档信息</w:t>
          </w:r>
          <w:r>
            <w:tab/>
          </w:r>
          <w:r>
            <w:fldChar w:fldCharType="begin"/>
          </w:r>
          <w:r>
            <w:instrText xml:space="preserve"> PAGEREF _Toc31455 \h </w:instrText>
          </w:r>
          <w:r>
            <w:fldChar w:fldCharType="separate"/>
          </w:r>
          <w:r>
            <w:t>2</w:t>
          </w:r>
          <w:r>
            <w:fldChar w:fldCharType="end"/>
          </w:r>
          <w:r>
            <w:rPr>
              <w:rFonts w:ascii="Calibri" w:hAnsi="Calibri" w:eastAsia="Calibri" w:cs="Calibri"/>
              <w:szCs w:val="22"/>
            </w:rPr>
            <w:fldChar w:fldCharType="end"/>
          </w:r>
        </w:p>
        <w:p w14:paraId="2F7480AC">
          <w:pPr>
            <w:pStyle w:val="14"/>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_Toc10738 </w:instrText>
          </w:r>
          <w:r>
            <w:rPr>
              <w:rFonts w:ascii="Calibri" w:hAnsi="Calibri" w:eastAsia="Calibri" w:cs="Calibri"/>
              <w:szCs w:val="22"/>
            </w:rPr>
            <w:fldChar w:fldCharType="separate"/>
          </w:r>
          <w:r>
            <w:rPr>
              <w:rFonts w:hint="default"/>
            </w:rPr>
            <w:t xml:space="preserve">1. </w:t>
          </w:r>
          <w:r>
            <w:t>1.简介</w:t>
          </w:r>
          <w:r>
            <w:tab/>
          </w:r>
          <w:r>
            <w:fldChar w:fldCharType="begin"/>
          </w:r>
          <w:r>
            <w:instrText xml:space="preserve"> PAGEREF _Toc10738 \h </w:instrText>
          </w:r>
          <w:r>
            <w:fldChar w:fldCharType="separate"/>
          </w:r>
          <w:r>
            <w:t>4</w:t>
          </w:r>
          <w:r>
            <w:fldChar w:fldCharType="end"/>
          </w:r>
          <w:r>
            <w:rPr>
              <w:rFonts w:ascii="Calibri" w:hAnsi="Calibri" w:eastAsia="Calibri" w:cs="Calibri"/>
              <w:szCs w:val="22"/>
            </w:rPr>
            <w:fldChar w:fldCharType="end"/>
          </w:r>
        </w:p>
        <w:p w14:paraId="1C4C6C62">
          <w:pPr>
            <w:pStyle w:val="15"/>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_Toc29135 </w:instrText>
          </w:r>
          <w:r>
            <w:rPr>
              <w:rFonts w:ascii="Calibri" w:hAnsi="Calibri" w:eastAsia="Calibri" w:cs="Calibri"/>
              <w:szCs w:val="22"/>
            </w:rPr>
            <w:fldChar w:fldCharType="separate"/>
          </w:r>
          <w:r>
            <w:rPr>
              <w:rFonts w:hint="default"/>
            </w:rPr>
            <w:t xml:space="preserve">1.1. </w:t>
          </w:r>
          <w:r>
            <w:t>目的</w:t>
          </w:r>
          <w:r>
            <w:tab/>
          </w:r>
          <w:r>
            <w:fldChar w:fldCharType="begin"/>
          </w:r>
          <w:r>
            <w:instrText xml:space="preserve"> PAGEREF _Toc29135 \h </w:instrText>
          </w:r>
          <w:r>
            <w:fldChar w:fldCharType="separate"/>
          </w:r>
          <w:r>
            <w:t>4</w:t>
          </w:r>
          <w:r>
            <w:fldChar w:fldCharType="end"/>
          </w:r>
          <w:r>
            <w:rPr>
              <w:rFonts w:ascii="Calibri" w:hAnsi="Calibri" w:eastAsia="Calibri" w:cs="Calibri"/>
              <w:szCs w:val="22"/>
            </w:rPr>
            <w:fldChar w:fldCharType="end"/>
          </w:r>
        </w:p>
        <w:p w14:paraId="33B2E570">
          <w:pPr>
            <w:pStyle w:val="15"/>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_Toc17384 </w:instrText>
          </w:r>
          <w:r>
            <w:rPr>
              <w:rFonts w:ascii="Calibri" w:hAnsi="Calibri" w:eastAsia="Calibri" w:cs="Calibri"/>
              <w:szCs w:val="22"/>
            </w:rPr>
            <w:fldChar w:fldCharType="separate"/>
          </w:r>
          <w:r>
            <w:rPr>
              <w:rFonts w:hint="default"/>
            </w:rPr>
            <w:t xml:space="preserve">1.2. </w:t>
          </w:r>
          <w:r>
            <w:t>原则</w:t>
          </w:r>
          <w:r>
            <w:tab/>
          </w:r>
          <w:r>
            <w:fldChar w:fldCharType="begin"/>
          </w:r>
          <w:r>
            <w:instrText xml:space="preserve"> PAGEREF _Toc17384 \h </w:instrText>
          </w:r>
          <w:r>
            <w:fldChar w:fldCharType="separate"/>
          </w:r>
          <w:r>
            <w:t>4</w:t>
          </w:r>
          <w:r>
            <w:fldChar w:fldCharType="end"/>
          </w:r>
          <w:r>
            <w:rPr>
              <w:rFonts w:ascii="Calibri" w:hAnsi="Calibri" w:eastAsia="Calibri" w:cs="Calibri"/>
              <w:szCs w:val="22"/>
            </w:rPr>
            <w:fldChar w:fldCharType="end"/>
          </w:r>
        </w:p>
        <w:p w14:paraId="62EA882E">
          <w:pPr>
            <w:pStyle w:val="12"/>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_Toc5565 </w:instrText>
          </w:r>
          <w:r>
            <w:rPr>
              <w:rFonts w:ascii="Calibri" w:hAnsi="Calibri" w:eastAsia="Calibri" w:cs="Calibri"/>
              <w:szCs w:val="22"/>
            </w:rPr>
            <w:fldChar w:fldCharType="separate"/>
          </w:r>
          <w:r>
            <w:rPr>
              <w:rFonts w:hint="default"/>
            </w:rPr>
            <w:t xml:space="preserve">1.2.1. </w:t>
          </w:r>
          <w:r>
            <w:t>适用原则</w:t>
          </w:r>
          <w:r>
            <w:tab/>
          </w:r>
          <w:r>
            <w:fldChar w:fldCharType="begin"/>
          </w:r>
          <w:r>
            <w:instrText xml:space="preserve"> PAGEREF _Toc5565 \h </w:instrText>
          </w:r>
          <w:r>
            <w:fldChar w:fldCharType="separate"/>
          </w:r>
          <w:r>
            <w:t>4</w:t>
          </w:r>
          <w:r>
            <w:fldChar w:fldCharType="end"/>
          </w:r>
          <w:r>
            <w:rPr>
              <w:rFonts w:ascii="Calibri" w:hAnsi="Calibri" w:eastAsia="Calibri" w:cs="Calibri"/>
              <w:szCs w:val="22"/>
            </w:rPr>
            <w:fldChar w:fldCharType="end"/>
          </w:r>
        </w:p>
        <w:p w14:paraId="4405936F">
          <w:pPr>
            <w:pStyle w:val="12"/>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_Toc14411 </w:instrText>
          </w:r>
          <w:r>
            <w:rPr>
              <w:rFonts w:ascii="Calibri" w:hAnsi="Calibri" w:eastAsia="Calibri" w:cs="Calibri"/>
              <w:szCs w:val="22"/>
            </w:rPr>
            <w:fldChar w:fldCharType="separate"/>
          </w:r>
          <w:r>
            <w:rPr>
              <w:rFonts w:hint="default"/>
            </w:rPr>
            <w:t xml:space="preserve">1.2.2. </w:t>
          </w:r>
          <w:r>
            <w:t>以人为本的原则</w:t>
          </w:r>
          <w:r>
            <w:tab/>
          </w:r>
          <w:r>
            <w:fldChar w:fldCharType="begin"/>
          </w:r>
          <w:r>
            <w:instrText xml:space="preserve"> PAGEREF _Toc14411 \h </w:instrText>
          </w:r>
          <w:r>
            <w:fldChar w:fldCharType="separate"/>
          </w:r>
          <w:r>
            <w:t>4</w:t>
          </w:r>
          <w:r>
            <w:fldChar w:fldCharType="end"/>
          </w:r>
          <w:r>
            <w:rPr>
              <w:rFonts w:ascii="Calibri" w:hAnsi="Calibri" w:eastAsia="Calibri" w:cs="Calibri"/>
              <w:szCs w:val="22"/>
            </w:rPr>
            <w:fldChar w:fldCharType="end"/>
          </w:r>
        </w:p>
        <w:p w14:paraId="59D51777">
          <w:pPr>
            <w:pStyle w:val="12"/>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_Toc30511 </w:instrText>
          </w:r>
          <w:r>
            <w:rPr>
              <w:rFonts w:ascii="Calibri" w:hAnsi="Calibri" w:eastAsia="Calibri" w:cs="Calibri"/>
              <w:szCs w:val="22"/>
            </w:rPr>
            <w:fldChar w:fldCharType="separate"/>
          </w:r>
          <w:r>
            <w:rPr>
              <w:rFonts w:hint="default"/>
            </w:rPr>
            <w:t xml:space="preserve">1.2.3. </w:t>
          </w:r>
          <w:r>
            <w:t>权变原则</w:t>
          </w:r>
          <w:r>
            <w:tab/>
          </w:r>
          <w:r>
            <w:fldChar w:fldCharType="begin"/>
          </w:r>
          <w:r>
            <w:instrText xml:space="preserve"> PAGEREF _Toc30511 \h </w:instrText>
          </w:r>
          <w:r>
            <w:fldChar w:fldCharType="separate"/>
          </w:r>
          <w:r>
            <w:t>4</w:t>
          </w:r>
          <w:r>
            <w:fldChar w:fldCharType="end"/>
          </w:r>
          <w:r>
            <w:rPr>
              <w:rFonts w:ascii="Calibri" w:hAnsi="Calibri" w:eastAsia="Calibri" w:cs="Calibri"/>
              <w:szCs w:val="22"/>
            </w:rPr>
            <w:fldChar w:fldCharType="end"/>
          </w:r>
        </w:p>
        <w:p w14:paraId="1B41193C">
          <w:pPr>
            <w:pStyle w:val="14"/>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_Toc15054 </w:instrText>
          </w:r>
          <w:r>
            <w:rPr>
              <w:rFonts w:ascii="Calibri" w:hAnsi="Calibri" w:eastAsia="Calibri" w:cs="Calibri"/>
              <w:szCs w:val="22"/>
            </w:rPr>
            <w:fldChar w:fldCharType="separate"/>
          </w:r>
          <w:r>
            <w:rPr>
              <w:rFonts w:hint="default"/>
            </w:rPr>
            <w:t xml:space="preserve">2. </w:t>
          </w:r>
          <w:r>
            <w:t>储备原因分类</w:t>
          </w:r>
          <w:r>
            <w:tab/>
          </w:r>
          <w:r>
            <w:fldChar w:fldCharType="begin"/>
          </w:r>
          <w:r>
            <w:instrText xml:space="preserve"> PAGEREF _Toc15054 \h </w:instrText>
          </w:r>
          <w:r>
            <w:fldChar w:fldCharType="separate"/>
          </w:r>
          <w:r>
            <w:t>4</w:t>
          </w:r>
          <w:r>
            <w:fldChar w:fldCharType="end"/>
          </w:r>
          <w:r>
            <w:rPr>
              <w:rFonts w:ascii="Calibri" w:hAnsi="Calibri" w:eastAsia="Calibri" w:cs="Calibri"/>
              <w:szCs w:val="22"/>
            </w:rPr>
            <w:fldChar w:fldCharType="end"/>
          </w:r>
        </w:p>
        <w:p w14:paraId="3DE26E43">
          <w:pPr>
            <w:pStyle w:val="14"/>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_Toc21311 </w:instrText>
          </w:r>
          <w:r>
            <w:rPr>
              <w:rFonts w:ascii="Calibri" w:hAnsi="Calibri" w:eastAsia="Calibri" w:cs="Calibri"/>
              <w:szCs w:val="22"/>
            </w:rPr>
            <w:fldChar w:fldCharType="separate"/>
          </w:r>
          <w:r>
            <w:rPr>
              <w:rFonts w:hint="default"/>
            </w:rPr>
            <w:t xml:space="preserve">3. </w:t>
          </w:r>
          <w:r>
            <w:t>储备人才分类</w:t>
          </w:r>
          <w:r>
            <w:tab/>
          </w:r>
          <w:r>
            <w:fldChar w:fldCharType="begin"/>
          </w:r>
          <w:r>
            <w:instrText xml:space="preserve"> PAGEREF _Toc21311 \h </w:instrText>
          </w:r>
          <w:r>
            <w:fldChar w:fldCharType="separate"/>
          </w:r>
          <w:r>
            <w:t>4</w:t>
          </w:r>
          <w:r>
            <w:fldChar w:fldCharType="end"/>
          </w:r>
          <w:r>
            <w:rPr>
              <w:rFonts w:ascii="Calibri" w:hAnsi="Calibri" w:eastAsia="Calibri" w:cs="Calibri"/>
              <w:szCs w:val="22"/>
            </w:rPr>
            <w:fldChar w:fldCharType="end"/>
          </w:r>
        </w:p>
        <w:p w14:paraId="3FE0026E">
          <w:pPr>
            <w:pStyle w:val="14"/>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_Toc29553 </w:instrText>
          </w:r>
          <w:r>
            <w:rPr>
              <w:rFonts w:ascii="Calibri" w:hAnsi="Calibri" w:eastAsia="Calibri" w:cs="Calibri"/>
              <w:szCs w:val="22"/>
            </w:rPr>
            <w:fldChar w:fldCharType="separate"/>
          </w:r>
          <w:r>
            <w:rPr>
              <w:rFonts w:hint="default"/>
            </w:rPr>
            <w:t xml:space="preserve">4. </w:t>
          </w:r>
          <w:r>
            <w:t>储备人才渠道</w:t>
          </w:r>
          <w:r>
            <w:tab/>
          </w:r>
          <w:r>
            <w:fldChar w:fldCharType="begin"/>
          </w:r>
          <w:r>
            <w:instrText xml:space="preserve"> PAGEREF _Toc29553 \h </w:instrText>
          </w:r>
          <w:r>
            <w:fldChar w:fldCharType="separate"/>
          </w:r>
          <w:r>
            <w:t>5</w:t>
          </w:r>
          <w:r>
            <w:fldChar w:fldCharType="end"/>
          </w:r>
          <w:r>
            <w:rPr>
              <w:rFonts w:ascii="Calibri" w:hAnsi="Calibri" w:eastAsia="Calibri" w:cs="Calibri"/>
              <w:szCs w:val="22"/>
            </w:rPr>
            <w:fldChar w:fldCharType="end"/>
          </w:r>
        </w:p>
        <w:p w14:paraId="53D9A08B">
          <w:pPr>
            <w:pStyle w:val="15"/>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_Toc23547 </w:instrText>
          </w:r>
          <w:r>
            <w:rPr>
              <w:rFonts w:ascii="Calibri" w:hAnsi="Calibri" w:eastAsia="Calibri" w:cs="Calibri"/>
              <w:szCs w:val="22"/>
            </w:rPr>
            <w:fldChar w:fldCharType="separate"/>
          </w:r>
          <w:r>
            <w:rPr>
              <w:rFonts w:hint="default"/>
            </w:rPr>
            <w:t xml:space="preserve">4.1. </w:t>
          </w:r>
          <w:r>
            <w:t>外部招聘渠道</w:t>
          </w:r>
          <w:r>
            <w:tab/>
          </w:r>
          <w:r>
            <w:fldChar w:fldCharType="begin"/>
          </w:r>
          <w:r>
            <w:instrText xml:space="preserve"> PAGEREF _Toc23547 \h </w:instrText>
          </w:r>
          <w:r>
            <w:fldChar w:fldCharType="separate"/>
          </w:r>
          <w:r>
            <w:t>5</w:t>
          </w:r>
          <w:r>
            <w:fldChar w:fldCharType="end"/>
          </w:r>
          <w:r>
            <w:rPr>
              <w:rFonts w:ascii="Calibri" w:hAnsi="Calibri" w:eastAsia="Calibri" w:cs="Calibri"/>
              <w:szCs w:val="22"/>
            </w:rPr>
            <w:fldChar w:fldCharType="end"/>
          </w:r>
        </w:p>
        <w:p w14:paraId="3F159488">
          <w:pPr>
            <w:pStyle w:val="15"/>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_Toc30190 </w:instrText>
          </w:r>
          <w:r>
            <w:rPr>
              <w:rFonts w:ascii="Calibri" w:hAnsi="Calibri" w:eastAsia="Calibri" w:cs="Calibri"/>
              <w:szCs w:val="22"/>
            </w:rPr>
            <w:fldChar w:fldCharType="separate"/>
          </w:r>
          <w:r>
            <w:rPr>
              <w:rFonts w:hint="default"/>
            </w:rPr>
            <w:t xml:space="preserve">4.2. </w:t>
          </w:r>
          <w:r>
            <w:t>内部招聘渠道</w:t>
          </w:r>
          <w:r>
            <w:tab/>
          </w:r>
          <w:r>
            <w:fldChar w:fldCharType="begin"/>
          </w:r>
          <w:r>
            <w:instrText xml:space="preserve"> PAGEREF _Toc30190 \h </w:instrText>
          </w:r>
          <w:r>
            <w:fldChar w:fldCharType="separate"/>
          </w:r>
          <w:r>
            <w:t>5</w:t>
          </w:r>
          <w:r>
            <w:fldChar w:fldCharType="end"/>
          </w:r>
          <w:r>
            <w:rPr>
              <w:rFonts w:ascii="Calibri" w:hAnsi="Calibri" w:eastAsia="Calibri" w:cs="Calibri"/>
              <w:szCs w:val="22"/>
            </w:rPr>
            <w:fldChar w:fldCharType="end"/>
          </w:r>
        </w:p>
        <w:p w14:paraId="7DECA80F">
          <w:pPr>
            <w:pStyle w:val="15"/>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_Toc24717 </w:instrText>
          </w:r>
          <w:r>
            <w:rPr>
              <w:rFonts w:ascii="Calibri" w:hAnsi="Calibri" w:eastAsia="Calibri" w:cs="Calibri"/>
              <w:szCs w:val="22"/>
            </w:rPr>
            <w:fldChar w:fldCharType="separate"/>
          </w:r>
          <w:r>
            <w:rPr>
              <w:rFonts w:hint="default"/>
            </w:rPr>
            <w:t xml:space="preserve">4.3. </w:t>
          </w:r>
          <w:r>
            <w:t>内部调控和培养</w:t>
          </w:r>
          <w:r>
            <w:tab/>
          </w:r>
          <w:r>
            <w:fldChar w:fldCharType="begin"/>
          </w:r>
          <w:r>
            <w:instrText xml:space="preserve"> PAGEREF _Toc24717 \h </w:instrText>
          </w:r>
          <w:r>
            <w:fldChar w:fldCharType="separate"/>
          </w:r>
          <w:r>
            <w:t>5</w:t>
          </w:r>
          <w:r>
            <w:fldChar w:fldCharType="end"/>
          </w:r>
          <w:r>
            <w:rPr>
              <w:rFonts w:ascii="Calibri" w:hAnsi="Calibri" w:eastAsia="Calibri" w:cs="Calibri"/>
              <w:szCs w:val="22"/>
            </w:rPr>
            <w:fldChar w:fldCharType="end"/>
          </w:r>
        </w:p>
        <w:p w14:paraId="66E3CE64">
          <w:pPr>
            <w:pStyle w:val="14"/>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_Toc7611 </w:instrText>
          </w:r>
          <w:r>
            <w:rPr>
              <w:rFonts w:ascii="Calibri" w:hAnsi="Calibri" w:eastAsia="Calibri" w:cs="Calibri"/>
              <w:szCs w:val="22"/>
            </w:rPr>
            <w:fldChar w:fldCharType="separate"/>
          </w:r>
          <w:r>
            <w:rPr>
              <w:rFonts w:hint="default"/>
            </w:rPr>
            <w:t xml:space="preserve">5. </w:t>
          </w:r>
          <w:r>
            <w:t>储备人才的培养与考核</w:t>
          </w:r>
          <w:r>
            <w:tab/>
          </w:r>
          <w:r>
            <w:fldChar w:fldCharType="begin"/>
          </w:r>
          <w:r>
            <w:instrText xml:space="preserve"> PAGEREF _Toc7611 \h </w:instrText>
          </w:r>
          <w:r>
            <w:fldChar w:fldCharType="separate"/>
          </w:r>
          <w:r>
            <w:t>5</w:t>
          </w:r>
          <w:r>
            <w:fldChar w:fldCharType="end"/>
          </w:r>
          <w:r>
            <w:rPr>
              <w:rFonts w:ascii="Calibri" w:hAnsi="Calibri" w:eastAsia="Calibri" w:cs="Calibri"/>
              <w:szCs w:val="22"/>
            </w:rPr>
            <w:fldChar w:fldCharType="end"/>
          </w:r>
        </w:p>
        <w:p w14:paraId="1695CEDE">
          <w:pPr>
            <w:pStyle w:val="15"/>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_Toc15294 </w:instrText>
          </w:r>
          <w:r>
            <w:rPr>
              <w:rFonts w:ascii="Calibri" w:hAnsi="Calibri" w:eastAsia="Calibri" w:cs="Calibri"/>
              <w:szCs w:val="22"/>
            </w:rPr>
            <w:fldChar w:fldCharType="separate"/>
          </w:r>
          <w:r>
            <w:rPr>
              <w:rFonts w:hint="default"/>
            </w:rPr>
            <w:t xml:space="preserve">5.1. </w:t>
          </w:r>
          <w:r>
            <w:t>建立长效的培训机制</w:t>
          </w:r>
          <w:r>
            <w:tab/>
          </w:r>
          <w:r>
            <w:fldChar w:fldCharType="begin"/>
          </w:r>
          <w:r>
            <w:instrText xml:space="preserve"> PAGEREF _Toc15294 \h </w:instrText>
          </w:r>
          <w:r>
            <w:fldChar w:fldCharType="separate"/>
          </w:r>
          <w:r>
            <w:t>5</w:t>
          </w:r>
          <w:r>
            <w:fldChar w:fldCharType="end"/>
          </w:r>
          <w:r>
            <w:rPr>
              <w:rFonts w:ascii="Calibri" w:hAnsi="Calibri" w:eastAsia="Calibri" w:cs="Calibri"/>
              <w:szCs w:val="22"/>
            </w:rPr>
            <w:fldChar w:fldCharType="end"/>
          </w:r>
        </w:p>
        <w:p w14:paraId="5C935E47">
          <w:pPr>
            <w:pStyle w:val="15"/>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_Toc15100 </w:instrText>
          </w:r>
          <w:r>
            <w:rPr>
              <w:rFonts w:ascii="Calibri" w:hAnsi="Calibri" w:eastAsia="Calibri" w:cs="Calibri"/>
              <w:szCs w:val="22"/>
            </w:rPr>
            <w:fldChar w:fldCharType="separate"/>
          </w:r>
          <w:r>
            <w:rPr>
              <w:rFonts w:hint="default"/>
            </w:rPr>
            <w:t xml:space="preserve">5.2. </w:t>
          </w:r>
          <w:r>
            <w:t>利用社会培训资源对储备人才能力提升作用</w:t>
          </w:r>
          <w:r>
            <w:tab/>
          </w:r>
          <w:r>
            <w:fldChar w:fldCharType="begin"/>
          </w:r>
          <w:r>
            <w:instrText xml:space="preserve"> PAGEREF _Toc15100 \h </w:instrText>
          </w:r>
          <w:r>
            <w:fldChar w:fldCharType="separate"/>
          </w:r>
          <w:r>
            <w:t>5</w:t>
          </w:r>
          <w:r>
            <w:fldChar w:fldCharType="end"/>
          </w:r>
          <w:r>
            <w:rPr>
              <w:rFonts w:ascii="Calibri" w:hAnsi="Calibri" w:eastAsia="Calibri" w:cs="Calibri"/>
              <w:szCs w:val="22"/>
            </w:rPr>
            <w:fldChar w:fldCharType="end"/>
          </w:r>
        </w:p>
        <w:p w14:paraId="73FB5EC6">
          <w:pPr>
            <w:pStyle w:val="14"/>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_Toc25503 </w:instrText>
          </w:r>
          <w:r>
            <w:rPr>
              <w:rFonts w:ascii="Calibri" w:hAnsi="Calibri" w:eastAsia="Calibri" w:cs="Calibri"/>
              <w:szCs w:val="22"/>
            </w:rPr>
            <w:fldChar w:fldCharType="separate"/>
          </w:r>
          <w:r>
            <w:rPr>
              <w:rFonts w:hint="default"/>
            </w:rPr>
            <w:t xml:space="preserve">6. </w:t>
          </w:r>
          <w:r>
            <w:t>储备人才的激励</w:t>
          </w:r>
          <w:r>
            <w:tab/>
          </w:r>
          <w:r>
            <w:fldChar w:fldCharType="begin"/>
          </w:r>
          <w:r>
            <w:instrText xml:space="preserve"> PAGEREF _Toc25503 \h </w:instrText>
          </w:r>
          <w:r>
            <w:fldChar w:fldCharType="separate"/>
          </w:r>
          <w:r>
            <w:t>6</w:t>
          </w:r>
          <w:r>
            <w:fldChar w:fldCharType="end"/>
          </w:r>
          <w:r>
            <w:rPr>
              <w:rFonts w:ascii="Calibri" w:hAnsi="Calibri" w:eastAsia="Calibri" w:cs="Calibri"/>
              <w:szCs w:val="22"/>
            </w:rPr>
            <w:fldChar w:fldCharType="end"/>
          </w:r>
        </w:p>
        <w:p w14:paraId="3C5683B7">
          <w:pPr>
            <w:pStyle w:val="14"/>
            <w:tabs>
              <w:tab w:val="right" w:leader="dot" w:pos="8336"/>
            </w:tabs>
          </w:pPr>
          <w:r>
            <w:rPr>
              <w:rFonts w:ascii="Calibri" w:hAnsi="Calibri" w:eastAsia="Calibri" w:cs="Calibri"/>
              <w:szCs w:val="22"/>
            </w:rPr>
            <w:fldChar w:fldCharType="begin"/>
          </w:r>
          <w:r>
            <w:rPr>
              <w:rFonts w:ascii="Calibri" w:hAnsi="Calibri" w:eastAsia="Calibri" w:cs="Calibri"/>
              <w:szCs w:val="22"/>
            </w:rPr>
            <w:instrText xml:space="preserve"> HYPERLINK \l _Toc8209 </w:instrText>
          </w:r>
          <w:r>
            <w:rPr>
              <w:rFonts w:ascii="Calibri" w:hAnsi="Calibri" w:eastAsia="Calibri" w:cs="Calibri"/>
              <w:szCs w:val="22"/>
            </w:rPr>
            <w:fldChar w:fldCharType="separate"/>
          </w:r>
          <w:r>
            <w:rPr>
              <w:rFonts w:hint="default"/>
            </w:rPr>
            <w:t xml:space="preserve">7. </w:t>
          </w:r>
          <w:r>
            <w:t>流程衡量指标</w:t>
          </w:r>
          <w:bookmarkStart w:id="28" w:name="_GoBack"/>
          <w:bookmarkEnd w:id="28"/>
          <w:r>
            <w:tab/>
          </w:r>
          <w:r>
            <w:fldChar w:fldCharType="begin"/>
          </w:r>
          <w:r>
            <w:instrText xml:space="preserve"> PAGEREF _Toc8209 \h </w:instrText>
          </w:r>
          <w:r>
            <w:fldChar w:fldCharType="separate"/>
          </w:r>
          <w:r>
            <w:t>6</w:t>
          </w:r>
          <w:r>
            <w:fldChar w:fldCharType="end"/>
          </w:r>
          <w:r>
            <w:rPr>
              <w:rFonts w:ascii="Calibri" w:hAnsi="Calibri" w:eastAsia="Calibri" w:cs="Calibri"/>
              <w:szCs w:val="22"/>
            </w:rPr>
            <w:fldChar w:fldCharType="end"/>
          </w:r>
        </w:p>
        <w:p w14:paraId="0623D8B8">
          <w:pPr>
            <w:spacing w:line="219" w:lineRule="auto"/>
            <w:rPr>
              <w:rFonts w:ascii="Calibri" w:hAnsi="Calibri" w:eastAsia="Calibri" w:cs="Calibri"/>
              <w:snapToGrid w:val="0"/>
              <w:color w:val="000000"/>
              <w:kern w:val="0"/>
              <w:sz w:val="21"/>
              <w:szCs w:val="22"/>
              <w:lang w:val="en-US" w:eastAsia="en-US" w:bidi="ar-SA"/>
            </w:rPr>
          </w:pPr>
          <w:r>
            <w:rPr>
              <w:rFonts w:ascii="Calibri" w:hAnsi="Calibri" w:eastAsia="Calibri" w:cs="Calibri"/>
              <w:szCs w:val="22"/>
            </w:rPr>
            <w:fldChar w:fldCharType="end"/>
          </w:r>
        </w:p>
      </w:sdtContent>
    </w:sdt>
    <w:p w14:paraId="290A1088">
      <w:pPr>
        <w:spacing w:line="219" w:lineRule="auto"/>
        <w:rPr>
          <w:rFonts w:ascii="Calibri" w:hAnsi="Calibri" w:eastAsia="Calibri" w:cs="Calibri"/>
          <w:snapToGrid w:val="0"/>
          <w:color w:val="000000"/>
          <w:kern w:val="0"/>
          <w:sz w:val="21"/>
          <w:szCs w:val="22"/>
          <w:lang w:val="en-US" w:eastAsia="en-US" w:bidi="ar-SA"/>
        </w:rPr>
        <w:sectPr>
          <w:footerReference r:id="rId6" w:type="default"/>
          <w:pgSz w:w="11906" w:h="16839"/>
          <w:pgMar w:top="1431" w:right="1785" w:bottom="1375" w:left="1785" w:header="0" w:footer="1211" w:gutter="0"/>
          <w:cols w:space="720" w:num="1"/>
        </w:sectPr>
      </w:pPr>
    </w:p>
    <w:p w14:paraId="0E3BFE6C">
      <w:pPr>
        <w:pStyle w:val="20"/>
        <w:bidi w:val="0"/>
      </w:pPr>
      <w:bookmarkStart w:id="2" w:name="bookmark1"/>
      <w:bookmarkEnd w:id="2"/>
      <w:bookmarkStart w:id="3" w:name="_Toc10738"/>
      <w:r>
        <w:t>1.简介</w:t>
      </w:r>
      <w:bookmarkEnd w:id="3"/>
    </w:p>
    <w:p w14:paraId="59E289C5">
      <w:pPr>
        <w:pStyle w:val="21"/>
        <w:bidi w:val="0"/>
      </w:pPr>
      <w:bookmarkStart w:id="4" w:name="bookmark1"/>
      <w:bookmarkEnd w:id="4"/>
      <w:bookmarkStart w:id="5" w:name="_Toc29135"/>
      <w:r>
        <w:t>目的</w:t>
      </w:r>
      <w:bookmarkEnd w:id="5"/>
    </w:p>
    <w:p w14:paraId="17986A1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人力资源储备是为公司发展所需的人力提供后备保障，是公</w:t>
      </w:r>
      <w:r>
        <w:rPr>
          <w:rFonts w:ascii="宋体" w:hAnsi="宋体" w:eastAsia="宋体" w:cs="宋体"/>
          <w:spacing w:val="-1"/>
          <w:sz w:val="21"/>
          <w:szCs w:val="21"/>
        </w:rPr>
        <w:t>司资源管理的核心内容之</w:t>
      </w:r>
      <w:r>
        <w:rPr>
          <w:rFonts w:ascii="宋体" w:hAnsi="宋体" w:eastAsia="宋体" w:cs="宋体"/>
          <w:sz w:val="21"/>
          <w:szCs w:val="21"/>
        </w:rPr>
        <w:t>一。公司在整体战略框架基础上</w:t>
      </w:r>
      <w:r>
        <w:rPr>
          <w:rFonts w:ascii="Calibri" w:hAnsi="Calibri" w:eastAsia="Calibri" w:cs="Calibri"/>
          <w:sz w:val="21"/>
          <w:szCs w:val="21"/>
        </w:rPr>
        <w:t>,</w:t>
      </w:r>
      <w:r>
        <w:rPr>
          <w:rFonts w:ascii="宋体" w:hAnsi="宋体" w:eastAsia="宋体" w:cs="宋体"/>
          <w:sz w:val="21"/>
          <w:szCs w:val="21"/>
        </w:rPr>
        <w:t>事先做好各职位候选人的规划、招聘、</w:t>
      </w:r>
      <w:r>
        <w:rPr>
          <w:rFonts w:ascii="宋体" w:hAnsi="宋体" w:eastAsia="宋体" w:cs="宋体"/>
          <w:spacing w:val="-1"/>
          <w:sz w:val="21"/>
          <w:szCs w:val="21"/>
        </w:rPr>
        <w:t>培训、晋升和考核</w:t>
      </w:r>
      <w:r>
        <w:rPr>
          <w:rFonts w:ascii="Calibri" w:hAnsi="Calibri" w:eastAsia="Calibri" w:cs="Calibri"/>
          <w:spacing w:val="-1"/>
          <w:sz w:val="21"/>
          <w:szCs w:val="21"/>
        </w:rPr>
        <w:t>,</w:t>
      </w:r>
      <w:r>
        <w:rPr>
          <w:rFonts w:ascii="宋体" w:hAnsi="宋体" w:eastAsia="宋体" w:cs="宋体"/>
          <w:sz w:val="21"/>
          <w:szCs w:val="21"/>
        </w:rPr>
        <w:t>并辅于相关的制度流程和服务管理等全局思考和预见性的谋划</w:t>
      </w:r>
      <w:r>
        <w:rPr>
          <w:rFonts w:ascii="Calibri" w:hAnsi="Calibri" w:eastAsia="Calibri" w:cs="Calibri"/>
          <w:sz w:val="21"/>
          <w:szCs w:val="21"/>
        </w:rPr>
        <w:t>,</w:t>
      </w:r>
      <w:r>
        <w:rPr>
          <w:rFonts w:ascii="宋体" w:hAnsi="宋体" w:eastAsia="宋体" w:cs="宋体"/>
          <w:sz w:val="21"/>
          <w:szCs w:val="21"/>
        </w:rPr>
        <w:t>实现科</w:t>
      </w:r>
      <w:r>
        <w:rPr>
          <w:rFonts w:ascii="宋体" w:hAnsi="宋体" w:eastAsia="宋体" w:cs="宋体"/>
          <w:spacing w:val="-1"/>
          <w:sz w:val="21"/>
          <w:szCs w:val="21"/>
        </w:rPr>
        <w:t>学的留才、育才、用才观念，使公司人力资源战略与公司的发展战略同步、稳定、协</w:t>
      </w:r>
      <w:r>
        <w:rPr>
          <w:rFonts w:ascii="宋体" w:hAnsi="宋体" w:eastAsia="宋体" w:cs="宋体"/>
          <w:spacing w:val="-2"/>
          <w:sz w:val="21"/>
          <w:szCs w:val="21"/>
        </w:rPr>
        <w:t>调的运作。</w:t>
      </w:r>
    </w:p>
    <w:p w14:paraId="160D1781">
      <w:pPr>
        <w:pStyle w:val="21"/>
        <w:bidi w:val="0"/>
      </w:pPr>
      <w:bookmarkStart w:id="6" w:name="bookmark1"/>
      <w:bookmarkEnd w:id="6"/>
      <w:bookmarkStart w:id="7" w:name="_Toc17384"/>
      <w:r>
        <w:t>原则</w:t>
      </w:r>
      <w:bookmarkEnd w:id="7"/>
    </w:p>
    <w:p w14:paraId="4DB7F067">
      <w:pPr>
        <w:pStyle w:val="22"/>
        <w:bidi w:val="0"/>
      </w:pPr>
      <w:bookmarkStart w:id="8" w:name="_Toc5565"/>
      <w:r>
        <w:t>适用原则</w:t>
      </w:r>
      <w:bookmarkEnd w:id="8"/>
    </w:p>
    <w:p w14:paraId="6629BC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公司实施人力资源储备的主要目的是避免出现人才缺位，并满足公司战略发展需求。而保持员工的稳定,公司基于各阶段的业务规模、对人才的实际要求、资源条件等。</w:t>
      </w:r>
    </w:p>
    <w:p w14:paraId="56C3AFB5">
      <w:pPr>
        <w:pStyle w:val="22"/>
        <w:bidi w:val="0"/>
      </w:pPr>
      <w:bookmarkStart w:id="9" w:name="_Toc14411"/>
      <w:r>
        <w:t>以人为本的原则</w:t>
      </w:r>
      <w:bookmarkEnd w:id="9"/>
    </w:p>
    <w:p w14:paraId="2B363DC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建立与新老员工之间的诚实信用关系，以员工的实际利益为中心，将公司的实际情况和员工的未来发展晋升规划等方面内容全部向员工交待清楚，使之有较好的心理准备或重新进行职业选择，这样才能使员工从内心深处树立起自身发展与公司的发展血肉相连的关系，忠诚于企业。</w:t>
      </w:r>
    </w:p>
    <w:p w14:paraId="1ADD18DA">
      <w:pPr>
        <w:pStyle w:val="22"/>
        <w:bidi w:val="0"/>
      </w:pPr>
      <w:r>
        <w:t xml:space="preserve"> </w:t>
      </w:r>
      <w:bookmarkStart w:id="10" w:name="_Toc30511"/>
      <w:r>
        <w:t>权变原则</w:t>
      </w:r>
      <w:bookmarkEnd w:id="10"/>
    </w:p>
    <w:p w14:paraId="276562B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将此原则运用于公司的发展战略和内部员工调整。因为公司的经营环境处在不断的变化之中，相应的人才储备方向和人力资源要求层次、知识结构、工作经验等也不能脱离具体的环境，需把握环境变化和公司的实际情况。</w:t>
      </w:r>
    </w:p>
    <w:p w14:paraId="6947A70A">
      <w:pPr>
        <w:pStyle w:val="20"/>
        <w:bidi w:val="0"/>
      </w:pPr>
      <w:bookmarkStart w:id="11" w:name="bookmark1"/>
      <w:bookmarkEnd w:id="11"/>
      <w:bookmarkStart w:id="12" w:name="_Toc15054"/>
      <w:r>
        <w:t>储备原因分类</w:t>
      </w:r>
      <w:bookmarkEnd w:id="12"/>
    </w:p>
    <w:p w14:paraId="282CF568">
      <w:pPr>
        <w:numPr>
          <w:ilvl w:val="0"/>
          <w:numId w:val="2"/>
        </w:numPr>
        <w:spacing w:before="86" w:line="220" w:lineRule="auto"/>
        <w:ind w:left="425" w:leftChars="0" w:hanging="425" w:firstLineChars="0"/>
        <w:rPr>
          <w:rFonts w:ascii="宋体" w:hAnsi="宋体" w:eastAsia="宋体" w:cs="宋体"/>
          <w:sz w:val="21"/>
          <w:szCs w:val="21"/>
        </w:rPr>
      </w:pPr>
      <w:r>
        <w:rPr>
          <w:rFonts w:ascii="宋体" w:hAnsi="宋体" w:eastAsia="宋体" w:cs="宋体"/>
          <w:spacing w:val="-1"/>
          <w:sz w:val="21"/>
          <w:szCs w:val="21"/>
        </w:rPr>
        <w:t>常规储备：根据年度岗位员工离职率等指标进行的储备</w:t>
      </w:r>
    </w:p>
    <w:p w14:paraId="1B1662C4">
      <w:pPr>
        <w:numPr>
          <w:ilvl w:val="0"/>
          <w:numId w:val="2"/>
        </w:numPr>
        <w:spacing w:before="61" w:line="220" w:lineRule="auto"/>
        <w:ind w:left="425" w:leftChars="0" w:hanging="425" w:firstLineChars="0"/>
        <w:rPr>
          <w:rFonts w:ascii="宋体" w:hAnsi="宋体" w:eastAsia="宋体" w:cs="宋体"/>
          <w:sz w:val="21"/>
          <w:szCs w:val="21"/>
        </w:rPr>
      </w:pPr>
      <w:r>
        <w:rPr>
          <w:rFonts w:ascii="宋体" w:hAnsi="宋体" w:eastAsia="宋体" w:cs="宋体"/>
          <w:spacing w:val="-1"/>
          <w:sz w:val="21"/>
          <w:szCs w:val="21"/>
        </w:rPr>
        <w:t>业务发展储备：根据公司年度业务发展预测进行的储备</w:t>
      </w:r>
    </w:p>
    <w:p w14:paraId="6D07F835">
      <w:pPr>
        <w:numPr>
          <w:ilvl w:val="0"/>
          <w:numId w:val="2"/>
        </w:numPr>
        <w:spacing w:before="62" w:line="220" w:lineRule="auto"/>
        <w:ind w:left="425" w:leftChars="0" w:hanging="425" w:firstLineChars="0"/>
        <w:rPr>
          <w:rFonts w:ascii="宋体" w:hAnsi="宋体" w:eastAsia="宋体" w:cs="宋体"/>
          <w:sz w:val="21"/>
          <w:szCs w:val="21"/>
        </w:rPr>
      </w:pPr>
      <w:r>
        <w:rPr>
          <w:rFonts w:ascii="宋体" w:hAnsi="宋体" w:eastAsia="宋体" w:cs="宋体"/>
          <w:sz w:val="21"/>
          <w:szCs w:val="21"/>
        </w:rPr>
        <w:t>新业务新产品储备：因为服务质量升级、新产</w:t>
      </w:r>
      <w:r>
        <w:rPr>
          <w:rFonts w:ascii="宋体" w:hAnsi="宋体" w:eastAsia="宋体" w:cs="宋体"/>
          <w:spacing w:val="-1"/>
          <w:sz w:val="21"/>
          <w:szCs w:val="21"/>
        </w:rPr>
        <w:t>品、变更等进行的储备</w:t>
      </w:r>
    </w:p>
    <w:p w14:paraId="7493F09D">
      <w:pPr>
        <w:pStyle w:val="20"/>
        <w:bidi w:val="0"/>
      </w:pPr>
      <w:bookmarkStart w:id="13" w:name="bookmark1"/>
      <w:bookmarkEnd w:id="13"/>
      <w:bookmarkStart w:id="14" w:name="_Toc21311"/>
      <w:r>
        <w:t>储备人才分类</w:t>
      </w:r>
      <w:bookmarkEnd w:id="14"/>
    </w:p>
    <w:p w14:paraId="72CD4301">
      <w:pPr>
        <w:numPr>
          <w:ilvl w:val="0"/>
          <w:numId w:val="3"/>
        </w:numPr>
        <w:spacing w:before="62" w:line="220" w:lineRule="auto"/>
        <w:ind w:left="425" w:leftChars="0" w:hanging="425" w:firstLineChars="0"/>
        <w:rPr>
          <w:rFonts w:ascii="宋体" w:hAnsi="宋体" w:eastAsia="宋体" w:cs="宋体"/>
          <w:sz w:val="21"/>
          <w:szCs w:val="21"/>
        </w:rPr>
      </w:pPr>
      <w:r>
        <w:rPr>
          <w:rFonts w:ascii="宋体" w:hAnsi="宋体" w:eastAsia="宋体" w:cs="宋体"/>
          <w:sz w:val="21"/>
          <w:szCs w:val="21"/>
        </w:rPr>
        <w:t>一般岗位人才储备：职位为一般岗位。</w:t>
      </w:r>
    </w:p>
    <w:p w14:paraId="3F647F09">
      <w:pPr>
        <w:numPr>
          <w:ilvl w:val="0"/>
          <w:numId w:val="3"/>
        </w:numPr>
        <w:spacing w:before="62" w:line="220" w:lineRule="auto"/>
        <w:ind w:left="425" w:leftChars="0" w:hanging="425" w:firstLineChars="0"/>
        <w:rPr>
          <w:rFonts w:ascii="宋体" w:hAnsi="宋体" w:eastAsia="宋体" w:cs="宋体"/>
          <w:sz w:val="21"/>
          <w:szCs w:val="21"/>
        </w:rPr>
      </w:pPr>
      <w:r>
        <w:rPr>
          <w:rFonts w:ascii="宋体" w:hAnsi="宋体" w:eastAsia="宋体" w:cs="宋体"/>
          <w:sz w:val="21"/>
          <w:szCs w:val="21"/>
        </w:rPr>
        <w:t>关键岗位人才储备：职位为重要岗位员工。</w:t>
      </w:r>
    </w:p>
    <w:p w14:paraId="00CABDA7">
      <w:pPr>
        <w:pStyle w:val="20"/>
        <w:bidi w:val="0"/>
      </w:pPr>
      <w:bookmarkStart w:id="15" w:name="bookmark1"/>
      <w:bookmarkEnd w:id="15"/>
      <w:bookmarkStart w:id="16" w:name="_Toc29553"/>
      <w:r>
        <w:t>储备人才渠道</w:t>
      </w:r>
      <w:bookmarkEnd w:id="16"/>
    </w:p>
    <w:p w14:paraId="362A4A0C">
      <w:pPr>
        <w:pStyle w:val="21"/>
        <w:bidi w:val="0"/>
      </w:pPr>
      <w:bookmarkStart w:id="17" w:name="bookmark1"/>
      <w:bookmarkEnd w:id="17"/>
      <w:bookmarkStart w:id="18" w:name="_Toc23547"/>
      <w:r>
        <w:t>外部招聘渠道</w:t>
      </w:r>
      <w:bookmarkEnd w:id="18"/>
    </w:p>
    <w:p w14:paraId="51AFE6C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可利用互联网络、人才市场、人才交流会、职介机构、广告媒体、校园招聘、猎头公司等招聘渠道发布招聘信息，收集应聘者信息</w:t>
      </w:r>
    </w:p>
    <w:p w14:paraId="4B7A9FC3">
      <w:pPr>
        <w:pStyle w:val="21"/>
        <w:bidi w:val="0"/>
      </w:pPr>
      <w:bookmarkStart w:id="19" w:name="bookmark1"/>
      <w:bookmarkEnd w:id="19"/>
      <w:bookmarkStart w:id="20" w:name="_Toc30190"/>
      <w:r>
        <w:t>内部招聘渠道</w:t>
      </w:r>
      <w:bookmarkEnd w:id="20"/>
    </w:p>
    <w:p w14:paraId="7345E70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鼓励和提倡员工向公司推荐各类优秀人才。如被推荐人才通过试用，则给予推荐员工相应奖励，具体实施办法参照《内部人才推荐奖励管理制度》。</w:t>
      </w:r>
    </w:p>
    <w:p w14:paraId="3FC3C0E9">
      <w:pPr>
        <w:pStyle w:val="21"/>
        <w:bidi w:val="0"/>
      </w:pPr>
      <w:bookmarkStart w:id="21" w:name="_Toc24717"/>
      <w:r>
        <w:t>内部调控和培养</w:t>
      </w:r>
      <w:bookmarkEnd w:id="21"/>
    </w:p>
    <w:p w14:paraId="33B08E5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结合公司业务发展需求和员工个人职业发展生涯。调整人员储备结构：针对目前存在各业务部门在人员分工结构上分布不适应公司业务和技术发展需求的、或因员工个人职业生涯的与现任岗位不一致等现实问题，阶段性调控，坚持应急业务项目人员需求或目前缺编的岗位优先储备；产品研发岗位、公司中长期业务岗位和培养周期长期储备和有目标培养；对即将开展的业务提前储备或培养。</w:t>
      </w:r>
    </w:p>
    <w:p w14:paraId="16241869">
      <w:pPr>
        <w:pStyle w:val="20"/>
        <w:bidi w:val="0"/>
      </w:pPr>
      <w:bookmarkStart w:id="22" w:name="_Toc7611"/>
      <w:r>
        <w:t>储备人才的培养与考核</w:t>
      </w:r>
      <w:bookmarkEnd w:id="22"/>
    </w:p>
    <w:p w14:paraId="0F17DF93">
      <w:pPr>
        <w:pStyle w:val="21"/>
        <w:bidi w:val="0"/>
      </w:pPr>
      <w:bookmarkStart w:id="23" w:name="bookmark16"/>
      <w:bookmarkEnd w:id="23"/>
      <w:bookmarkStart w:id="24" w:name="_Toc15294"/>
      <w:r>
        <w:t>建立长效的培训机制</w:t>
      </w:r>
      <w:bookmarkEnd w:id="24"/>
    </w:p>
    <w:p w14:paraId="1277809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建立根据各岗位的任职能力要求，搭建岗位课程库，并对员工进行岗位任职测评，根据测评结果制定培训计划，根据培训内容的不同可选择换岗培训、交叉培训、直接主管（师傅）负责在岗业务培训等方式。</w:t>
      </w:r>
    </w:p>
    <w:p w14:paraId="46538C27">
      <w:pPr>
        <w:pStyle w:val="21"/>
        <w:bidi w:val="0"/>
      </w:pPr>
      <w:bookmarkStart w:id="25" w:name="_Toc15100"/>
      <w:r>
        <w:t>利用社会培训资源对储备人才能力提升作用</w:t>
      </w:r>
      <w:bookmarkEnd w:id="25"/>
    </w:p>
    <w:p w14:paraId="6649191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pPr>
      <w:r>
        <w:rPr>
          <w:rFonts w:ascii="宋体" w:hAnsi="宋体" w:eastAsia="宋体" w:cs="宋体"/>
          <w:sz w:val="21"/>
          <w:szCs w:val="21"/>
        </w:rPr>
        <w:t>鼓励和推荐储备人才中优秀员工参加外部培训机构组织的培训，包括工作相关的职业资格认证、管理类、专业类课程，提升其综合能力。</w:t>
      </w:r>
      <w:r>
        <w:t>岗位绩效考核与任职能力测评</w:t>
      </w:r>
    </w:p>
    <w:p w14:paraId="47989C7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rPr>
          <w:rFonts w:ascii="宋体" w:hAnsi="宋体" w:eastAsia="宋体" w:cs="宋体"/>
          <w:sz w:val="21"/>
          <w:szCs w:val="21"/>
        </w:rPr>
      </w:pPr>
      <w:r>
        <w:rPr>
          <w:rFonts w:ascii="宋体" w:hAnsi="宋体" w:eastAsia="宋体" w:cs="宋体"/>
          <w:sz w:val="21"/>
          <w:szCs w:val="21"/>
        </w:rPr>
        <w:t>根据岗位考核 KPI 定期对员工的工作绩效进行考核，基于能力评价维度对员工进行岗位任职能力测评。</w:t>
      </w:r>
    </w:p>
    <w:p w14:paraId="06DB2F7B">
      <w:pPr>
        <w:pStyle w:val="20"/>
        <w:bidi w:val="0"/>
      </w:pPr>
      <w:bookmarkStart w:id="26" w:name="_Toc25503"/>
      <w:r>
        <w:t>储备人才的激励</w:t>
      </w:r>
      <w:bookmarkEnd w:id="26"/>
    </w:p>
    <w:p w14:paraId="20BA14E4">
      <w:pPr>
        <w:numPr>
          <w:ilvl w:val="0"/>
          <w:numId w:val="4"/>
        </w:numPr>
        <w:spacing w:before="62" w:line="220" w:lineRule="auto"/>
        <w:ind w:left="425" w:leftChars="0" w:hanging="425" w:firstLineChars="0"/>
        <w:rPr>
          <w:rFonts w:ascii="宋体" w:hAnsi="宋体" w:eastAsia="宋体" w:cs="宋体"/>
          <w:sz w:val="21"/>
          <w:szCs w:val="21"/>
        </w:rPr>
      </w:pPr>
      <w:r>
        <w:rPr>
          <w:rFonts w:ascii="宋体" w:hAnsi="宋体" w:eastAsia="宋体" w:cs="宋体"/>
          <w:sz w:val="21"/>
          <w:szCs w:val="21"/>
        </w:rPr>
        <w:t>激励与学费补助：公司支持员工参加和岗位相关的外部专业培训以及职业资格认证，对于通过考试或者认证的员工给予一定的奖励，或者学费补助。</w:t>
      </w:r>
    </w:p>
    <w:p w14:paraId="13F18F3C">
      <w:pPr>
        <w:numPr>
          <w:ilvl w:val="0"/>
          <w:numId w:val="4"/>
        </w:numPr>
        <w:spacing w:before="62" w:line="220" w:lineRule="auto"/>
        <w:ind w:left="425" w:leftChars="0" w:hanging="425" w:firstLineChars="0"/>
        <w:rPr>
          <w:rFonts w:ascii="宋体" w:hAnsi="宋体" w:eastAsia="宋体" w:cs="宋体"/>
          <w:sz w:val="21"/>
          <w:szCs w:val="21"/>
        </w:rPr>
      </w:pPr>
      <w:r>
        <w:rPr>
          <w:rFonts w:ascii="宋体" w:hAnsi="宋体" w:eastAsia="宋体" w:cs="宋体"/>
          <w:sz w:val="21"/>
          <w:szCs w:val="21"/>
        </w:rPr>
        <w:t>年度优秀评选：根据年度 KPI 考核以及岗位任职能力测评成绩，推荐员工参加各项年度优秀奖项的评选。</w:t>
      </w:r>
    </w:p>
    <w:p w14:paraId="7CF4C32B">
      <w:pPr>
        <w:numPr>
          <w:ilvl w:val="0"/>
          <w:numId w:val="4"/>
        </w:numPr>
        <w:spacing w:before="62" w:line="220" w:lineRule="auto"/>
        <w:ind w:left="425" w:leftChars="0" w:hanging="425" w:firstLineChars="0"/>
        <w:rPr>
          <w:rFonts w:ascii="宋体" w:hAnsi="宋体" w:eastAsia="宋体" w:cs="宋体"/>
          <w:sz w:val="21"/>
          <w:szCs w:val="21"/>
        </w:rPr>
      </w:pPr>
      <w:r>
        <w:rPr>
          <w:rFonts w:ascii="宋体" w:hAnsi="宋体" w:eastAsia="宋体" w:cs="宋体"/>
          <w:sz w:val="21"/>
          <w:szCs w:val="21"/>
        </w:rPr>
        <w:t>为员工提供跨职系发展等多渠道职业通道：使员工根据自身能力情况与企业要求进行匹配分析，员工可选择个人志趣与企业发展需要相符的职业通道，通过努力考核晋升为管理职位或技术职位。</w:t>
      </w:r>
    </w:p>
    <w:p w14:paraId="27ACBB83">
      <w:pPr>
        <w:pStyle w:val="20"/>
        <w:bidi w:val="0"/>
      </w:pPr>
      <w:bookmarkStart w:id="27" w:name="_Toc8209"/>
      <w:r>
        <w:t>流程衡量指标</w:t>
      </w:r>
      <w:bookmarkEnd w:id="27"/>
    </w:p>
    <w:tbl>
      <w:tblPr>
        <w:tblStyle w:val="18"/>
        <w:tblW w:w="8504" w:type="dxa"/>
        <w:tblInd w:w="13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7"/>
        <w:gridCol w:w="1337"/>
        <w:gridCol w:w="3545"/>
        <w:gridCol w:w="2895"/>
      </w:tblGrid>
      <w:tr w14:paraId="7C317E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727" w:type="dxa"/>
            <w:tcBorders>
              <w:top w:val="single" w:color="000000" w:sz="6" w:space="0"/>
              <w:left w:val="single" w:color="000000" w:sz="6" w:space="0"/>
              <w:bottom w:val="single" w:color="000000" w:sz="6" w:space="0"/>
            </w:tcBorders>
            <w:shd w:val="clear" w:color="auto" w:fill="C0C0C0"/>
            <w:vAlign w:val="top"/>
          </w:tcPr>
          <w:p w14:paraId="73E6A36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序号</w:t>
            </w:r>
          </w:p>
        </w:tc>
        <w:tc>
          <w:tcPr>
            <w:tcW w:w="1337" w:type="dxa"/>
            <w:tcBorders>
              <w:top w:val="single" w:color="000000" w:sz="6" w:space="0"/>
              <w:bottom w:val="single" w:color="000000" w:sz="6" w:space="0"/>
            </w:tcBorders>
            <w:shd w:val="clear" w:color="auto" w:fill="C0C0C0"/>
            <w:vAlign w:val="top"/>
          </w:tcPr>
          <w:p w14:paraId="2DF0674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衡量指标</w:t>
            </w:r>
          </w:p>
        </w:tc>
        <w:tc>
          <w:tcPr>
            <w:tcW w:w="3545" w:type="dxa"/>
            <w:tcBorders>
              <w:top w:val="single" w:color="000000" w:sz="6" w:space="0"/>
              <w:bottom w:val="single" w:color="000000" w:sz="6" w:space="0"/>
              <w:right w:val="single" w:color="000000" w:sz="6" w:space="0"/>
            </w:tcBorders>
            <w:shd w:val="clear" w:color="auto" w:fill="C0C0C0"/>
            <w:vAlign w:val="top"/>
          </w:tcPr>
          <w:p w14:paraId="09761634">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指标计算说明</w:t>
            </w:r>
          </w:p>
        </w:tc>
        <w:tc>
          <w:tcPr>
            <w:tcW w:w="2895" w:type="dxa"/>
            <w:tcBorders>
              <w:top w:val="single" w:color="000000" w:sz="6" w:space="0"/>
              <w:bottom w:val="single" w:color="000000" w:sz="6" w:space="0"/>
              <w:right w:val="single" w:color="000000" w:sz="6" w:space="0"/>
            </w:tcBorders>
            <w:shd w:val="clear" w:color="auto" w:fill="C0C0C0"/>
            <w:vAlign w:val="top"/>
          </w:tcPr>
          <w:p w14:paraId="0751B9CB">
            <w:pPr>
              <w:spacing w:before="205" w:line="221" w:lineRule="auto"/>
              <w:ind w:left="195"/>
              <w:rPr>
                <w:rFonts w:hint="default" w:ascii="宋体" w:hAnsi="宋体" w:eastAsia="宋体" w:cs="宋体"/>
                <w:b/>
                <w:bCs/>
                <w:spacing w:val="-7"/>
                <w:sz w:val="24"/>
                <w:szCs w:val="24"/>
                <w:lang w:val="en-US" w:eastAsia="zh-CN"/>
              </w:rPr>
            </w:pPr>
            <w:r>
              <w:rPr>
                <w:rFonts w:hint="eastAsia" w:ascii="宋体" w:hAnsi="宋体" w:eastAsia="宋体" w:cs="宋体"/>
                <w:b/>
                <w:bCs/>
                <w:spacing w:val="-7"/>
                <w:sz w:val="24"/>
                <w:szCs w:val="24"/>
                <w:lang w:val="en-US" w:eastAsia="zh-CN"/>
              </w:rPr>
              <w:t>考核频次</w:t>
            </w:r>
          </w:p>
        </w:tc>
      </w:tr>
      <w:tr w14:paraId="301F560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tcBorders>
            <w:vAlign w:val="top"/>
          </w:tcPr>
          <w:p w14:paraId="5431EE10">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1</w:t>
            </w:r>
          </w:p>
        </w:tc>
        <w:tc>
          <w:tcPr>
            <w:tcW w:w="1337" w:type="dxa"/>
            <w:tcBorders>
              <w:top w:val="single" w:color="000000" w:sz="6" w:space="0"/>
            </w:tcBorders>
            <w:vAlign w:val="top"/>
          </w:tcPr>
          <w:p w14:paraId="1D96E77D">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储备完成率</w:t>
            </w:r>
          </w:p>
        </w:tc>
        <w:tc>
          <w:tcPr>
            <w:tcW w:w="3545" w:type="dxa"/>
            <w:tcBorders>
              <w:top w:val="single" w:color="000000" w:sz="6" w:space="0"/>
              <w:right w:val="single" w:color="000000" w:sz="6" w:space="0"/>
            </w:tcBorders>
            <w:vAlign w:val="top"/>
          </w:tcPr>
          <w:p w14:paraId="553B292D">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(实际储备人员的数量/计划储备人员的数量)*100%</w:t>
            </w:r>
          </w:p>
        </w:tc>
        <w:tc>
          <w:tcPr>
            <w:tcW w:w="2895" w:type="dxa"/>
            <w:tcBorders>
              <w:top w:val="single" w:color="000000" w:sz="6" w:space="0"/>
              <w:right w:val="single" w:color="000000" w:sz="6" w:space="0"/>
            </w:tcBorders>
            <w:vAlign w:val="top"/>
          </w:tcPr>
          <w:p w14:paraId="2DEEDEF8">
            <w:pPr>
              <w:spacing w:before="194" w:line="219" w:lineRule="auto"/>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按季度</w:t>
            </w:r>
          </w:p>
        </w:tc>
      </w:tr>
    </w:tbl>
    <w:p w14:paraId="600088B2">
      <w:pPr>
        <w:spacing w:before="184" w:line="313" w:lineRule="auto"/>
        <w:ind w:left="927" w:right="220" w:hanging="419"/>
        <w:rPr>
          <w:rFonts w:ascii="宋体" w:hAnsi="宋体" w:eastAsia="宋体" w:cs="宋体"/>
          <w:spacing w:val="-2"/>
          <w:sz w:val="24"/>
          <w:szCs w:val="24"/>
        </w:rPr>
      </w:pPr>
    </w:p>
    <w:sectPr>
      <w:footerReference r:id="rId7" w:type="default"/>
      <w:pgSz w:w="11906" w:h="16839"/>
      <w:pgMar w:top="1431" w:right="1785" w:bottom="1374"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475E0C">
    <w:pPr>
      <w:spacing w:line="166" w:lineRule="auto"/>
      <w:ind w:left="4269"/>
      <w:rPr>
        <w:rFonts w:ascii="Calibri" w:hAnsi="Calibri" w:eastAsia="Calibri" w:cs="Calibri"/>
        <w:sz w:val="18"/>
        <w:szCs w:val="18"/>
      </w:rPr>
    </w:pPr>
    <w:r>
      <w:rPr>
        <w:rFonts w:ascii="Calibri" w:hAnsi="Calibri" w:eastAsia="Calibri" w:cs="Calibri"/>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D3D409">
    <w:pPr>
      <w:spacing w:line="167" w:lineRule="auto"/>
      <w:ind w:left="4131"/>
      <w:rPr>
        <w:rFonts w:ascii="Calibri" w:hAnsi="Calibri" w:eastAsia="Calibri" w:cs="Calibri"/>
        <w:sz w:val="18"/>
        <w:szCs w:val="18"/>
      </w:rPr>
    </w:pPr>
    <w:r>
      <w:rPr>
        <w:rFonts w:ascii="Calibri" w:hAnsi="Calibri" w:eastAsia="Calibri" w:cs="Calibri"/>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C7F620">
    <w:pPr>
      <w:spacing w:line="166" w:lineRule="auto"/>
      <w:ind w:left="4125"/>
      <w:rPr>
        <w:rFonts w:ascii="Calibri" w:hAnsi="Calibri" w:eastAsia="Calibri" w:cs="Calibri"/>
        <w:sz w:val="18"/>
        <w:szCs w:val="18"/>
      </w:rPr>
    </w:pPr>
    <w:r>
      <w:rPr>
        <w:rFonts w:ascii="Calibri" w:hAnsi="Calibri" w:eastAsia="Calibri" w:cs="Calibri"/>
        <w:sz w:val="18"/>
        <w:szCs w:val="18"/>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682D8"/>
    <w:multiLevelType w:val="singleLevel"/>
    <w:tmpl w:val="870682D8"/>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510EFC5D"/>
    <w:multiLevelType w:val="singleLevel"/>
    <w:tmpl w:val="510EFC5D"/>
    <w:lvl w:ilvl="0" w:tentative="0">
      <w:start w:val="1"/>
      <w:numFmt w:val="decimal"/>
      <w:lvlText w:val="(%1)"/>
      <w:lvlJc w:val="left"/>
      <w:pPr>
        <w:ind w:left="425" w:hanging="425"/>
      </w:pPr>
      <w:rPr>
        <w:rFonts w:hint="default"/>
      </w:rPr>
    </w:lvl>
  </w:abstractNum>
  <w:abstractNum w:abstractNumId="3">
    <w:nsid w:val="6C7AED69"/>
    <w:multiLevelType w:val="singleLevel"/>
    <w:tmpl w:val="6C7AED69"/>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FB5772"/>
    <w:rsid w:val="01080A12"/>
    <w:rsid w:val="0BEB340A"/>
    <w:rsid w:val="0E9B1118"/>
    <w:rsid w:val="0F6E05DA"/>
    <w:rsid w:val="12762E5C"/>
    <w:rsid w:val="13D33102"/>
    <w:rsid w:val="1EAC6A29"/>
    <w:rsid w:val="2E440A2C"/>
    <w:rsid w:val="30D72AF4"/>
    <w:rsid w:val="33A07934"/>
    <w:rsid w:val="388C54AA"/>
    <w:rsid w:val="5A8C4900"/>
    <w:rsid w:val="67F325A0"/>
    <w:rsid w:val="699F6438"/>
    <w:rsid w:val="6CE16E6B"/>
    <w:rsid w:val="6F090932"/>
    <w:rsid w:val="6F7246F2"/>
    <w:rsid w:val="6FEC6ADC"/>
    <w:rsid w:val="72CC41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1657</Words>
  <Characters>1714</Characters>
  <TotalTime>0</TotalTime>
  <ScaleCrop>false</ScaleCrop>
  <LinksUpToDate>false</LinksUpToDate>
  <CharactersWithSpaces>1775</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2025-08-19T20:25:00Z</dcterms:created>
  <dc:creator>zhouyw@qdhuihai.com</dc:creator>
  <cp:lastModifiedBy>郝宇</cp:lastModifiedBy>
  <dcterms:modified xsi:type="dcterms:W3CDTF">2025-08-27T02:11:05Z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2025-08-27T10:01:51Z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57B4BE8EBEE54C0098E4C8164C2759C4_12</vt:lpwstr>
  </property>
</Properties>
</file>