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CCBD27">
      <w:pPr>
        <w:pStyle w:val="11"/>
        <w:spacing w:line="248" w:lineRule="auto"/>
      </w:pPr>
    </w:p>
    <w:p w14:paraId="36BC806C">
      <w:pPr>
        <w:pStyle w:val="11"/>
        <w:spacing w:line="248" w:lineRule="auto"/>
      </w:pPr>
    </w:p>
    <w:p w14:paraId="71DB33AA">
      <w:pPr>
        <w:pStyle w:val="11"/>
        <w:spacing w:line="249" w:lineRule="auto"/>
      </w:pPr>
    </w:p>
    <w:p w14:paraId="1821F0C1">
      <w:pPr>
        <w:pStyle w:val="11"/>
        <w:spacing w:line="249" w:lineRule="auto"/>
      </w:pPr>
    </w:p>
    <w:p w14:paraId="46E09A38">
      <w:pPr>
        <w:pStyle w:val="11"/>
        <w:spacing w:line="249" w:lineRule="auto"/>
      </w:pPr>
    </w:p>
    <w:p w14:paraId="0FD826A5">
      <w:pPr>
        <w:pStyle w:val="11"/>
        <w:spacing w:line="249" w:lineRule="auto"/>
      </w:pPr>
    </w:p>
    <w:p w14:paraId="77DB65FD">
      <w:pPr>
        <w:pStyle w:val="11"/>
        <w:spacing w:line="249" w:lineRule="auto"/>
      </w:pPr>
    </w:p>
    <w:p w14:paraId="5E4BECC5">
      <w:pPr>
        <w:pStyle w:val="11"/>
        <w:spacing w:line="249" w:lineRule="auto"/>
      </w:pPr>
    </w:p>
    <w:p w14:paraId="677F28CA">
      <w:pPr>
        <w:pStyle w:val="11"/>
        <w:spacing w:line="249" w:lineRule="auto"/>
      </w:pPr>
    </w:p>
    <w:p w14:paraId="09D9AC95">
      <w:pPr>
        <w:pStyle w:val="11"/>
        <w:spacing w:line="249" w:lineRule="auto"/>
      </w:pPr>
    </w:p>
    <w:p w14:paraId="14A9558E">
      <w:pPr>
        <w:pStyle w:val="11"/>
        <w:spacing w:line="249" w:lineRule="auto"/>
      </w:pPr>
    </w:p>
    <w:p w14:paraId="1E798286">
      <w:pPr>
        <w:pStyle w:val="11"/>
        <w:spacing w:line="249" w:lineRule="auto"/>
      </w:pPr>
    </w:p>
    <w:p w14:paraId="0F8A84DB">
      <w:pPr>
        <w:pStyle w:val="11"/>
        <w:spacing w:line="249" w:lineRule="auto"/>
      </w:pPr>
    </w:p>
    <w:p w14:paraId="620FFC06">
      <w:pPr>
        <w:pStyle w:val="11"/>
        <w:spacing w:line="249" w:lineRule="auto"/>
      </w:pPr>
    </w:p>
    <w:p w14:paraId="59085133">
      <w:pPr>
        <w:pStyle w:val="11"/>
        <w:spacing w:line="249" w:lineRule="auto"/>
      </w:pPr>
    </w:p>
    <w:p w14:paraId="433F2496">
      <w:pPr>
        <w:spacing w:before="169" w:line="218" w:lineRule="auto"/>
        <w:ind w:left="2107"/>
        <w:outlineLvl w:val="0"/>
        <w:rPr>
          <w:rFonts w:ascii="宋体" w:hAnsi="宋体" w:eastAsia="宋体" w:cs="宋体"/>
          <w:sz w:val="52"/>
          <w:szCs w:val="52"/>
        </w:rPr>
      </w:pPr>
      <w:bookmarkStart w:id="0" w:name="_Toc2347"/>
      <w:r>
        <w:rPr>
          <w:rFonts w:ascii="宋体" w:hAnsi="宋体" w:eastAsia="宋体" w:cs="宋体"/>
          <w:b/>
          <w:bCs/>
          <w:spacing w:val="-8"/>
          <w:sz w:val="52"/>
          <w:szCs w:val="52"/>
        </w:rPr>
        <w:t>服务报告管理程序</w:t>
      </w:r>
      <w:bookmarkEnd w:id="0"/>
    </w:p>
    <w:p w14:paraId="2E6CD9E2">
      <w:pPr>
        <w:pStyle w:val="11"/>
        <w:spacing w:line="259" w:lineRule="auto"/>
      </w:pPr>
    </w:p>
    <w:p w14:paraId="6750D367">
      <w:pPr>
        <w:pStyle w:val="11"/>
        <w:spacing w:line="260" w:lineRule="auto"/>
      </w:pPr>
    </w:p>
    <w:p w14:paraId="6190DDEF">
      <w:pPr>
        <w:pStyle w:val="11"/>
        <w:spacing w:line="260" w:lineRule="auto"/>
      </w:pPr>
    </w:p>
    <w:p w14:paraId="717EC028">
      <w:pPr>
        <w:pStyle w:val="11"/>
        <w:spacing w:line="260" w:lineRule="auto"/>
      </w:pPr>
    </w:p>
    <w:p w14:paraId="7EFCEDA2">
      <w:pPr>
        <w:pStyle w:val="11"/>
        <w:spacing w:line="260" w:lineRule="auto"/>
      </w:pPr>
    </w:p>
    <w:p w14:paraId="203A0324">
      <w:pPr>
        <w:pStyle w:val="11"/>
        <w:spacing w:line="260" w:lineRule="auto"/>
      </w:pPr>
    </w:p>
    <w:p w14:paraId="3333164E">
      <w:pPr>
        <w:pStyle w:val="11"/>
        <w:spacing w:line="260" w:lineRule="auto"/>
      </w:pPr>
    </w:p>
    <w:p w14:paraId="5D088FEE">
      <w:pPr>
        <w:pStyle w:val="11"/>
        <w:spacing w:line="260" w:lineRule="auto"/>
      </w:pPr>
    </w:p>
    <w:p w14:paraId="72DD52FD">
      <w:pPr>
        <w:spacing w:line="1293" w:lineRule="exact"/>
        <w:ind w:firstLine="1991"/>
      </w:pPr>
      <w:r>
        <w:rPr>
          <w:position w:val="-25"/>
        </w:rPr>
        <w:drawing>
          <wp:inline distT="0" distB="0" distL="0" distR="0">
            <wp:extent cx="275717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58C6BED7">
      <w:pPr>
        <w:pStyle w:val="11"/>
        <w:spacing w:line="248" w:lineRule="auto"/>
      </w:pPr>
    </w:p>
    <w:p w14:paraId="0523E8EA">
      <w:pPr>
        <w:pStyle w:val="11"/>
        <w:spacing w:line="248" w:lineRule="auto"/>
      </w:pPr>
    </w:p>
    <w:p w14:paraId="06DD8773">
      <w:pPr>
        <w:pStyle w:val="11"/>
        <w:spacing w:line="248" w:lineRule="auto"/>
      </w:pPr>
    </w:p>
    <w:p w14:paraId="7551D939">
      <w:pPr>
        <w:pStyle w:val="11"/>
        <w:spacing w:line="248" w:lineRule="auto"/>
      </w:pPr>
    </w:p>
    <w:p w14:paraId="375DC244">
      <w:pPr>
        <w:pStyle w:val="11"/>
        <w:spacing w:line="248" w:lineRule="auto"/>
      </w:pPr>
    </w:p>
    <w:p w14:paraId="3FFFCCB2">
      <w:pPr>
        <w:pStyle w:val="11"/>
        <w:spacing w:line="248" w:lineRule="auto"/>
      </w:pPr>
    </w:p>
    <w:p w14:paraId="1ACD052C">
      <w:pPr>
        <w:pStyle w:val="11"/>
        <w:spacing w:line="248" w:lineRule="auto"/>
      </w:pPr>
    </w:p>
    <w:p w14:paraId="0736CAA9">
      <w:pPr>
        <w:pStyle w:val="11"/>
        <w:spacing w:line="248" w:lineRule="auto"/>
      </w:pPr>
    </w:p>
    <w:p w14:paraId="793A2665">
      <w:pPr>
        <w:pStyle w:val="11"/>
        <w:spacing w:line="248" w:lineRule="auto"/>
      </w:pPr>
    </w:p>
    <w:p w14:paraId="2C1FFAB4">
      <w:pPr>
        <w:pStyle w:val="11"/>
        <w:spacing w:line="248" w:lineRule="auto"/>
      </w:pPr>
    </w:p>
    <w:p w14:paraId="258642F5">
      <w:pPr>
        <w:pStyle w:val="11"/>
        <w:spacing w:line="248" w:lineRule="auto"/>
      </w:pPr>
    </w:p>
    <w:p w14:paraId="267B7545">
      <w:pPr>
        <w:pStyle w:val="11"/>
        <w:spacing w:line="249" w:lineRule="auto"/>
      </w:pPr>
    </w:p>
    <w:p w14:paraId="46CD045E">
      <w:pPr>
        <w:pStyle w:val="11"/>
        <w:spacing w:line="249" w:lineRule="auto"/>
      </w:pPr>
    </w:p>
    <w:p w14:paraId="20016DC2">
      <w:pPr>
        <w:pStyle w:val="11"/>
        <w:spacing w:line="249" w:lineRule="auto"/>
      </w:pPr>
    </w:p>
    <w:p w14:paraId="7BC4161C">
      <w:pPr>
        <w:pStyle w:val="11"/>
        <w:spacing w:line="249" w:lineRule="auto"/>
      </w:pPr>
    </w:p>
    <w:p w14:paraId="354CA5C8">
      <w:pPr>
        <w:pStyle w:val="11"/>
        <w:spacing w:line="249" w:lineRule="auto"/>
      </w:pPr>
    </w:p>
    <w:p w14:paraId="45413B60">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0020E596">
      <w:pPr>
        <w:spacing w:before="196"/>
        <w:ind w:left="3699"/>
        <w:rPr>
          <w:rFonts w:ascii="宋体" w:hAnsi="宋体" w:eastAsia="宋体" w:cs="宋体"/>
          <w:sz w:val="24"/>
          <w:szCs w:val="24"/>
        </w:rPr>
      </w:pPr>
      <w:r>
        <w:rPr>
          <w:rFonts w:ascii="宋体" w:hAnsi="宋体" w:eastAsia="宋体" w:cs="宋体"/>
          <w:spacing w:val="-2"/>
          <w:sz w:val="24"/>
          <w:szCs w:val="24"/>
        </w:rPr>
        <w:t>2025-1-4</w:t>
      </w:r>
    </w:p>
    <w:p w14:paraId="6EB473A5">
      <w:pPr>
        <w:rPr>
          <w:rFonts w:ascii="宋体" w:hAnsi="宋体" w:eastAsia="宋体" w:cs="宋体"/>
          <w:sz w:val="24"/>
          <w:szCs w:val="24"/>
        </w:rPr>
        <w:sectPr>
          <w:pgSz w:w="11906" w:h="16839"/>
          <w:pgMar w:top="1431" w:right="1785" w:bottom="0" w:left="1785" w:header="0" w:footer="0" w:gutter="0"/>
          <w:cols w:space="720" w:num="1"/>
        </w:sectPr>
      </w:pPr>
    </w:p>
    <w:p w14:paraId="32D10E31">
      <w:pPr>
        <w:pStyle w:val="11"/>
        <w:spacing w:line="252" w:lineRule="auto"/>
      </w:pPr>
    </w:p>
    <w:p w14:paraId="1D6E4EDB">
      <w:pPr>
        <w:pStyle w:val="11"/>
        <w:spacing w:line="253" w:lineRule="auto"/>
      </w:pPr>
    </w:p>
    <w:p w14:paraId="259470F6">
      <w:pPr>
        <w:pStyle w:val="11"/>
        <w:spacing w:line="253" w:lineRule="auto"/>
      </w:pPr>
    </w:p>
    <w:p w14:paraId="042F5897">
      <w:pPr>
        <w:pStyle w:val="11"/>
        <w:spacing w:line="253" w:lineRule="auto"/>
      </w:pPr>
    </w:p>
    <w:p w14:paraId="3D54C41A">
      <w:pPr>
        <w:spacing w:before="91" w:line="220" w:lineRule="auto"/>
        <w:ind w:left="3710"/>
        <w:outlineLvl w:val="0"/>
        <w:rPr>
          <w:rFonts w:ascii="宋体" w:hAnsi="宋体" w:eastAsia="宋体" w:cs="宋体"/>
          <w:sz w:val="28"/>
          <w:szCs w:val="28"/>
        </w:rPr>
      </w:pPr>
      <w:bookmarkStart w:id="1" w:name="_Toc2510"/>
      <w:r>
        <w:rPr>
          <w:rFonts w:ascii="宋体" w:hAnsi="宋体" w:eastAsia="宋体" w:cs="宋体"/>
          <w:spacing w:val="-3"/>
          <w:sz w:val="28"/>
          <w:szCs w:val="28"/>
        </w:rPr>
        <w:t>文档信息</w:t>
      </w:r>
      <w:bookmarkEnd w:id="1"/>
    </w:p>
    <w:p w14:paraId="125EF596">
      <w:pPr>
        <w:spacing w:line="131" w:lineRule="exact"/>
      </w:pPr>
    </w:p>
    <w:tbl>
      <w:tblPr>
        <w:tblStyle w:val="19"/>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699"/>
        <w:gridCol w:w="2017"/>
        <w:gridCol w:w="1557"/>
        <w:gridCol w:w="1953"/>
      </w:tblGrid>
      <w:tr w14:paraId="1BD48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66FD7121">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6" w:type="dxa"/>
            <w:gridSpan w:val="4"/>
            <w:vAlign w:val="top"/>
          </w:tcPr>
          <w:p w14:paraId="083942E4">
            <w:pPr>
              <w:spacing w:before="200" w:line="218" w:lineRule="auto"/>
              <w:ind w:left="108"/>
              <w:rPr>
                <w:rFonts w:ascii="宋体" w:hAnsi="宋体" w:eastAsia="宋体" w:cs="宋体"/>
                <w:sz w:val="21"/>
                <w:szCs w:val="21"/>
              </w:rPr>
            </w:pPr>
            <w:r>
              <w:rPr>
                <w:rFonts w:ascii="宋体" w:hAnsi="宋体" w:eastAsia="宋体" w:cs="宋体"/>
                <w:spacing w:val="-1"/>
                <w:sz w:val="21"/>
                <w:szCs w:val="21"/>
              </w:rPr>
              <w:t>服务报告管理程序（HHLC-ITSS-FWBGGL）</w:t>
            </w:r>
          </w:p>
        </w:tc>
      </w:tr>
      <w:tr w14:paraId="247A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33A7FAB4">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6" w:type="dxa"/>
            <w:gridSpan w:val="4"/>
            <w:vAlign w:val="top"/>
          </w:tcPr>
          <w:p w14:paraId="65B16EBC">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3598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0FAD35D9">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699" w:type="dxa"/>
            <w:vAlign w:val="top"/>
          </w:tcPr>
          <w:p w14:paraId="046F3980">
            <w:pPr>
              <w:spacing w:before="199" w:line="219" w:lineRule="auto"/>
              <w:ind w:left="431"/>
              <w:rPr>
                <w:rFonts w:ascii="宋体" w:hAnsi="宋体" w:eastAsia="宋体" w:cs="宋体"/>
                <w:sz w:val="21"/>
                <w:szCs w:val="21"/>
              </w:rPr>
            </w:pPr>
            <w:r>
              <w:rPr>
                <w:rFonts w:ascii="宋体" w:hAnsi="宋体" w:eastAsia="宋体" w:cs="宋体"/>
                <w:spacing w:val="-2"/>
                <w:sz w:val="21"/>
                <w:szCs w:val="21"/>
              </w:rPr>
              <w:t>版本日期</w:t>
            </w:r>
          </w:p>
        </w:tc>
        <w:tc>
          <w:tcPr>
            <w:tcW w:w="2017" w:type="dxa"/>
            <w:vAlign w:val="top"/>
          </w:tcPr>
          <w:p w14:paraId="0D9D29BC">
            <w:pPr>
              <w:spacing w:before="199" w:line="219" w:lineRule="auto"/>
              <w:ind w:left="592"/>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10571DF2">
            <w:pPr>
              <w:spacing w:before="199" w:line="220" w:lineRule="auto"/>
              <w:ind w:left="574"/>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6B6E3C1">
            <w:pPr>
              <w:spacing w:before="199" w:line="220" w:lineRule="auto"/>
              <w:ind w:left="781"/>
              <w:rPr>
                <w:rFonts w:ascii="宋体" w:hAnsi="宋体" w:eastAsia="宋体" w:cs="宋体"/>
                <w:sz w:val="21"/>
                <w:szCs w:val="21"/>
              </w:rPr>
            </w:pPr>
            <w:r>
              <w:rPr>
                <w:rFonts w:ascii="宋体" w:hAnsi="宋体" w:eastAsia="宋体" w:cs="宋体"/>
                <w:spacing w:val="-5"/>
                <w:sz w:val="21"/>
                <w:szCs w:val="21"/>
              </w:rPr>
              <w:t>审核</w:t>
            </w:r>
          </w:p>
        </w:tc>
      </w:tr>
      <w:tr w14:paraId="18E22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89BCF79">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699" w:type="dxa"/>
            <w:vAlign w:val="top"/>
          </w:tcPr>
          <w:p w14:paraId="11513F11">
            <w:pPr>
              <w:spacing w:before="163"/>
              <w:ind w:left="433"/>
              <w:rPr>
                <w:rFonts w:ascii="宋体" w:hAnsi="宋体" w:eastAsia="宋体" w:cs="宋体"/>
                <w:sz w:val="21"/>
                <w:szCs w:val="21"/>
              </w:rPr>
            </w:pPr>
            <w:r>
              <w:rPr>
                <w:rFonts w:ascii="宋体" w:hAnsi="宋体" w:eastAsia="宋体" w:cs="宋体"/>
                <w:spacing w:val="-2"/>
                <w:sz w:val="21"/>
                <w:szCs w:val="21"/>
              </w:rPr>
              <w:t>2025-1-4</w:t>
            </w:r>
          </w:p>
        </w:tc>
        <w:tc>
          <w:tcPr>
            <w:tcW w:w="2017" w:type="dxa"/>
            <w:vAlign w:val="top"/>
          </w:tcPr>
          <w:p w14:paraId="688D06A4">
            <w:pPr>
              <w:spacing w:before="133" w:line="219" w:lineRule="auto"/>
              <w:ind w:left="595"/>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1C76B914">
            <w:pPr>
              <w:spacing w:before="134" w:line="220" w:lineRule="auto"/>
              <w:ind w:left="479"/>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5A689F68">
            <w:pPr>
              <w:spacing w:before="133" w:line="220" w:lineRule="auto"/>
              <w:ind w:left="671"/>
              <w:rPr>
                <w:rFonts w:ascii="宋体" w:hAnsi="宋体" w:eastAsia="宋体" w:cs="宋体"/>
                <w:sz w:val="21"/>
                <w:szCs w:val="21"/>
              </w:rPr>
            </w:pPr>
            <w:r>
              <w:rPr>
                <w:rFonts w:ascii="宋体" w:hAnsi="宋体" w:eastAsia="宋体" w:cs="宋体"/>
                <w:spacing w:val="-3"/>
                <w:sz w:val="21"/>
                <w:szCs w:val="21"/>
              </w:rPr>
              <w:t>张仲全</w:t>
            </w:r>
          </w:p>
        </w:tc>
      </w:tr>
      <w:tr w14:paraId="532EB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23D7777">
            <w:pPr>
              <w:pStyle w:val="20"/>
            </w:pPr>
          </w:p>
        </w:tc>
        <w:tc>
          <w:tcPr>
            <w:tcW w:w="1699" w:type="dxa"/>
            <w:vAlign w:val="top"/>
          </w:tcPr>
          <w:p w14:paraId="162FB378">
            <w:pPr>
              <w:pStyle w:val="20"/>
            </w:pPr>
          </w:p>
        </w:tc>
        <w:tc>
          <w:tcPr>
            <w:tcW w:w="2017" w:type="dxa"/>
            <w:vAlign w:val="top"/>
          </w:tcPr>
          <w:p w14:paraId="66D551EE">
            <w:pPr>
              <w:pStyle w:val="20"/>
            </w:pPr>
          </w:p>
        </w:tc>
        <w:tc>
          <w:tcPr>
            <w:tcW w:w="1557" w:type="dxa"/>
            <w:vAlign w:val="top"/>
          </w:tcPr>
          <w:p w14:paraId="7F46BAAD">
            <w:pPr>
              <w:pStyle w:val="20"/>
            </w:pPr>
          </w:p>
        </w:tc>
        <w:tc>
          <w:tcPr>
            <w:tcW w:w="1953" w:type="dxa"/>
            <w:vAlign w:val="top"/>
          </w:tcPr>
          <w:p w14:paraId="71848AD0">
            <w:pPr>
              <w:pStyle w:val="20"/>
            </w:pPr>
          </w:p>
        </w:tc>
      </w:tr>
      <w:tr w14:paraId="2C1B8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8" w:hRule="atLeast"/>
        </w:trPr>
        <w:tc>
          <w:tcPr>
            <w:tcW w:w="1846" w:type="dxa"/>
            <w:vAlign w:val="top"/>
          </w:tcPr>
          <w:p w14:paraId="653234BD">
            <w:pPr>
              <w:pStyle w:val="20"/>
            </w:pPr>
          </w:p>
        </w:tc>
        <w:tc>
          <w:tcPr>
            <w:tcW w:w="1699" w:type="dxa"/>
            <w:vAlign w:val="top"/>
          </w:tcPr>
          <w:p w14:paraId="5EA070AE">
            <w:pPr>
              <w:pStyle w:val="20"/>
            </w:pPr>
          </w:p>
        </w:tc>
        <w:tc>
          <w:tcPr>
            <w:tcW w:w="2017" w:type="dxa"/>
            <w:vAlign w:val="top"/>
          </w:tcPr>
          <w:p w14:paraId="763F6955">
            <w:pPr>
              <w:pStyle w:val="20"/>
            </w:pPr>
          </w:p>
        </w:tc>
        <w:tc>
          <w:tcPr>
            <w:tcW w:w="1557" w:type="dxa"/>
            <w:vAlign w:val="top"/>
          </w:tcPr>
          <w:p w14:paraId="6AED40B0">
            <w:pPr>
              <w:pStyle w:val="20"/>
            </w:pPr>
          </w:p>
        </w:tc>
        <w:tc>
          <w:tcPr>
            <w:tcW w:w="1953" w:type="dxa"/>
            <w:vAlign w:val="top"/>
          </w:tcPr>
          <w:p w14:paraId="1B21D06E">
            <w:pPr>
              <w:pStyle w:val="20"/>
            </w:pPr>
          </w:p>
        </w:tc>
      </w:tr>
      <w:tr w14:paraId="5B2B6A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03F9183D">
            <w:pPr>
              <w:pStyle w:val="20"/>
            </w:pPr>
          </w:p>
        </w:tc>
        <w:tc>
          <w:tcPr>
            <w:tcW w:w="1699" w:type="dxa"/>
            <w:vAlign w:val="top"/>
          </w:tcPr>
          <w:p w14:paraId="47BFDF86">
            <w:pPr>
              <w:pStyle w:val="20"/>
            </w:pPr>
          </w:p>
        </w:tc>
        <w:tc>
          <w:tcPr>
            <w:tcW w:w="2017" w:type="dxa"/>
            <w:vAlign w:val="top"/>
          </w:tcPr>
          <w:p w14:paraId="22126268">
            <w:pPr>
              <w:pStyle w:val="20"/>
            </w:pPr>
          </w:p>
        </w:tc>
        <w:tc>
          <w:tcPr>
            <w:tcW w:w="1557" w:type="dxa"/>
            <w:vAlign w:val="top"/>
          </w:tcPr>
          <w:p w14:paraId="42A645A0">
            <w:pPr>
              <w:pStyle w:val="20"/>
            </w:pPr>
          </w:p>
        </w:tc>
        <w:tc>
          <w:tcPr>
            <w:tcW w:w="1953" w:type="dxa"/>
            <w:vAlign w:val="top"/>
          </w:tcPr>
          <w:p w14:paraId="7CAB1528">
            <w:pPr>
              <w:pStyle w:val="20"/>
            </w:pPr>
          </w:p>
        </w:tc>
      </w:tr>
      <w:tr w14:paraId="24B1FA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8" w:hRule="atLeast"/>
        </w:trPr>
        <w:tc>
          <w:tcPr>
            <w:tcW w:w="1846" w:type="dxa"/>
            <w:vAlign w:val="top"/>
          </w:tcPr>
          <w:p w14:paraId="0C97495E">
            <w:pPr>
              <w:pStyle w:val="20"/>
            </w:pPr>
          </w:p>
        </w:tc>
        <w:tc>
          <w:tcPr>
            <w:tcW w:w="1699" w:type="dxa"/>
            <w:vAlign w:val="top"/>
          </w:tcPr>
          <w:p w14:paraId="67E186D4">
            <w:pPr>
              <w:pStyle w:val="20"/>
            </w:pPr>
          </w:p>
        </w:tc>
        <w:tc>
          <w:tcPr>
            <w:tcW w:w="2017" w:type="dxa"/>
            <w:vAlign w:val="top"/>
          </w:tcPr>
          <w:p w14:paraId="2E902666">
            <w:pPr>
              <w:pStyle w:val="20"/>
            </w:pPr>
          </w:p>
        </w:tc>
        <w:tc>
          <w:tcPr>
            <w:tcW w:w="1557" w:type="dxa"/>
            <w:vAlign w:val="top"/>
          </w:tcPr>
          <w:p w14:paraId="32FB9137">
            <w:pPr>
              <w:pStyle w:val="20"/>
            </w:pPr>
          </w:p>
        </w:tc>
        <w:tc>
          <w:tcPr>
            <w:tcW w:w="1953" w:type="dxa"/>
            <w:vAlign w:val="top"/>
          </w:tcPr>
          <w:p w14:paraId="48E7667F">
            <w:pPr>
              <w:pStyle w:val="20"/>
            </w:pPr>
          </w:p>
        </w:tc>
      </w:tr>
      <w:tr w14:paraId="5D8D81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CF3989E">
            <w:pPr>
              <w:pStyle w:val="20"/>
            </w:pPr>
          </w:p>
        </w:tc>
        <w:tc>
          <w:tcPr>
            <w:tcW w:w="1699" w:type="dxa"/>
            <w:vAlign w:val="top"/>
          </w:tcPr>
          <w:p w14:paraId="2CBA2FB4">
            <w:pPr>
              <w:pStyle w:val="20"/>
            </w:pPr>
          </w:p>
        </w:tc>
        <w:tc>
          <w:tcPr>
            <w:tcW w:w="2017" w:type="dxa"/>
            <w:vAlign w:val="top"/>
          </w:tcPr>
          <w:p w14:paraId="5137B756">
            <w:pPr>
              <w:pStyle w:val="20"/>
            </w:pPr>
          </w:p>
        </w:tc>
        <w:tc>
          <w:tcPr>
            <w:tcW w:w="1557" w:type="dxa"/>
            <w:vAlign w:val="top"/>
          </w:tcPr>
          <w:p w14:paraId="17E16758">
            <w:pPr>
              <w:pStyle w:val="20"/>
            </w:pPr>
          </w:p>
        </w:tc>
        <w:tc>
          <w:tcPr>
            <w:tcW w:w="1953" w:type="dxa"/>
            <w:vAlign w:val="top"/>
          </w:tcPr>
          <w:p w14:paraId="08625E55">
            <w:pPr>
              <w:pStyle w:val="20"/>
            </w:pPr>
          </w:p>
        </w:tc>
      </w:tr>
    </w:tbl>
    <w:p w14:paraId="30320C20">
      <w:pPr>
        <w:pStyle w:val="11"/>
      </w:pPr>
    </w:p>
    <w:p w14:paraId="7720EC3E">
      <w:pPr>
        <w:sectPr>
          <w:pgSz w:w="11906" w:h="16839"/>
          <w:pgMar w:top="1431" w:right="1127" w:bottom="0" w:left="1696" w:header="0" w:footer="0" w:gutter="0"/>
          <w:cols w:space="720" w:num="1"/>
        </w:sectPr>
      </w:pPr>
    </w:p>
    <w:p w14:paraId="62FA5D14">
      <w:pPr>
        <w:pStyle w:val="11"/>
        <w:spacing w:line="247" w:lineRule="auto"/>
      </w:pPr>
    </w:p>
    <w:p w14:paraId="2D1C2337">
      <w:pPr>
        <w:pStyle w:val="11"/>
        <w:spacing w:line="247" w:lineRule="auto"/>
      </w:pPr>
    </w:p>
    <w:p w14:paraId="3DED16A9">
      <w:pPr>
        <w:pStyle w:val="11"/>
        <w:spacing w:line="247" w:lineRule="auto"/>
      </w:pPr>
    </w:p>
    <w:p w14:paraId="725E2A89">
      <w:pPr>
        <w:pStyle w:val="11"/>
        <w:spacing w:line="247" w:lineRule="auto"/>
      </w:pPr>
    </w:p>
    <w:p w14:paraId="2CDD5D6A">
      <w:pPr>
        <w:pStyle w:val="11"/>
        <w:spacing w:line="247" w:lineRule="auto"/>
      </w:pPr>
    </w:p>
    <w:p w14:paraId="69FD87A5">
      <w:pPr>
        <w:pStyle w:val="11"/>
        <w:spacing w:line="247" w:lineRule="auto"/>
      </w:pPr>
    </w:p>
    <w:sdt>
      <w:sdtPr>
        <w:rPr>
          <w:rFonts w:ascii="宋体" w:hAnsi="宋体" w:eastAsia="宋体" w:cs="Arial"/>
          <w:snapToGrid w:val="0"/>
          <w:color w:val="000000"/>
          <w:kern w:val="0"/>
          <w:sz w:val="21"/>
          <w:szCs w:val="21"/>
          <w:lang w:val="en-US" w:eastAsia="en-US" w:bidi="ar-SA"/>
        </w:rPr>
        <w:id w:val="147475912"/>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1"/>
          <w:lang w:val="en-US" w:eastAsia="en-US" w:bidi="ar-SA"/>
        </w:rPr>
      </w:sdtEndPr>
      <w:sdtContent>
        <w:p w14:paraId="79CD5E8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7771EE1">
          <w:pPr>
            <w:pStyle w:val="14"/>
            <w:tabs>
              <w:tab w:val="right" w:leader="dot" w:pos="8501"/>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1"/>
              <w:szCs w:val="21"/>
            </w:rPr>
            <w:fldChar w:fldCharType="begin"/>
          </w:r>
          <w:r>
            <w:rPr>
              <w:rFonts w:ascii="Times New Roman" w:hAnsi="Times New Roman" w:eastAsia="Times New Roman" w:cs="Times New Roman"/>
              <w:sz w:val="21"/>
              <w:szCs w:val="21"/>
            </w:rPr>
            <w:instrText xml:space="preserve">TOC \o "1-3" \h \u </w:instrText>
          </w:r>
          <w:r>
            <w:rPr>
              <w:rFonts w:ascii="Times New Roman" w:hAnsi="Times New Roman" w:eastAsia="Times New Roman" w:cs="Times New Roman"/>
              <w:sz w:val="21"/>
              <w:szCs w:val="21"/>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服务报告管理程序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EC3B7E">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94DF69">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_Toc4766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概述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_Toc4766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C238A3">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_Toc32376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04EFF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_Toc29879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_Toc29879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2A131B">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_Toc16001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服务报告（总结）管理流程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_Toc16001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66B2BD">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角色及职责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6AF69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分类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076BA5">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_Toc31442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服务报告（总结）策略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_Toc31442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71076C">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_Toc16298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服务报告（总结）管理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_Toc16298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AFF4A1">
          <w:pPr>
            <w:pStyle w:val="15"/>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_Toc4894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服务报告（总结）的内容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_Toc4894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E23967D">
          <w:pPr>
            <w:pStyle w:val="14"/>
            <w:tabs>
              <w:tab w:val="right" w:leader="dot" w:pos="850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关键指标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5DCDBEE">
          <w:pPr>
            <w:pStyle w:val="14"/>
            <w:tabs>
              <w:tab w:val="right" w:leader="dot" w:pos="8501"/>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_Toc25117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相关文件模板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_Toc25117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E999EF">
          <w:pPr>
            <w:spacing w:line="219" w:lineRule="auto"/>
            <w:rPr>
              <w:rFonts w:ascii="Times New Roman" w:hAnsi="Times New Roman" w:eastAsia="Times New Roman" w:cs="Times New Roman"/>
              <w:snapToGrid w:val="0"/>
              <w:color w:val="000000"/>
              <w:kern w:val="0"/>
              <w:sz w:val="21"/>
              <w:szCs w:val="21"/>
              <w:lang w:val="en-US" w:eastAsia="en-US" w:bidi="ar-SA"/>
            </w:rPr>
          </w:pPr>
          <w:r>
            <w:rPr>
              <w:rFonts w:ascii="Times New Roman" w:hAnsi="Times New Roman" w:eastAsia="Times New Roman" w:cs="Times New Roman"/>
              <w:szCs w:val="21"/>
            </w:rPr>
            <w:fldChar w:fldCharType="end"/>
          </w:r>
        </w:p>
      </w:sdtContent>
    </w:sdt>
    <w:p w14:paraId="712C9D82">
      <w:pPr>
        <w:spacing w:line="219" w:lineRule="auto"/>
        <w:rPr>
          <w:rFonts w:ascii="Times New Roman" w:hAnsi="Times New Roman" w:eastAsia="Times New Roman" w:cs="Times New Roman"/>
          <w:snapToGrid w:val="0"/>
          <w:color w:val="000000"/>
          <w:kern w:val="0"/>
          <w:sz w:val="21"/>
          <w:szCs w:val="21"/>
          <w:lang w:val="en-US" w:eastAsia="en-US" w:bidi="ar-SA"/>
        </w:rPr>
        <w:sectPr>
          <w:pgSz w:w="11906" w:h="16839"/>
          <w:pgMar w:top="1431" w:right="1700" w:bottom="0" w:left="1705" w:header="0" w:footer="0" w:gutter="0"/>
          <w:cols w:space="720" w:num="1"/>
        </w:sectPr>
      </w:pPr>
    </w:p>
    <w:p w14:paraId="227059B1">
      <w:pPr>
        <w:pStyle w:val="21"/>
        <w:bidi w:val="0"/>
      </w:pPr>
      <w:bookmarkStart w:id="2" w:name="_Toc4766"/>
      <w:r>
        <w:t>概述</w:t>
      </w:r>
      <w:bookmarkEnd w:id="2"/>
    </w:p>
    <w:p w14:paraId="6A52BDCC">
      <w:pPr>
        <w:pStyle w:val="22"/>
        <w:bidi w:val="0"/>
      </w:pPr>
      <w:bookmarkStart w:id="3" w:name="bookmark12"/>
      <w:bookmarkEnd w:id="3"/>
      <w:bookmarkStart w:id="4" w:name="_Toc32376"/>
      <w:r>
        <w:t>目的</w:t>
      </w:r>
      <w:bookmarkEnd w:id="4"/>
    </w:p>
    <w:p w14:paraId="342D7D8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本文件编写的目的是为了规范运维服务团队在</w:t>
      </w:r>
      <w:r>
        <w:rPr>
          <w:rFonts w:ascii="宋体" w:hAnsi="宋体" w:eastAsia="宋体" w:cs="宋体"/>
          <w:spacing w:val="-1"/>
          <w:sz w:val="24"/>
          <w:szCs w:val="24"/>
        </w:rPr>
        <w:t>服务能力体系运转过程中所</w:t>
      </w:r>
      <w:r>
        <w:rPr>
          <w:rFonts w:ascii="宋体" w:hAnsi="宋体" w:eastAsia="宋体" w:cs="宋体"/>
          <w:spacing w:val="-3"/>
          <w:sz w:val="24"/>
          <w:szCs w:val="24"/>
        </w:rPr>
        <w:t>产生的相关服务报告和服务总结。</w:t>
      </w:r>
    </w:p>
    <w:p w14:paraId="7FA235AF">
      <w:pPr>
        <w:pStyle w:val="22"/>
        <w:bidi w:val="0"/>
      </w:pPr>
      <w:bookmarkStart w:id="5" w:name="_Toc29879"/>
      <w:r>
        <w:t>范围</w:t>
      </w:r>
      <w:bookmarkEnd w:id="5"/>
    </w:p>
    <w:p w14:paraId="7CF99A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本文档适用于对运维服务能力体系各流程所产生的服务报告、服务总结的管理。</w:t>
      </w:r>
    </w:p>
    <w:p w14:paraId="56B8F1B0">
      <w:pPr>
        <w:pStyle w:val="21"/>
        <w:bidi w:val="0"/>
      </w:pPr>
      <w:bookmarkStart w:id="6" w:name="_Toc16001"/>
      <w:r>
        <w:t>服务报告（总结）管理流程</w:t>
      </w:r>
      <w:bookmarkEnd w:id="6"/>
    </w:p>
    <w:p w14:paraId="76B1EE99">
      <w:pPr>
        <w:pStyle w:val="22"/>
        <w:bidi w:val="0"/>
      </w:pPr>
      <w:bookmarkStart w:id="7" w:name="bookmark13"/>
      <w:bookmarkEnd w:id="7"/>
      <w:bookmarkStart w:id="8" w:name="_Toc3519"/>
      <w:r>
        <w:t>角色及职责</w:t>
      </w:r>
      <w:bookmarkEnd w:id="8"/>
    </w:p>
    <w:p w14:paraId="15BC3CBF">
      <w:pPr>
        <w:spacing w:line="50" w:lineRule="exact"/>
      </w:pPr>
    </w:p>
    <w:tbl>
      <w:tblPr>
        <w:tblStyle w:val="19"/>
        <w:tblW w:w="858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6"/>
        <w:gridCol w:w="7069"/>
      </w:tblGrid>
      <w:tr w14:paraId="7D0FB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1516" w:type="dxa"/>
            <w:tcBorders>
              <w:top w:val="single" w:color="000000" w:sz="12" w:space="0"/>
              <w:left w:val="single" w:color="000000" w:sz="12" w:space="0"/>
            </w:tcBorders>
            <w:shd w:val="clear" w:color="auto" w:fill="D8D8D8"/>
            <w:vAlign w:val="top"/>
          </w:tcPr>
          <w:p w14:paraId="0C595409">
            <w:pPr>
              <w:spacing w:before="286" w:line="219" w:lineRule="auto"/>
              <w:ind w:left="510"/>
              <w:rPr>
                <w:rFonts w:ascii="宋体" w:hAnsi="宋体" w:eastAsia="宋体" w:cs="宋体"/>
                <w:sz w:val="24"/>
                <w:szCs w:val="24"/>
              </w:rPr>
            </w:pPr>
            <w:r>
              <w:rPr>
                <w:rFonts w:ascii="宋体" w:hAnsi="宋体" w:eastAsia="宋体" w:cs="宋体"/>
                <w:b/>
                <w:bCs/>
                <w:spacing w:val="-6"/>
                <w:sz w:val="24"/>
                <w:szCs w:val="24"/>
              </w:rPr>
              <w:t>角色</w:t>
            </w:r>
          </w:p>
        </w:tc>
        <w:tc>
          <w:tcPr>
            <w:tcW w:w="7069" w:type="dxa"/>
            <w:tcBorders>
              <w:top w:val="single" w:color="000000" w:sz="12" w:space="0"/>
            </w:tcBorders>
            <w:shd w:val="clear" w:color="auto" w:fill="D8D8D8"/>
            <w:vAlign w:val="top"/>
          </w:tcPr>
          <w:p w14:paraId="3A47F2FC">
            <w:pPr>
              <w:spacing w:before="286" w:line="221" w:lineRule="auto"/>
              <w:ind w:left="3294"/>
              <w:rPr>
                <w:rFonts w:ascii="宋体" w:hAnsi="宋体" w:eastAsia="宋体" w:cs="宋体"/>
                <w:sz w:val="24"/>
                <w:szCs w:val="24"/>
              </w:rPr>
            </w:pPr>
            <w:r>
              <w:rPr>
                <w:rFonts w:ascii="宋体" w:hAnsi="宋体" w:eastAsia="宋体" w:cs="宋体"/>
                <w:b/>
                <w:bCs/>
                <w:spacing w:val="-6"/>
                <w:sz w:val="24"/>
                <w:szCs w:val="24"/>
              </w:rPr>
              <w:t>职责</w:t>
            </w:r>
          </w:p>
        </w:tc>
      </w:tr>
      <w:tr w14:paraId="311A0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70" w:hRule="atLeast"/>
        </w:trPr>
        <w:tc>
          <w:tcPr>
            <w:tcW w:w="1516" w:type="dxa"/>
            <w:tcBorders>
              <w:left w:val="single" w:color="000000" w:sz="12" w:space="0"/>
            </w:tcBorders>
            <w:vAlign w:val="top"/>
          </w:tcPr>
          <w:p w14:paraId="52161921">
            <w:pPr>
              <w:pStyle w:val="20"/>
              <w:spacing w:line="296" w:lineRule="auto"/>
            </w:pPr>
          </w:p>
          <w:p w14:paraId="54F2ACCE">
            <w:pPr>
              <w:pStyle w:val="20"/>
              <w:spacing w:line="296" w:lineRule="auto"/>
            </w:pPr>
          </w:p>
          <w:p w14:paraId="7CA3975E">
            <w:pPr>
              <w:spacing w:before="78" w:line="218" w:lineRule="auto"/>
              <w:ind w:left="144"/>
              <w:rPr>
                <w:rFonts w:ascii="宋体" w:hAnsi="宋体" w:eastAsia="宋体" w:cs="宋体"/>
                <w:sz w:val="24"/>
                <w:szCs w:val="24"/>
              </w:rPr>
            </w:pPr>
            <w:r>
              <w:rPr>
                <w:rFonts w:ascii="宋体" w:hAnsi="宋体" w:eastAsia="宋体" w:cs="宋体"/>
                <w:spacing w:val="-2"/>
                <w:sz w:val="24"/>
                <w:szCs w:val="24"/>
              </w:rPr>
              <w:t>报告提交人</w:t>
            </w:r>
          </w:p>
        </w:tc>
        <w:tc>
          <w:tcPr>
            <w:tcW w:w="7069" w:type="dxa"/>
            <w:vAlign w:val="top"/>
          </w:tcPr>
          <w:p w14:paraId="2507D34A">
            <w:pPr>
              <w:spacing w:before="220" w:line="218" w:lineRule="auto"/>
              <w:ind w:left="15"/>
              <w:rPr>
                <w:rFonts w:ascii="宋体" w:hAnsi="宋体" w:eastAsia="宋体" w:cs="宋体"/>
                <w:sz w:val="21"/>
                <w:szCs w:val="21"/>
              </w:rPr>
            </w:pPr>
            <w:r>
              <w:rPr>
                <w:rFonts w:ascii="宋体" w:hAnsi="宋体" w:eastAsia="宋体" w:cs="宋体"/>
                <w:spacing w:val="-1"/>
                <w:sz w:val="21"/>
                <w:szCs w:val="21"/>
              </w:rPr>
              <w:t>●运维服务能力体系的所有报告，为服务级别管理流程提供参考</w:t>
            </w:r>
          </w:p>
          <w:p w14:paraId="46E8E6F4">
            <w:pPr>
              <w:spacing w:before="220" w:line="218" w:lineRule="auto"/>
              <w:ind w:left="15"/>
              <w:rPr>
                <w:rFonts w:ascii="宋体" w:hAnsi="宋体" w:eastAsia="宋体" w:cs="宋体"/>
                <w:sz w:val="21"/>
                <w:szCs w:val="21"/>
              </w:rPr>
            </w:pPr>
            <w:r>
              <w:rPr>
                <w:rFonts w:ascii="宋体" w:hAnsi="宋体" w:eastAsia="宋体" w:cs="宋体"/>
                <w:spacing w:val="-1"/>
                <w:sz w:val="21"/>
                <w:szCs w:val="21"/>
              </w:rPr>
              <w:t>●管理运维服务能力体系的所有报告，为内部审核、管理评审提供参考</w:t>
            </w:r>
          </w:p>
          <w:p w14:paraId="782A91FF">
            <w:pPr>
              <w:spacing w:before="219" w:line="217" w:lineRule="auto"/>
              <w:ind w:left="15"/>
              <w:rPr>
                <w:rFonts w:ascii="宋体" w:hAnsi="宋体" w:eastAsia="宋体" w:cs="宋体"/>
                <w:sz w:val="21"/>
                <w:szCs w:val="21"/>
              </w:rPr>
            </w:pPr>
            <w:r>
              <w:rPr>
                <w:rFonts w:ascii="宋体" w:hAnsi="宋体" w:eastAsia="宋体" w:cs="宋体"/>
                <w:spacing w:val="-1"/>
                <w:sz w:val="21"/>
                <w:szCs w:val="21"/>
              </w:rPr>
              <w:t>●确保各报告的撰写、审批、发布,按照《服务报告管理程序》的要求去执行</w:t>
            </w:r>
          </w:p>
        </w:tc>
      </w:tr>
      <w:tr w14:paraId="265B4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516" w:type="dxa"/>
            <w:tcBorders>
              <w:left w:val="single" w:color="000000" w:sz="12" w:space="0"/>
            </w:tcBorders>
            <w:vAlign w:val="top"/>
          </w:tcPr>
          <w:p w14:paraId="07200820">
            <w:pPr>
              <w:pStyle w:val="20"/>
              <w:spacing w:line="364" w:lineRule="auto"/>
            </w:pPr>
          </w:p>
          <w:p w14:paraId="39BBD435">
            <w:pPr>
              <w:spacing w:before="78" w:line="220" w:lineRule="auto"/>
              <w:ind w:left="399"/>
              <w:rPr>
                <w:rFonts w:ascii="宋体" w:hAnsi="宋体" w:eastAsia="宋体" w:cs="宋体"/>
                <w:sz w:val="24"/>
                <w:szCs w:val="24"/>
              </w:rPr>
            </w:pPr>
            <w:r>
              <w:rPr>
                <w:rFonts w:ascii="宋体" w:hAnsi="宋体" w:eastAsia="宋体" w:cs="宋体"/>
                <w:spacing w:val="-5"/>
                <w:sz w:val="24"/>
                <w:szCs w:val="24"/>
              </w:rPr>
              <w:t>审批人</w:t>
            </w:r>
          </w:p>
        </w:tc>
        <w:tc>
          <w:tcPr>
            <w:tcW w:w="7069" w:type="dxa"/>
            <w:vAlign w:val="top"/>
          </w:tcPr>
          <w:p w14:paraId="00D4EE19">
            <w:pPr>
              <w:spacing w:before="225" w:line="218" w:lineRule="auto"/>
              <w:ind w:left="15"/>
              <w:rPr>
                <w:rFonts w:ascii="宋体" w:hAnsi="宋体" w:eastAsia="宋体" w:cs="宋体"/>
                <w:sz w:val="21"/>
                <w:szCs w:val="21"/>
              </w:rPr>
            </w:pPr>
            <w:r>
              <w:rPr>
                <w:rFonts w:ascii="宋体" w:hAnsi="宋体" w:eastAsia="宋体" w:cs="宋体"/>
                <w:spacing w:val="-2"/>
                <w:sz w:val="21"/>
                <w:szCs w:val="21"/>
              </w:rPr>
              <w:t>●审批报告中出现的重大异常情况</w:t>
            </w:r>
          </w:p>
          <w:p w14:paraId="05B4CA6D">
            <w:pPr>
              <w:spacing w:before="220" w:line="220" w:lineRule="auto"/>
              <w:ind w:left="15"/>
              <w:rPr>
                <w:rFonts w:ascii="宋体" w:hAnsi="宋体" w:eastAsia="宋体" w:cs="宋体"/>
                <w:sz w:val="21"/>
                <w:szCs w:val="21"/>
              </w:rPr>
            </w:pPr>
            <w:r>
              <w:rPr>
                <w:rFonts w:ascii="宋体" w:hAnsi="宋体" w:eastAsia="宋体" w:cs="宋体"/>
                <w:spacing w:val="-4"/>
                <w:sz w:val="21"/>
                <w:szCs w:val="21"/>
              </w:rPr>
              <w:t>●指导和监督</w:t>
            </w:r>
            <w:r>
              <w:rPr>
                <w:rFonts w:ascii="宋体" w:hAnsi="宋体" w:eastAsia="宋体" w:cs="宋体"/>
                <w:spacing w:val="-44"/>
                <w:sz w:val="21"/>
                <w:szCs w:val="21"/>
              </w:rPr>
              <w:t xml:space="preserve"> </w:t>
            </w:r>
            <w:r>
              <w:rPr>
                <w:rFonts w:ascii="宋体" w:hAnsi="宋体" w:eastAsia="宋体" w:cs="宋体"/>
                <w:spacing w:val="-4"/>
                <w:sz w:val="21"/>
                <w:szCs w:val="21"/>
              </w:rPr>
              <w:t>SLA</w:t>
            </w:r>
            <w:r>
              <w:rPr>
                <w:rFonts w:ascii="宋体" w:hAnsi="宋体" w:eastAsia="宋体" w:cs="宋体"/>
                <w:spacing w:val="-28"/>
                <w:sz w:val="21"/>
                <w:szCs w:val="21"/>
              </w:rPr>
              <w:t xml:space="preserve"> </w:t>
            </w:r>
            <w:r>
              <w:rPr>
                <w:rFonts w:ascii="宋体" w:hAnsi="宋体" w:eastAsia="宋体" w:cs="宋体"/>
                <w:spacing w:val="-4"/>
                <w:sz w:val="21"/>
                <w:szCs w:val="21"/>
              </w:rPr>
              <w:t>的履行情况</w:t>
            </w:r>
          </w:p>
        </w:tc>
      </w:tr>
    </w:tbl>
    <w:p w14:paraId="1E347B86">
      <w:pPr>
        <w:pStyle w:val="22"/>
        <w:bidi w:val="0"/>
      </w:pPr>
      <w:bookmarkStart w:id="9" w:name="_Toc17314"/>
      <w:r>
        <w:t>分类</w:t>
      </w:r>
      <w:bookmarkEnd w:id="9"/>
    </w:p>
    <w:p w14:paraId="70FB8A3A">
      <w:pPr>
        <w:spacing w:before="164" w:line="360" w:lineRule="auto"/>
        <w:ind w:left="66" w:right="415" w:firstLine="451"/>
        <w:rPr>
          <w:rFonts w:ascii="宋体" w:hAnsi="宋体" w:eastAsia="宋体" w:cs="宋体"/>
          <w:sz w:val="24"/>
          <w:szCs w:val="24"/>
        </w:rPr>
      </w:pPr>
      <w:r>
        <w:rPr>
          <w:rFonts w:ascii="宋体" w:hAnsi="宋体" w:eastAsia="宋体" w:cs="宋体"/>
          <w:b/>
          <w:bCs/>
          <w:spacing w:val="-1"/>
          <w:sz w:val="24"/>
          <w:szCs w:val="24"/>
        </w:rPr>
        <w:t>对外服务报告：</w:t>
      </w:r>
      <w:r>
        <w:rPr>
          <w:rFonts w:ascii="宋体" w:hAnsi="宋体" w:eastAsia="宋体" w:cs="宋体"/>
          <w:spacing w:val="-1"/>
          <w:sz w:val="24"/>
          <w:szCs w:val="24"/>
        </w:rPr>
        <w:t>提交给客户，包含服务内容及服务级别达成率分析；现存</w:t>
      </w:r>
      <w:r>
        <w:rPr>
          <w:rFonts w:ascii="宋体" w:hAnsi="宋体" w:eastAsia="宋体" w:cs="宋体"/>
          <w:spacing w:val="-8"/>
          <w:sz w:val="24"/>
          <w:szCs w:val="24"/>
        </w:rPr>
        <w:t>问题及改进建议等。</w:t>
      </w:r>
    </w:p>
    <w:p w14:paraId="24FA3F48">
      <w:pPr>
        <w:spacing w:before="1" w:line="362" w:lineRule="auto"/>
        <w:ind w:left="41" w:right="415" w:firstLine="477"/>
        <w:rPr>
          <w:rFonts w:ascii="宋体" w:hAnsi="宋体" w:eastAsia="宋体" w:cs="宋体"/>
          <w:sz w:val="24"/>
          <w:szCs w:val="24"/>
        </w:rPr>
      </w:pPr>
      <w:r>
        <w:rPr>
          <w:rFonts w:ascii="宋体" w:hAnsi="宋体" w:eastAsia="宋体" w:cs="宋体"/>
          <w:b/>
          <w:bCs/>
          <w:spacing w:val="-1"/>
          <w:sz w:val="24"/>
          <w:szCs w:val="24"/>
        </w:rPr>
        <w:t>对内服务总结：</w:t>
      </w:r>
      <w:r>
        <w:rPr>
          <w:rFonts w:ascii="宋体" w:hAnsi="宋体" w:eastAsia="宋体" w:cs="宋体"/>
          <w:spacing w:val="-1"/>
          <w:sz w:val="24"/>
          <w:szCs w:val="24"/>
        </w:rPr>
        <w:t>项目组内部总结，主要总结对客户提供的各项服务指标达</w:t>
      </w:r>
      <w:r>
        <w:rPr>
          <w:rFonts w:ascii="宋体" w:hAnsi="宋体" w:eastAsia="宋体" w:cs="宋体"/>
          <w:spacing w:val="-4"/>
          <w:sz w:val="24"/>
          <w:szCs w:val="24"/>
        </w:rPr>
        <w:t>成情况分析及改进建议。</w:t>
      </w:r>
    </w:p>
    <w:p w14:paraId="27D3255A">
      <w:pPr>
        <w:pStyle w:val="22"/>
        <w:bidi w:val="0"/>
      </w:pPr>
      <w:bookmarkStart w:id="10" w:name="_Toc31442"/>
      <w:r>
        <w:t>服务报告（总结）策略</w:t>
      </w:r>
      <w:bookmarkEnd w:id="10"/>
    </w:p>
    <w:p w14:paraId="5779FC82">
      <w:pPr>
        <w:spacing w:before="78" w:line="218" w:lineRule="auto"/>
        <w:ind w:left="39"/>
        <w:rPr>
          <w:rFonts w:ascii="宋体" w:hAnsi="宋体" w:eastAsia="宋体" w:cs="宋体"/>
          <w:sz w:val="24"/>
          <w:szCs w:val="24"/>
        </w:rPr>
      </w:pPr>
      <w:r>
        <w:rPr>
          <w:rFonts w:ascii="宋体" w:hAnsi="宋体" w:eastAsia="宋体" w:cs="宋体"/>
          <w:spacing w:val="-5"/>
          <w:sz w:val="24"/>
          <w:szCs w:val="24"/>
        </w:rPr>
        <w:t>服务报告管理应该遵循如下策略：</w:t>
      </w:r>
    </w:p>
    <w:p w14:paraId="4A561468">
      <w:pPr>
        <w:spacing w:before="78" w:line="220" w:lineRule="auto"/>
        <w:ind w:left="5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3"/>
          <w:sz w:val="24"/>
          <w:szCs w:val="24"/>
        </w:rPr>
        <w:t>应约定并记录用户对服务报告的要求。</w:t>
      </w:r>
    </w:p>
    <w:p w14:paraId="617BB329">
      <w:pPr>
        <w:spacing w:before="79" w:line="220" w:lineRule="auto"/>
        <w:ind w:left="5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2"/>
          <w:sz w:val="24"/>
          <w:szCs w:val="24"/>
        </w:rPr>
        <w:t>服务报告中的指标应该是可测量的，并提供趋势信息。</w:t>
      </w:r>
    </w:p>
    <w:p w14:paraId="4EE36299">
      <w:pPr>
        <w:spacing w:before="114" w:line="293" w:lineRule="auto"/>
        <w:ind w:left="540" w:right="532" w:hanging="40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服务报告应得到相关各方的认可，应确保报告</w:t>
      </w:r>
      <w:r>
        <w:rPr>
          <w:rFonts w:ascii="宋体" w:hAnsi="宋体" w:eastAsia="宋体" w:cs="宋体"/>
          <w:spacing w:val="-2"/>
          <w:sz w:val="24"/>
          <w:szCs w:val="24"/>
        </w:rPr>
        <w:t>的及时性、可靠性和准确性。报告应采用通俗易懂的呈现方式，例如图表形式。</w:t>
      </w:r>
    </w:p>
    <w:p w14:paraId="49628A4C">
      <w:pPr>
        <w:spacing w:before="78" w:line="220" w:lineRule="auto"/>
        <w:ind w:left="13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2"/>
          <w:sz w:val="24"/>
          <w:szCs w:val="24"/>
        </w:rPr>
        <w:t>服务报告应清楚描述其目标、受众、数据来源等信息。</w:t>
      </w:r>
    </w:p>
    <w:p w14:paraId="5915B9F4">
      <w:pPr>
        <w:pStyle w:val="22"/>
        <w:bidi w:val="0"/>
      </w:pPr>
      <w:bookmarkStart w:id="11" w:name="_Toc16298"/>
      <w:r>
        <w:t>服务报告（总结）管理</w:t>
      </w:r>
      <w:bookmarkEnd w:id="1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1644"/>
        <w:gridCol w:w="905"/>
        <w:gridCol w:w="1471"/>
        <w:gridCol w:w="821"/>
        <w:gridCol w:w="1146"/>
        <w:gridCol w:w="1146"/>
        <w:gridCol w:w="1146"/>
      </w:tblGrid>
      <w:tr w14:paraId="7DD14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vAlign w:val="top"/>
          </w:tcPr>
          <w:p w14:paraId="6E4FC1FD">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名</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称</w:t>
            </w:r>
          </w:p>
        </w:tc>
        <w:tc>
          <w:tcPr>
            <w:tcW w:w="1644" w:type="dxa"/>
            <w:vAlign w:val="top"/>
          </w:tcPr>
          <w:p w14:paraId="40F828F3">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相关项</w:t>
            </w:r>
          </w:p>
        </w:tc>
        <w:tc>
          <w:tcPr>
            <w:tcW w:w="905" w:type="dxa"/>
            <w:vAlign w:val="top"/>
          </w:tcPr>
          <w:p w14:paraId="5756E91A">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撰</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写</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人</w:t>
            </w:r>
          </w:p>
        </w:tc>
        <w:tc>
          <w:tcPr>
            <w:tcW w:w="1471" w:type="dxa"/>
            <w:vAlign w:val="top"/>
          </w:tcPr>
          <w:p w14:paraId="502F6906">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审</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人</w:t>
            </w:r>
          </w:p>
        </w:tc>
        <w:tc>
          <w:tcPr>
            <w:tcW w:w="821" w:type="dxa"/>
            <w:vAlign w:val="top"/>
          </w:tcPr>
          <w:p w14:paraId="33E0D8D1">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归</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档</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式</w:t>
            </w:r>
          </w:p>
        </w:tc>
        <w:tc>
          <w:tcPr>
            <w:tcW w:w="1146" w:type="dxa"/>
            <w:vAlign w:val="top"/>
          </w:tcPr>
          <w:p w14:paraId="28EFC6C1">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汇</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报</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对</w:t>
            </w:r>
            <w:r>
              <w:rPr>
                <w:rStyle w:val="25"/>
                <w:snapToGrid w:val="0"/>
                <w:color w:val="000000"/>
                <w:sz w:val="15"/>
                <w:szCs w:val="15"/>
                <w:lang w:val="en-US" w:eastAsia="zh-CN" w:bidi="ar"/>
              </w:rPr>
              <w:t xml:space="preserve"> </w:t>
            </w:r>
            <w:r>
              <w:rPr>
                <w:rStyle w:val="26"/>
                <w:snapToGrid w:val="0"/>
                <w:color w:val="000000"/>
                <w:sz w:val="15"/>
                <w:szCs w:val="15"/>
                <w:lang w:val="en-US" w:eastAsia="zh-CN" w:bidi="ar"/>
              </w:rPr>
              <w:t>象</w:t>
            </w:r>
          </w:p>
        </w:tc>
        <w:tc>
          <w:tcPr>
            <w:tcW w:w="1146" w:type="dxa"/>
            <w:vAlign w:val="top"/>
          </w:tcPr>
          <w:p w14:paraId="44A2D44A">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报告主要内容</w:t>
            </w:r>
          </w:p>
        </w:tc>
        <w:tc>
          <w:tcPr>
            <w:tcW w:w="1146" w:type="dxa"/>
            <w:vAlign w:val="top"/>
          </w:tcPr>
          <w:p w14:paraId="57BA5D0C">
            <w:pPr>
              <w:keepNext w:val="0"/>
              <w:keepLines w:val="0"/>
              <w:widowControl/>
              <w:suppressLineNumbers w:val="0"/>
              <w:jc w:val="left"/>
              <w:textAlignment w:val="center"/>
              <w:rPr>
                <w:sz w:val="15"/>
                <w:szCs w:val="15"/>
                <w:vertAlign w:val="baseline"/>
              </w:rPr>
            </w:pPr>
            <w:r>
              <w:rPr>
                <w:rFonts w:hint="eastAsia" w:ascii="宋体" w:hAnsi="宋体" w:eastAsia="宋体" w:cs="宋体"/>
                <w:b/>
                <w:bCs/>
                <w:i w:val="0"/>
                <w:iCs w:val="0"/>
                <w:snapToGrid w:val="0"/>
                <w:color w:val="000000"/>
                <w:kern w:val="0"/>
                <w:sz w:val="15"/>
                <w:szCs w:val="15"/>
                <w:u w:val="none"/>
                <w:lang w:val="en-US" w:eastAsia="zh-CN" w:bidi="ar"/>
              </w:rPr>
              <w:t>目的</w:t>
            </w:r>
          </w:p>
        </w:tc>
      </w:tr>
      <w:tr w14:paraId="67F7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shd w:val="clear" w:color="auto" w:fill="auto"/>
            <w:vAlign w:val="top"/>
          </w:tcPr>
          <w:p w14:paraId="78DF4171">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服务报告</w:t>
            </w:r>
          </w:p>
        </w:tc>
        <w:tc>
          <w:tcPr>
            <w:tcW w:w="1644" w:type="dxa"/>
            <w:shd w:val="clear" w:color="auto" w:fill="auto"/>
            <w:vAlign w:val="top"/>
          </w:tcPr>
          <w:p w14:paraId="7F1E3DF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针对该项目的 SLA 要求，所进行的例行操作、响应支持、优化改善、咨询评估的工作内容的统计和趋势分析。现存问题、改进意见及用户确认信息</w:t>
            </w:r>
          </w:p>
        </w:tc>
        <w:tc>
          <w:tcPr>
            <w:tcW w:w="905" w:type="dxa"/>
            <w:shd w:val="clear" w:color="auto" w:fill="auto"/>
            <w:vAlign w:val="top"/>
          </w:tcPr>
          <w:p w14:paraId="640D3736">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项目经理</w:t>
            </w:r>
          </w:p>
        </w:tc>
        <w:tc>
          <w:tcPr>
            <w:tcW w:w="1471" w:type="dxa"/>
            <w:shd w:val="clear" w:color="auto" w:fill="auto"/>
            <w:vAlign w:val="top"/>
          </w:tcPr>
          <w:p w14:paraId="004DCC7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运维服务部门经理</w:t>
            </w:r>
          </w:p>
        </w:tc>
        <w:tc>
          <w:tcPr>
            <w:tcW w:w="821" w:type="dxa"/>
            <w:shd w:val="clear" w:color="auto" w:fill="auto"/>
            <w:vAlign w:val="top"/>
          </w:tcPr>
          <w:p w14:paraId="1335FA32">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公司归档</w:t>
            </w:r>
          </w:p>
        </w:tc>
        <w:tc>
          <w:tcPr>
            <w:tcW w:w="1146" w:type="dxa"/>
            <w:shd w:val="clear" w:color="auto" w:fill="auto"/>
            <w:vAlign w:val="top"/>
          </w:tcPr>
          <w:p w14:paraId="79752184">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客户公司运维 服务部经理</w:t>
            </w:r>
          </w:p>
        </w:tc>
        <w:tc>
          <w:tcPr>
            <w:tcW w:w="1146" w:type="dxa"/>
            <w:shd w:val="clear" w:color="auto" w:fill="auto"/>
            <w:vAlign w:val="top"/>
          </w:tcPr>
          <w:p w14:paraId="4254D210">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1、事件汇总分析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2、问题汇总分析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3、现存问题及改进意见</w:t>
            </w:r>
          </w:p>
        </w:tc>
        <w:tc>
          <w:tcPr>
            <w:tcW w:w="1146" w:type="dxa"/>
            <w:shd w:val="clear" w:color="auto" w:fill="auto"/>
            <w:vAlign w:val="top"/>
          </w:tcPr>
          <w:p w14:paraId="62F96AA6">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zh-CN" w:bidi="ar"/>
              </w:rPr>
            </w:pPr>
            <w:r>
              <w:rPr>
                <w:rFonts w:hint="eastAsia" w:ascii="宋体" w:hAnsi="宋体" w:eastAsia="宋体" w:cs="宋体"/>
                <w:i w:val="0"/>
                <w:iCs w:val="0"/>
                <w:snapToGrid w:val="0"/>
                <w:color w:val="000000"/>
                <w:kern w:val="0"/>
                <w:sz w:val="15"/>
                <w:szCs w:val="15"/>
                <w:u w:val="none"/>
                <w:lang w:val="en-US" w:eastAsia="zh-CN" w:bidi="ar"/>
              </w:rPr>
              <w:t>1、让用户了解运维工作的进展情况及 SLA 指标达成情况。</w:t>
            </w:r>
          </w:p>
          <w:p w14:paraId="0377A15A">
            <w:pPr>
              <w:keepNext w:val="0"/>
              <w:keepLines w:val="0"/>
              <w:widowControl/>
              <w:suppressLineNumbers w:val="0"/>
              <w:jc w:val="left"/>
              <w:textAlignment w:val="center"/>
              <w:rPr>
                <w:rFonts w:hint="eastAsia" w:ascii="宋体" w:hAnsi="宋体" w:eastAsia="宋体" w:cs="宋体"/>
                <w:i w:val="0"/>
                <w:iCs w:val="0"/>
                <w:snapToGrid w:val="0"/>
                <w:color w:val="000000"/>
                <w:kern w:val="0"/>
                <w:sz w:val="15"/>
                <w:szCs w:val="15"/>
                <w:u w:val="none"/>
                <w:lang w:val="en-US" w:eastAsia="en-US" w:bidi="ar-SA"/>
              </w:rPr>
            </w:pPr>
            <w:r>
              <w:rPr>
                <w:rFonts w:hint="eastAsia" w:ascii="宋体" w:hAnsi="宋体" w:eastAsia="宋体" w:cs="宋体"/>
                <w:i w:val="0"/>
                <w:iCs w:val="0"/>
                <w:snapToGrid w:val="0"/>
                <w:color w:val="000000"/>
                <w:kern w:val="0"/>
                <w:sz w:val="15"/>
                <w:szCs w:val="15"/>
                <w:u w:val="none"/>
                <w:lang w:val="en-US" w:eastAsia="zh-CN" w:bidi="ar"/>
              </w:rPr>
              <w:t>2、让用户了解运维服务现存问题及改进建议。</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3、改进服务质量</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4、提高客户满意度</w:t>
            </w:r>
          </w:p>
        </w:tc>
      </w:tr>
      <w:tr w14:paraId="22FF6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vAlign w:val="top"/>
          </w:tcPr>
          <w:p w14:paraId="07BE52C4">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服 务 总 结</w:t>
            </w:r>
          </w:p>
        </w:tc>
        <w:tc>
          <w:tcPr>
            <w:tcW w:w="1644" w:type="dxa"/>
            <w:vAlign w:val="top"/>
          </w:tcPr>
          <w:p w14:paraId="35659270">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针对该项目的 SLA 要求，所进行的例行操作、响应支持、优化改善、咨询评估的工作内容的统计和趋势分析及用户确认信息</w:t>
            </w:r>
          </w:p>
        </w:tc>
        <w:tc>
          <w:tcPr>
            <w:tcW w:w="905" w:type="dxa"/>
            <w:vAlign w:val="top"/>
          </w:tcPr>
          <w:p w14:paraId="22E07C93">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项目经理</w:t>
            </w:r>
          </w:p>
        </w:tc>
        <w:tc>
          <w:tcPr>
            <w:tcW w:w="1471" w:type="dxa"/>
            <w:vAlign w:val="top"/>
          </w:tcPr>
          <w:p w14:paraId="5F19BBED">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运维服务部门经理</w:t>
            </w:r>
          </w:p>
        </w:tc>
        <w:tc>
          <w:tcPr>
            <w:tcW w:w="821" w:type="dxa"/>
            <w:vAlign w:val="top"/>
          </w:tcPr>
          <w:p w14:paraId="3DA97FEA">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公司归档</w:t>
            </w:r>
          </w:p>
        </w:tc>
        <w:tc>
          <w:tcPr>
            <w:tcW w:w="1146" w:type="dxa"/>
            <w:vAlign w:val="top"/>
          </w:tcPr>
          <w:p w14:paraId="54EC7EE6">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客户公司运维 服务部经理</w:t>
            </w:r>
          </w:p>
        </w:tc>
        <w:tc>
          <w:tcPr>
            <w:tcW w:w="1146" w:type="dxa"/>
            <w:vAlign w:val="top"/>
          </w:tcPr>
          <w:p w14:paraId="6DFE799D">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1、事件汇总分析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2、问题汇总分析</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3、现存问题及改进意见</w:t>
            </w:r>
            <w:r>
              <w:rPr>
                <w:rFonts w:hint="eastAsia" w:ascii="宋体" w:hAnsi="宋体" w:eastAsia="宋体" w:cs="宋体"/>
                <w:i w:val="0"/>
                <w:iCs w:val="0"/>
                <w:snapToGrid w:val="0"/>
                <w:color w:val="000000"/>
                <w:kern w:val="0"/>
                <w:sz w:val="15"/>
                <w:szCs w:val="15"/>
                <w:u w:val="none"/>
                <w:lang w:val="en-US" w:eastAsia="zh-CN" w:bidi="ar"/>
              </w:rPr>
              <w:br w:type="textWrapping"/>
            </w:r>
            <w:r>
              <w:rPr>
                <w:rFonts w:hint="eastAsia" w:ascii="宋体" w:hAnsi="宋体" w:eastAsia="宋体" w:cs="宋体"/>
                <w:i w:val="0"/>
                <w:iCs w:val="0"/>
                <w:snapToGrid w:val="0"/>
                <w:color w:val="000000"/>
                <w:kern w:val="0"/>
                <w:sz w:val="15"/>
                <w:szCs w:val="15"/>
                <w:u w:val="none"/>
                <w:lang w:val="en-US" w:eastAsia="zh-CN" w:bidi="ar"/>
              </w:rPr>
              <w:t>4、总结运维服务在事件、问题、变更、配置、发布等方面是否符合体系规范要求。</w:t>
            </w:r>
          </w:p>
        </w:tc>
        <w:tc>
          <w:tcPr>
            <w:tcW w:w="1146" w:type="dxa"/>
            <w:vAlign w:val="top"/>
          </w:tcPr>
          <w:p w14:paraId="7B70C771">
            <w:pPr>
              <w:keepNext w:val="0"/>
              <w:keepLines w:val="0"/>
              <w:widowControl/>
              <w:suppressLineNumbers w:val="0"/>
              <w:jc w:val="left"/>
              <w:textAlignment w:val="center"/>
              <w:rPr>
                <w:sz w:val="15"/>
                <w:szCs w:val="15"/>
                <w:vertAlign w:val="baseline"/>
              </w:rPr>
            </w:pPr>
            <w:r>
              <w:rPr>
                <w:rFonts w:hint="eastAsia" w:ascii="宋体" w:hAnsi="宋体" w:eastAsia="宋体" w:cs="宋体"/>
                <w:i w:val="0"/>
                <w:iCs w:val="0"/>
                <w:snapToGrid w:val="0"/>
                <w:color w:val="000000"/>
                <w:kern w:val="0"/>
                <w:sz w:val="15"/>
                <w:szCs w:val="15"/>
                <w:u w:val="none"/>
                <w:lang w:val="en-US" w:eastAsia="zh-CN" w:bidi="ar"/>
              </w:rPr>
              <w:t>维护和改进运维服务质量，统计和分析各流程的执行，监控能力，进行事件的统计，向公司运维服务部经理汇报运维项目组的工作量及下一步工作改进情况。</w:t>
            </w:r>
          </w:p>
        </w:tc>
      </w:tr>
    </w:tbl>
    <w:p w14:paraId="15815C6D">
      <w:pPr>
        <w:spacing w:before="121"/>
      </w:pPr>
    </w:p>
    <w:p w14:paraId="620E6A3F">
      <w:pPr>
        <w:pStyle w:val="11"/>
      </w:pPr>
    </w:p>
    <w:p w14:paraId="2F04308E">
      <w:pPr>
        <w:sectPr>
          <w:footerReference r:id="rId5" w:type="default"/>
          <w:pgSz w:w="11906" w:h="16839"/>
          <w:pgMar w:top="1431" w:right="1268" w:bottom="1375" w:left="1686" w:header="0" w:footer="1211" w:gutter="0"/>
          <w:cols w:space="720" w:num="1"/>
        </w:sectPr>
      </w:pPr>
    </w:p>
    <w:p w14:paraId="7BDF7D32">
      <w:pPr>
        <w:spacing w:before="115"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项目组应确保相应报告的撰写、审批、发布按照上表进行。</w:t>
      </w:r>
    </w:p>
    <w:p w14:paraId="48E2867B">
      <w:pPr>
        <w:pStyle w:val="11"/>
        <w:spacing w:line="258" w:lineRule="auto"/>
      </w:pPr>
    </w:p>
    <w:p w14:paraId="11633E42">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2"/>
          <w:sz w:val="24"/>
          <w:szCs w:val="24"/>
        </w:rPr>
        <w:t>服务报告的管理应遵从服务能力体系文件及记录管理规范。</w:t>
      </w:r>
    </w:p>
    <w:p w14:paraId="6A1B9FFB">
      <w:pPr>
        <w:pStyle w:val="11"/>
        <w:spacing w:line="258" w:lineRule="auto"/>
      </w:pPr>
    </w:p>
    <w:p w14:paraId="03FCE32C">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25"/>
          <w:sz w:val="24"/>
          <w:szCs w:val="24"/>
        </w:rPr>
        <w:t xml:space="preserve"> </w:t>
      </w:r>
      <w:r>
        <w:rPr>
          <w:rFonts w:ascii="宋体" w:hAnsi="宋体" w:eastAsia="宋体" w:cs="宋体"/>
          <w:spacing w:val="-3"/>
          <w:sz w:val="24"/>
          <w:szCs w:val="24"/>
        </w:rPr>
        <w:t>运维服务部经理定期管理</w:t>
      </w:r>
      <w:r>
        <w:rPr>
          <w:rFonts w:ascii="宋体" w:hAnsi="宋体" w:eastAsia="宋体" w:cs="宋体"/>
          <w:spacing w:val="-37"/>
          <w:sz w:val="24"/>
          <w:szCs w:val="24"/>
        </w:rPr>
        <w:t xml:space="preserve"> </w:t>
      </w:r>
      <w:r>
        <w:rPr>
          <w:rFonts w:ascii="宋体" w:hAnsi="宋体" w:eastAsia="宋体" w:cs="宋体"/>
          <w:spacing w:val="-3"/>
          <w:sz w:val="24"/>
          <w:szCs w:val="24"/>
        </w:rPr>
        <w:t>IT</w:t>
      </w:r>
      <w:r>
        <w:rPr>
          <w:rFonts w:ascii="宋体" w:hAnsi="宋体" w:eastAsia="宋体" w:cs="宋体"/>
          <w:spacing w:val="-51"/>
          <w:sz w:val="24"/>
          <w:szCs w:val="24"/>
        </w:rPr>
        <w:t xml:space="preserve"> </w:t>
      </w:r>
      <w:r>
        <w:rPr>
          <w:rFonts w:ascii="宋体" w:hAnsi="宋体" w:eastAsia="宋体" w:cs="宋体"/>
          <w:spacing w:val="-3"/>
          <w:sz w:val="24"/>
          <w:szCs w:val="24"/>
        </w:rPr>
        <w:t>运维服务能力体系的所有报告。</w:t>
      </w:r>
    </w:p>
    <w:p w14:paraId="7315504D">
      <w:pPr>
        <w:spacing w:before="284"/>
        <w:ind w:left="39"/>
        <w:rPr>
          <w:rFonts w:ascii="宋体" w:hAnsi="宋体" w:eastAsia="宋体" w:cs="宋体"/>
          <w:sz w:val="24"/>
          <w:szCs w:val="24"/>
        </w:rPr>
      </w:pPr>
      <w:r>
        <w:rPr>
          <w:rFonts w:ascii="宋体" w:hAnsi="宋体" w:eastAsia="宋体" w:cs="宋体"/>
          <w:position w:val="-6"/>
          <w:sz w:val="24"/>
          <w:szCs w:val="24"/>
        </w:rPr>
        <w:drawing>
          <wp:inline distT="0" distB="0" distL="0" distR="0">
            <wp:extent cx="135255" cy="21082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1"/>
                    <a:stretch>
                      <a:fillRect/>
                    </a:stretch>
                  </pic:blipFill>
                  <pic:spPr>
                    <a:xfrm>
                      <a:off x="0" y="0"/>
                      <a:ext cx="135255" cy="211264"/>
                    </a:xfrm>
                    <a:prstGeom prst="rect">
                      <a:avLst/>
                    </a:prstGeom>
                  </pic:spPr>
                </pic:pic>
              </a:graphicData>
            </a:graphic>
          </wp:inline>
        </w:drawing>
      </w:r>
      <w:r>
        <w:rPr>
          <w:rFonts w:ascii="宋体" w:hAnsi="宋体" w:eastAsia="宋体" w:cs="宋体"/>
          <w:spacing w:val="87"/>
          <w:sz w:val="24"/>
          <w:szCs w:val="24"/>
        </w:rPr>
        <w:t xml:space="preserve"> </w:t>
      </w:r>
      <w:r>
        <w:rPr>
          <w:rFonts w:ascii="宋体" w:hAnsi="宋体" w:eastAsia="宋体" w:cs="宋体"/>
          <w:spacing w:val="-2"/>
          <w:sz w:val="24"/>
          <w:szCs w:val="24"/>
        </w:rPr>
        <w:t>对报告中出现的重大异常情况，应及时通知并提交运维服务部经理。</w:t>
      </w:r>
    </w:p>
    <w:p w14:paraId="24B72520">
      <w:pPr>
        <w:pStyle w:val="11"/>
        <w:spacing w:line="248" w:lineRule="auto"/>
      </w:pPr>
    </w:p>
    <w:p w14:paraId="3836D865">
      <w:pPr>
        <w:pStyle w:val="22"/>
        <w:bidi w:val="0"/>
      </w:pPr>
      <w:bookmarkStart w:id="12" w:name="bookmark1"/>
      <w:bookmarkEnd w:id="12"/>
      <w:bookmarkStart w:id="13" w:name="_Toc4894"/>
      <w:r>
        <w:t>服务报告（总结）的内容</w:t>
      </w:r>
      <w:bookmarkEnd w:id="13"/>
    </w:p>
    <w:p w14:paraId="0F5086A1">
      <w:pPr>
        <w:pStyle w:val="11"/>
        <w:spacing w:line="244" w:lineRule="auto"/>
      </w:pPr>
    </w:p>
    <w:p w14:paraId="506DD27F">
      <w:pPr>
        <w:spacing w:before="78" w:line="361" w:lineRule="auto"/>
        <w:ind w:left="23" w:right="160" w:firstLine="425"/>
        <w:jc w:val="both"/>
        <w:rPr>
          <w:rFonts w:ascii="宋体" w:hAnsi="宋体" w:eastAsia="宋体" w:cs="宋体"/>
          <w:sz w:val="24"/>
          <w:szCs w:val="24"/>
        </w:rPr>
      </w:pPr>
      <w:r>
        <w:rPr>
          <w:rFonts w:ascii="宋体" w:hAnsi="宋体" w:eastAsia="宋体" w:cs="宋体"/>
          <w:sz w:val="24"/>
          <w:szCs w:val="24"/>
        </w:rPr>
        <w:t>运维服务能力体系各流程应产生供管理决策所需</w:t>
      </w:r>
      <w:r>
        <w:rPr>
          <w:rFonts w:ascii="宋体" w:hAnsi="宋体" w:eastAsia="宋体" w:cs="宋体"/>
          <w:spacing w:val="-1"/>
          <w:sz w:val="24"/>
          <w:szCs w:val="24"/>
        </w:rPr>
        <w:t>的服务报告，报告应得到</w:t>
      </w:r>
      <w:r>
        <w:rPr>
          <w:rFonts w:ascii="宋体" w:hAnsi="宋体" w:eastAsia="宋体" w:cs="宋体"/>
          <w:sz w:val="24"/>
          <w:szCs w:val="24"/>
        </w:rPr>
        <w:t>相关各方的认可，应确保报告的及时性、可靠性和准</w:t>
      </w:r>
      <w:r>
        <w:rPr>
          <w:rFonts w:ascii="宋体" w:hAnsi="宋体" w:eastAsia="宋体" w:cs="宋体"/>
          <w:spacing w:val="-1"/>
          <w:sz w:val="24"/>
          <w:szCs w:val="24"/>
        </w:rPr>
        <w:t>确性。报告应采用通俗易</w:t>
      </w:r>
      <w:r>
        <w:rPr>
          <w:rFonts w:ascii="宋体" w:hAnsi="宋体" w:eastAsia="宋体" w:cs="宋体"/>
          <w:spacing w:val="-5"/>
          <w:sz w:val="24"/>
          <w:szCs w:val="24"/>
        </w:rPr>
        <w:t>懂的呈现方式，例如图表形式；</w:t>
      </w:r>
    </w:p>
    <w:p w14:paraId="3EC49266">
      <w:pPr>
        <w:spacing w:before="151" w:line="361" w:lineRule="auto"/>
        <w:ind w:left="24" w:right="215" w:firstLine="427"/>
        <w:rPr>
          <w:rFonts w:ascii="宋体" w:hAnsi="宋体" w:eastAsia="宋体" w:cs="宋体"/>
          <w:sz w:val="24"/>
          <w:szCs w:val="24"/>
        </w:rPr>
      </w:pPr>
      <w:r>
        <w:rPr>
          <w:rFonts w:ascii="宋体" w:hAnsi="宋体" w:eastAsia="宋体" w:cs="宋体"/>
          <w:spacing w:val="-1"/>
          <w:sz w:val="24"/>
          <w:szCs w:val="24"/>
        </w:rPr>
        <w:t>项目经理编写相应的服务报告，并由运维服务部负责人负责审批。为用户</w:t>
      </w:r>
      <w:r>
        <w:rPr>
          <w:rFonts w:ascii="宋体" w:hAnsi="宋体" w:eastAsia="宋体" w:cs="宋体"/>
          <w:spacing w:val="-4"/>
          <w:sz w:val="24"/>
          <w:szCs w:val="24"/>
        </w:rPr>
        <w:t>提供的服务报告，应包括如下信息：</w:t>
      </w:r>
    </w:p>
    <w:p w14:paraId="67F00B84">
      <w:pPr>
        <w:spacing w:before="143"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针对服务级别目标（SLA）的绩效达成情况。</w:t>
      </w:r>
    </w:p>
    <w:p w14:paraId="47AF7C9E">
      <w:pPr>
        <w:pStyle w:val="11"/>
        <w:spacing w:line="258" w:lineRule="auto"/>
      </w:pPr>
    </w:p>
    <w:p w14:paraId="67B3D165">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1"/>
          <w:sz w:val="24"/>
          <w:szCs w:val="24"/>
        </w:rPr>
        <w:t>阶段（月）服务进展，如：处理事件、问题的数量。</w:t>
      </w:r>
    </w:p>
    <w:p w14:paraId="50FDBEB9">
      <w:pPr>
        <w:pStyle w:val="11"/>
        <w:spacing w:line="258" w:lineRule="auto"/>
      </w:pPr>
    </w:p>
    <w:p w14:paraId="64A76A0F">
      <w:pPr>
        <w:spacing w:before="78" w:line="220" w:lineRule="auto"/>
        <w:ind w:left="34"/>
        <w:rPr>
          <w:rFonts w:hint="eastAsia" w:ascii="宋体" w:hAnsi="宋体" w:eastAsia="宋体" w:cs="宋体"/>
          <w:spacing w:val="-2"/>
          <w:sz w:val="24"/>
          <w:szCs w:val="24"/>
          <w:lang w:val="en-US" w:eastAsia="zh-CN"/>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2"/>
          <w:sz w:val="24"/>
          <w:szCs w:val="24"/>
        </w:rPr>
        <w:t>阶段（</w:t>
      </w:r>
      <w:r>
        <w:rPr>
          <w:rFonts w:hint="eastAsia" w:ascii="宋体" w:hAnsi="宋体" w:eastAsia="宋体" w:cs="宋体"/>
          <w:spacing w:val="-2"/>
          <w:sz w:val="24"/>
          <w:szCs w:val="24"/>
          <w:lang w:val="en-US" w:eastAsia="zh-CN"/>
        </w:rPr>
        <w:t>季度</w:t>
      </w:r>
    </w:p>
    <w:p w14:paraId="32F42997">
      <w:pPr>
        <w:spacing w:before="78" w:line="220" w:lineRule="auto"/>
        <w:ind w:left="34"/>
        <w:rPr>
          <w:rFonts w:ascii="宋体" w:hAnsi="宋体" w:eastAsia="宋体" w:cs="宋体"/>
          <w:sz w:val="24"/>
          <w:szCs w:val="24"/>
        </w:rPr>
      </w:pPr>
      <w:r>
        <w:rPr>
          <w:rFonts w:ascii="宋体" w:hAnsi="宋体" w:eastAsia="宋体" w:cs="宋体"/>
          <w:spacing w:val="-1"/>
          <w:sz w:val="24"/>
          <w:szCs w:val="24"/>
        </w:rPr>
        <w:t>月</w:t>
      </w:r>
      <w:r>
        <w:rPr>
          <w:rFonts w:ascii="宋体" w:hAnsi="宋体" w:eastAsia="宋体" w:cs="宋体"/>
          <w:spacing w:val="-2"/>
          <w:sz w:val="24"/>
          <w:szCs w:val="24"/>
        </w:rPr>
        <w:t>）重大事件处理过程与结果，如：重大事件变更与发布。</w:t>
      </w:r>
    </w:p>
    <w:p w14:paraId="38D1921C">
      <w:pPr>
        <w:pStyle w:val="11"/>
        <w:spacing w:line="258" w:lineRule="auto"/>
      </w:pPr>
    </w:p>
    <w:p w14:paraId="61DD5DBC">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2"/>
          <w:sz w:val="24"/>
          <w:szCs w:val="24"/>
        </w:rPr>
        <w:t>阶段（</w:t>
      </w:r>
      <w:r>
        <w:rPr>
          <w:rFonts w:ascii="宋体" w:hAnsi="宋体" w:eastAsia="宋体" w:cs="宋体"/>
          <w:spacing w:val="-1"/>
          <w:sz w:val="24"/>
          <w:szCs w:val="24"/>
        </w:rPr>
        <w:t>月</w:t>
      </w:r>
      <w:r>
        <w:rPr>
          <w:rFonts w:ascii="宋体" w:hAnsi="宋体" w:eastAsia="宋体" w:cs="宋体"/>
          <w:spacing w:val="-2"/>
          <w:sz w:val="24"/>
          <w:szCs w:val="24"/>
        </w:rPr>
        <w:t>）工作量特性，如：设备或人员的资源使用率情况。</w:t>
      </w:r>
    </w:p>
    <w:p w14:paraId="12374908">
      <w:pPr>
        <w:pStyle w:val="11"/>
        <w:spacing w:line="258" w:lineRule="auto"/>
      </w:pPr>
    </w:p>
    <w:p w14:paraId="1661AD2D">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6"/>
          <w:sz w:val="24"/>
          <w:szCs w:val="24"/>
        </w:rPr>
        <w:t>客户满意度情况。</w:t>
      </w:r>
    </w:p>
    <w:p w14:paraId="7494DA3A">
      <w:pPr>
        <w:pStyle w:val="11"/>
        <w:spacing w:line="258" w:lineRule="auto"/>
      </w:pPr>
    </w:p>
    <w:p w14:paraId="6DDF2BFF">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6"/>
          <w:sz w:val="24"/>
          <w:szCs w:val="24"/>
        </w:rPr>
        <w:t>下周期的工作计划。</w:t>
      </w:r>
    </w:p>
    <w:p w14:paraId="01A00CAA">
      <w:pPr>
        <w:pStyle w:val="11"/>
        <w:spacing w:line="258" w:lineRule="auto"/>
      </w:pPr>
    </w:p>
    <w:p w14:paraId="0A416E18">
      <w:pPr>
        <w:spacing w:before="79"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1"/>
          <w:sz w:val="24"/>
          <w:szCs w:val="24"/>
        </w:rPr>
        <w:t xml:space="preserve"> </w:t>
      </w:r>
      <w:r>
        <w:rPr>
          <w:rFonts w:ascii="宋体" w:hAnsi="宋体" w:eastAsia="宋体" w:cs="宋体"/>
          <w:spacing w:val="-2"/>
          <w:sz w:val="24"/>
          <w:szCs w:val="24"/>
        </w:rPr>
        <w:t>对上月未达成的绩效情况进行分析，提出整改措施。</w:t>
      </w:r>
    </w:p>
    <w:p w14:paraId="07E94E0B">
      <w:pPr>
        <w:pStyle w:val="11"/>
        <w:spacing w:line="267" w:lineRule="auto"/>
      </w:pPr>
    </w:p>
    <w:p w14:paraId="6749247C">
      <w:pPr>
        <w:spacing w:before="79" w:line="361" w:lineRule="auto"/>
        <w:ind w:left="22" w:right="160" w:firstLine="484"/>
        <w:jc w:val="both"/>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ascii="宋体" w:hAnsi="宋体" w:eastAsia="宋体" w:cs="宋体"/>
          <w:spacing w:val="-1"/>
          <w:sz w:val="24"/>
          <w:szCs w:val="24"/>
        </w:rPr>
        <w:t>项目经理按</w:t>
      </w:r>
      <w:r>
        <w:rPr>
          <w:rFonts w:hint="eastAsia" w:ascii="宋体" w:hAnsi="宋体" w:eastAsia="宋体" w:cs="宋体"/>
          <w:spacing w:val="-1"/>
          <w:sz w:val="24"/>
          <w:szCs w:val="24"/>
          <w:lang w:val="en-US" w:eastAsia="zh-CN"/>
        </w:rPr>
        <w:t>阶段</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月</w:t>
      </w:r>
      <w:r>
        <w:rPr>
          <w:rFonts w:ascii="宋体" w:hAnsi="宋体" w:eastAsia="宋体" w:cs="宋体"/>
          <w:spacing w:val="-1"/>
          <w:sz w:val="24"/>
          <w:szCs w:val="24"/>
        </w:rPr>
        <w:t>）编写相应的服务总结，并由</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经理负责审</w:t>
      </w:r>
      <w:r>
        <w:rPr>
          <w:rFonts w:ascii="宋体" w:hAnsi="宋体" w:eastAsia="宋体" w:cs="宋体"/>
          <w:sz w:val="24"/>
          <w:szCs w:val="24"/>
        </w:rPr>
        <w:t>批。服务总结针对该运维项目的各项指标达成情况进行</w:t>
      </w:r>
      <w:r>
        <w:rPr>
          <w:rFonts w:ascii="宋体" w:hAnsi="宋体" w:eastAsia="宋体" w:cs="宋体"/>
          <w:spacing w:val="-1"/>
          <w:sz w:val="24"/>
          <w:szCs w:val="24"/>
        </w:rPr>
        <w:t>分析总结，提出改进建</w:t>
      </w:r>
      <w:r>
        <w:rPr>
          <w:rFonts w:ascii="宋体" w:hAnsi="宋体" w:eastAsia="宋体" w:cs="宋体"/>
          <w:sz w:val="24"/>
          <w:szCs w:val="24"/>
        </w:rPr>
        <w:t>议，旨在提升运维服务质量，向公司运维服务部经理汇</w:t>
      </w:r>
      <w:r>
        <w:rPr>
          <w:rFonts w:ascii="宋体" w:hAnsi="宋体" w:eastAsia="宋体" w:cs="宋体"/>
          <w:spacing w:val="-1"/>
          <w:sz w:val="24"/>
          <w:szCs w:val="24"/>
        </w:rPr>
        <w:t>报项目组的维护工作量</w:t>
      </w:r>
      <w:r>
        <w:rPr>
          <w:rFonts w:ascii="宋体" w:hAnsi="宋体" w:eastAsia="宋体" w:cs="宋体"/>
          <w:spacing w:val="-4"/>
          <w:sz w:val="24"/>
          <w:szCs w:val="24"/>
        </w:rPr>
        <w:t>及下一步工作改进情况，应包括如下信息：</w:t>
      </w:r>
    </w:p>
    <w:p w14:paraId="7426570E">
      <w:pPr>
        <w:spacing w:before="141"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9"/>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针对服务级别目标（SLA）的绩效达成情况。</w:t>
      </w:r>
    </w:p>
    <w:p w14:paraId="373120D4">
      <w:pPr>
        <w:pStyle w:val="11"/>
        <w:spacing w:line="258" w:lineRule="auto"/>
      </w:pPr>
    </w:p>
    <w:p w14:paraId="4037AD6A">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7"/>
          <w:sz w:val="24"/>
          <w:szCs w:val="24"/>
        </w:rPr>
        <w:t xml:space="preserve">  </w:t>
      </w:r>
      <w:r>
        <w:rPr>
          <w:rFonts w:ascii="宋体" w:hAnsi="宋体" w:eastAsia="宋体" w:cs="宋体"/>
          <w:spacing w:val="-1"/>
          <w:sz w:val="24"/>
          <w:szCs w:val="24"/>
        </w:rPr>
        <w:t>阶段（月）服务进展，如：处理事件、问题的数量。</w:t>
      </w:r>
    </w:p>
    <w:p w14:paraId="09055839">
      <w:pPr>
        <w:spacing w:before="115"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2"/>
          <w:sz w:val="24"/>
          <w:szCs w:val="24"/>
        </w:rPr>
        <w:t>阶段（月）重大事件处理过程与结果，如：重大事件变更与发布。</w:t>
      </w:r>
    </w:p>
    <w:p w14:paraId="2F76650E">
      <w:pPr>
        <w:pStyle w:val="11"/>
        <w:spacing w:line="258" w:lineRule="auto"/>
      </w:pPr>
    </w:p>
    <w:p w14:paraId="4F1F4E46">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9"/>
                    <a:stretch>
                      <a:fillRect/>
                    </a:stretch>
                  </pic:blipFill>
                  <pic:spPr>
                    <a:xfrm>
                      <a:off x="0" y="0"/>
                      <a:ext cx="108203" cy="169012"/>
                    </a:xfrm>
                    <a:prstGeom prst="rect">
                      <a:avLst/>
                    </a:prstGeom>
                  </pic:spPr>
                </pic:pic>
              </a:graphicData>
            </a:graphic>
          </wp:inline>
        </w:drawing>
      </w:r>
      <w:r>
        <w:rPr>
          <w:rFonts w:ascii="宋体" w:hAnsi="宋体" w:eastAsia="宋体" w:cs="宋体"/>
          <w:spacing w:val="9"/>
          <w:sz w:val="24"/>
          <w:szCs w:val="24"/>
        </w:rPr>
        <w:t xml:space="preserve">  </w:t>
      </w:r>
      <w:r>
        <w:rPr>
          <w:rFonts w:ascii="宋体" w:hAnsi="宋体" w:eastAsia="宋体" w:cs="宋体"/>
          <w:spacing w:val="-2"/>
          <w:sz w:val="24"/>
          <w:szCs w:val="24"/>
        </w:rPr>
        <w:t>阶段（月）工作量特性，如：设备或人员的资源使用率情况。</w:t>
      </w:r>
    </w:p>
    <w:p w14:paraId="27DE432F">
      <w:pPr>
        <w:pStyle w:val="11"/>
        <w:spacing w:line="258" w:lineRule="auto"/>
      </w:pPr>
    </w:p>
    <w:p w14:paraId="06A16259">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6"/>
          <w:sz w:val="24"/>
          <w:szCs w:val="24"/>
        </w:rPr>
        <w:t>客户满意度情况。</w:t>
      </w:r>
    </w:p>
    <w:p w14:paraId="5A5E2A77">
      <w:pPr>
        <w:pStyle w:val="11"/>
        <w:spacing w:line="258" w:lineRule="auto"/>
      </w:pPr>
    </w:p>
    <w:p w14:paraId="55CB7FF2">
      <w:pPr>
        <w:spacing w:before="78" w:line="220" w:lineRule="auto"/>
        <w:ind w:left="34"/>
        <w:rPr>
          <w:rFonts w:ascii="宋体" w:hAnsi="宋体" w:eastAsia="宋体" w:cs="宋体"/>
          <w:spacing w:val="-6"/>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6"/>
          <w:sz w:val="24"/>
          <w:szCs w:val="24"/>
        </w:rPr>
        <w:t>下周期的工作计划</w:t>
      </w:r>
    </w:p>
    <w:p w14:paraId="17E26687">
      <w:pPr>
        <w:pStyle w:val="21"/>
        <w:bidi w:val="0"/>
        <w:rPr>
          <w:rFonts w:hint="default"/>
          <w:lang w:val="en-US" w:eastAsia="zh-CN"/>
        </w:rPr>
      </w:pPr>
      <w:bookmarkStart w:id="14" w:name="_Toc20285"/>
      <w:bookmarkStart w:id="15" w:name="_Toc21434"/>
      <w:r>
        <w:rPr>
          <w:rFonts w:hint="default"/>
          <w:lang w:val="en-US" w:eastAsia="zh-CN"/>
        </w:rPr>
        <w:t>关键指标</w:t>
      </w:r>
      <w:bookmarkEnd w:id="14"/>
      <w:bookmarkEnd w:id="15"/>
    </w:p>
    <w:tbl>
      <w:tblPr>
        <w:tblStyle w:val="19"/>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服务报告交付及时率</w:t>
            </w:r>
          </w:p>
        </w:tc>
        <w:tc>
          <w:tcPr>
            <w:tcW w:w="3545" w:type="dxa"/>
            <w:tcBorders>
              <w:top w:val="single" w:color="000000" w:sz="6" w:space="0"/>
              <w:right w:val="single" w:color="000000" w:sz="6" w:space="0"/>
            </w:tcBorders>
            <w:vAlign w:val="top"/>
          </w:tcPr>
          <w:p w14:paraId="0F9DB00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服务报告按时提交的数量/服务报告总数量*100%</w:t>
            </w:r>
            <w:bookmarkStart w:id="17" w:name="_GoBack"/>
            <w:bookmarkEnd w:id="17"/>
          </w:p>
        </w:tc>
        <w:tc>
          <w:tcPr>
            <w:tcW w:w="2895" w:type="dxa"/>
            <w:tcBorders>
              <w:top w:val="single" w:color="000000" w:sz="6" w:space="0"/>
              <w:right w:val="single" w:color="000000" w:sz="6" w:space="0"/>
            </w:tcBorders>
            <w:vAlign w:val="top"/>
          </w:tcPr>
          <w:p w14:paraId="2DEEDEF8">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月度</w:t>
            </w:r>
          </w:p>
        </w:tc>
      </w:tr>
    </w:tbl>
    <w:p w14:paraId="5FDC0F9F">
      <w:pPr>
        <w:spacing w:before="78" w:line="220" w:lineRule="auto"/>
        <w:ind w:left="34"/>
        <w:rPr>
          <w:rFonts w:ascii="宋体" w:hAnsi="宋体" w:eastAsia="宋体" w:cs="宋体"/>
          <w:sz w:val="24"/>
          <w:szCs w:val="24"/>
        </w:rPr>
      </w:pPr>
      <w:r>
        <w:rPr>
          <w:rFonts w:ascii="宋体" w:hAnsi="宋体" w:eastAsia="宋体" w:cs="宋体"/>
          <w:spacing w:val="-6"/>
          <w:sz w:val="24"/>
          <w:szCs w:val="24"/>
        </w:rPr>
        <w:t>。</w:t>
      </w:r>
    </w:p>
    <w:p w14:paraId="799B5CB4">
      <w:pPr>
        <w:pStyle w:val="21"/>
        <w:bidi w:val="0"/>
      </w:pPr>
      <w:bookmarkStart w:id="16" w:name="_Toc25117"/>
      <w:r>
        <w:t>相关文件模板</w:t>
      </w:r>
      <w:bookmarkEnd w:id="16"/>
    </w:p>
    <w:p w14:paraId="29B5A5E8">
      <w:pPr>
        <w:spacing w:before="297"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1"/>
          <w:sz w:val="24"/>
          <w:szCs w:val="24"/>
        </w:rPr>
        <w:t>《服务报告模板》</w:t>
      </w:r>
    </w:p>
    <w:p w14:paraId="6CE531A5">
      <w:pPr>
        <w:spacing w:before="78" w:line="220" w:lineRule="auto"/>
        <w:ind w:left="3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6"/>
          <w:sz w:val="24"/>
          <w:szCs w:val="24"/>
        </w:rPr>
        <w:t xml:space="preserve"> </w:t>
      </w:r>
      <w:r>
        <w:rPr>
          <w:rFonts w:ascii="宋体" w:hAnsi="宋体" w:eastAsia="宋体" w:cs="宋体"/>
          <w:spacing w:val="-1"/>
          <w:sz w:val="24"/>
          <w:szCs w:val="24"/>
        </w:rPr>
        <w:t>《服务总结模板》</w:t>
      </w:r>
    </w:p>
    <w:sectPr>
      <w:footerReference r:id="rId6"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53FAD">
    <w:pPr>
      <w:spacing w:line="167" w:lineRule="auto"/>
      <w:ind w:left="423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C5597">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3B96901"/>
    <w:rsid w:val="094C31AE"/>
    <w:rsid w:val="09BE25B6"/>
    <w:rsid w:val="0C6508CA"/>
    <w:rsid w:val="12525F91"/>
    <w:rsid w:val="16CD208A"/>
    <w:rsid w:val="17FA6EAF"/>
    <w:rsid w:val="1BAC5260"/>
    <w:rsid w:val="24D34D10"/>
    <w:rsid w:val="2A0239A1"/>
    <w:rsid w:val="2AEA2DB3"/>
    <w:rsid w:val="2D1E6D44"/>
    <w:rsid w:val="2FB76FDC"/>
    <w:rsid w:val="367F6311"/>
    <w:rsid w:val="3EF51E06"/>
    <w:rsid w:val="477A0BC3"/>
    <w:rsid w:val="4A3F5A16"/>
    <w:rsid w:val="4B313C8F"/>
    <w:rsid w:val="4E524648"/>
    <w:rsid w:val="4E736E68"/>
    <w:rsid w:val="51BC6CB3"/>
    <w:rsid w:val="52311D3F"/>
    <w:rsid w:val="584F48A6"/>
    <w:rsid w:val="58BD2E7F"/>
    <w:rsid w:val="60EE1FAE"/>
    <w:rsid w:val="64CF1141"/>
    <w:rsid w:val="673F17B5"/>
    <w:rsid w:val="6A184540"/>
    <w:rsid w:val="6FC82B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 w:type="character" w:customStyle="1" w:styleId="25">
    <w:name w:val="font21"/>
    <w:basedOn w:val="18"/>
    <w:qFormat/>
    <w:uiPriority w:val="0"/>
    <w:rPr>
      <w:rFonts w:hint="eastAsia" w:ascii="宋体" w:hAnsi="宋体" w:eastAsia="宋体" w:cs="宋体"/>
      <w:color w:val="000000"/>
      <w:sz w:val="24"/>
      <w:szCs w:val="24"/>
      <w:u w:val="none"/>
    </w:rPr>
  </w:style>
  <w:style w:type="character" w:customStyle="1" w:styleId="26">
    <w:name w:val="font11"/>
    <w:basedOn w:val="18"/>
    <w:qFormat/>
    <w:uiPriority w:val="0"/>
    <w:rPr>
      <w:rFonts w:hint="eastAsia"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1796</Words>
  <Characters>1866</Characters>
  <TotalTime>0</TotalTime>
  <ScaleCrop>false</ScaleCrop>
  <LinksUpToDate>false</LinksUpToDate>
  <CharactersWithSpaces>1976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2025-08-21T04:40:00Z</dcterms:created>
  <dc:creator>谢永刚</dc:creator>
  <cp:lastModifiedBy>郝宇</cp:lastModifiedBy>
  <dcterms:modified xsi:type="dcterms:W3CDTF">2025-08-27T07:51:15Z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2025-08-27T11:19:18Z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27FDA18FB9FD44CBA913BF36D808A315_12</vt:lpwstr>
  </property>
</Properties>
</file>