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54D13">
      <w:pPr>
        <w:pStyle w:val="11"/>
        <w:spacing w:line="242" w:lineRule="auto"/>
      </w:pPr>
    </w:p>
    <w:p w14:paraId="3FF517EB">
      <w:pPr>
        <w:pStyle w:val="11"/>
        <w:spacing w:line="242" w:lineRule="auto"/>
      </w:pPr>
    </w:p>
    <w:p w14:paraId="71069A17">
      <w:pPr>
        <w:pStyle w:val="11"/>
        <w:spacing w:line="242" w:lineRule="auto"/>
      </w:pPr>
    </w:p>
    <w:p w14:paraId="5F84C4E3">
      <w:pPr>
        <w:pStyle w:val="11"/>
        <w:spacing w:line="242" w:lineRule="auto"/>
      </w:pPr>
    </w:p>
    <w:p w14:paraId="783DDD05">
      <w:pPr>
        <w:pStyle w:val="11"/>
        <w:spacing w:line="242" w:lineRule="auto"/>
      </w:pPr>
    </w:p>
    <w:p w14:paraId="0ADC5C2A">
      <w:pPr>
        <w:pStyle w:val="11"/>
        <w:spacing w:line="242" w:lineRule="auto"/>
      </w:pPr>
    </w:p>
    <w:p w14:paraId="0E2E355A">
      <w:pPr>
        <w:pStyle w:val="11"/>
        <w:spacing w:line="242" w:lineRule="auto"/>
      </w:pPr>
    </w:p>
    <w:p w14:paraId="74F3BDAF">
      <w:pPr>
        <w:pStyle w:val="11"/>
        <w:spacing w:line="242" w:lineRule="auto"/>
      </w:pPr>
    </w:p>
    <w:p w14:paraId="3F634E49">
      <w:pPr>
        <w:pStyle w:val="11"/>
        <w:spacing w:line="242" w:lineRule="auto"/>
      </w:pPr>
    </w:p>
    <w:p w14:paraId="0A962341">
      <w:pPr>
        <w:pStyle w:val="11"/>
        <w:spacing w:line="242" w:lineRule="auto"/>
      </w:pPr>
    </w:p>
    <w:p w14:paraId="22B4E994">
      <w:pPr>
        <w:pStyle w:val="11"/>
        <w:spacing w:line="243" w:lineRule="auto"/>
      </w:pPr>
    </w:p>
    <w:p w14:paraId="1D9377F2">
      <w:pPr>
        <w:pStyle w:val="11"/>
        <w:spacing w:line="243" w:lineRule="auto"/>
      </w:pPr>
    </w:p>
    <w:p w14:paraId="653DE720">
      <w:pPr>
        <w:pStyle w:val="11"/>
        <w:spacing w:line="243" w:lineRule="auto"/>
      </w:pPr>
    </w:p>
    <w:p w14:paraId="4A4E11B2">
      <w:pPr>
        <w:pStyle w:val="11"/>
        <w:spacing w:line="243" w:lineRule="auto"/>
      </w:pPr>
    </w:p>
    <w:p w14:paraId="78D6A14A">
      <w:pPr>
        <w:pStyle w:val="11"/>
        <w:spacing w:line="243" w:lineRule="auto"/>
      </w:pPr>
    </w:p>
    <w:p w14:paraId="00174B1B">
      <w:pPr>
        <w:spacing w:before="143" w:line="220" w:lineRule="auto"/>
        <w:ind w:left="2864"/>
        <w:outlineLvl w:val="0"/>
        <w:rPr>
          <w:rFonts w:ascii="宋体" w:hAnsi="宋体" w:eastAsia="宋体" w:cs="宋体"/>
          <w:sz w:val="44"/>
          <w:szCs w:val="44"/>
        </w:rPr>
      </w:pPr>
      <w:bookmarkStart w:id="0" w:name="_Toc24683"/>
      <w:r>
        <w:rPr>
          <w:rFonts w:ascii="宋体" w:hAnsi="宋体" w:eastAsia="宋体" w:cs="宋体"/>
          <w:b/>
          <w:bCs/>
          <w:spacing w:val="-8"/>
          <w:sz w:val="44"/>
          <w:szCs w:val="44"/>
        </w:rPr>
        <w:t>变更管理程序</w:t>
      </w:r>
      <w:bookmarkEnd w:id="0"/>
    </w:p>
    <w:p w14:paraId="2D9050B7">
      <w:pPr>
        <w:pStyle w:val="11"/>
        <w:spacing w:line="246" w:lineRule="auto"/>
      </w:pPr>
    </w:p>
    <w:p w14:paraId="43F4D5B3">
      <w:pPr>
        <w:pStyle w:val="11"/>
        <w:spacing w:line="246" w:lineRule="auto"/>
      </w:pPr>
    </w:p>
    <w:p w14:paraId="2CFA4A51">
      <w:pPr>
        <w:pStyle w:val="11"/>
        <w:spacing w:line="246" w:lineRule="auto"/>
      </w:pPr>
    </w:p>
    <w:p w14:paraId="553E5EB5">
      <w:pPr>
        <w:pStyle w:val="11"/>
        <w:spacing w:line="246" w:lineRule="auto"/>
      </w:pPr>
    </w:p>
    <w:p w14:paraId="6EEF9A4E">
      <w:pPr>
        <w:pStyle w:val="11"/>
        <w:spacing w:line="246" w:lineRule="auto"/>
      </w:pPr>
    </w:p>
    <w:p w14:paraId="5A58622F">
      <w:pPr>
        <w:pStyle w:val="11"/>
        <w:spacing w:line="246" w:lineRule="auto"/>
      </w:pPr>
    </w:p>
    <w:p w14:paraId="6CFBB3CC">
      <w:pPr>
        <w:pStyle w:val="11"/>
        <w:spacing w:line="247" w:lineRule="auto"/>
      </w:pPr>
    </w:p>
    <w:p w14:paraId="038D257D">
      <w:pPr>
        <w:pStyle w:val="11"/>
        <w:spacing w:line="247" w:lineRule="auto"/>
      </w:pPr>
    </w:p>
    <w:p w14:paraId="2F726620">
      <w:pPr>
        <w:spacing w:line="1286" w:lineRule="exact"/>
        <w:ind w:firstLine="2006"/>
      </w:pPr>
      <w:r>
        <w:rPr>
          <w:position w:val="-25"/>
        </w:rPr>
        <w:drawing>
          <wp:inline distT="0" distB="0" distL="0" distR="0">
            <wp:extent cx="2743835" cy="81661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978" cy="8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2293">
      <w:pPr>
        <w:pStyle w:val="11"/>
        <w:spacing w:line="248" w:lineRule="auto"/>
      </w:pPr>
    </w:p>
    <w:p w14:paraId="52B0E995">
      <w:pPr>
        <w:pStyle w:val="11"/>
        <w:spacing w:line="248" w:lineRule="auto"/>
      </w:pPr>
    </w:p>
    <w:p w14:paraId="59E0295E">
      <w:pPr>
        <w:pStyle w:val="11"/>
        <w:spacing w:line="248" w:lineRule="auto"/>
      </w:pPr>
    </w:p>
    <w:p w14:paraId="7C3CCCC4">
      <w:pPr>
        <w:pStyle w:val="11"/>
        <w:spacing w:line="248" w:lineRule="auto"/>
      </w:pPr>
    </w:p>
    <w:p w14:paraId="70312CAC">
      <w:pPr>
        <w:pStyle w:val="11"/>
        <w:spacing w:line="248" w:lineRule="auto"/>
      </w:pPr>
    </w:p>
    <w:p w14:paraId="4CE03B84">
      <w:pPr>
        <w:pStyle w:val="11"/>
        <w:spacing w:line="248" w:lineRule="auto"/>
      </w:pPr>
    </w:p>
    <w:p w14:paraId="5B4C28E1">
      <w:pPr>
        <w:pStyle w:val="11"/>
        <w:spacing w:line="249" w:lineRule="auto"/>
      </w:pPr>
    </w:p>
    <w:p w14:paraId="29898E7E">
      <w:pPr>
        <w:pStyle w:val="11"/>
        <w:spacing w:line="249" w:lineRule="auto"/>
      </w:pPr>
    </w:p>
    <w:p w14:paraId="4574046E">
      <w:pPr>
        <w:pStyle w:val="11"/>
        <w:spacing w:line="249" w:lineRule="auto"/>
      </w:pPr>
    </w:p>
    <w:p w14:paraId="60445A4E">
      <w:pPr>
        <w:pStyle w:val="11"/>
        <w:spacing w:line="249" w:lineRule="auto"/>
      </w:pPr>
    </w:p>
    <w:p w14:paraId="073C6626">
      <w:pPr>
        <w:pStyle w:val="11"/>
        <w:spacing w:line="249" w:lineRule="auto"/>
      </w:pPr>
    </w:p>
    <w:p w14:paraId="41DA467A">
      <w:pPr>
        <w:pStyle w:val="11"/>
        <w:spacing w:line="249" w:lineRule="auto"/>
      </w:pPr>
    </w:p>
    <w:p w14:paraId="26BAEF8C">
      <w:pPr>
        <w:pStyle w:val="11"/>
        <w:spacing w:line="249" w:lineRule="auto"/>
      </w:pPr>
    </w:p>
    <w:p w14:paraId="390C4E0D">
      <w:pPr>
        <w:pStyle w:val="11"/>
        <w:spacing w:line="249" w:lineRule="auto"/>
      </w:pPr>
    </w:p>
    <w:p w14:paraId="42CC1012">
      <w:pPr>
        <w:pStyle w:val="11"/>
        <w:spacing w:line="249" w:lineRule="auto"/>
      </w:pPr>
    </w:p>
    <w:p w14:paraId="69860076">
      <w:pPr>
        <w:pStyle w:val="11"/>
        <w:spacing w:line="249" w:lineRule="auto"/>
      </w:pPr>
    </w:p>
    <w:p w14:paraId="750F58AB">
      <w:pPr>
        <w:spacing w:before="97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569D7C44">
      <w:pPr>
        <w:spacing w:before="338"/>
        <w:ind w:left="3582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2"/>
          <w:sz w:val="30"/>
          <w:szCs w:val="30"/>
        </w:rPr>
        <w:t>2025-1-4</w:t>
      </w:r>
    </w:p>
    <w:p w14:paraId="1B5246D1">
      <w:pPr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4AD69F4">
      <w:pPr>
        <w:pStyle w:val="11"/>
        <w:spacing w:line="252" w:lineRule="auto"/>
      </w:pPr>
    </w:p>
    <w:p w14:paraId="1C2F2A81">
      <w:pPr>
        <w:pStyle w:val="11"/>
        <w:spacing w:line="253" w:lineRule="auto"/>
      </w:pPr>
    </w:p>
    <w:p w14:paraId="6F37B6C1">
      <w:pPr>
        <w:pStyle w:val="11"/>
        <w:spacing w:line="253" w:lineRule="auto"/>
      </w:pPr>
    </w:p>
    <w:p w14:paraId="4C2F2DF7">
      <w:pPr>
        <w:pStyle w:val="11"/>
        <w:spacing w:line="253" w:lineRule="auto"/>
      </w:pPr>
    </w:p>
    <w:p w14:paraId="61749429">
      <w:pPr>
        <w:spacing w:before="91" w:line="220" w:lineRule="auto"/>
        <w:ind w:left="3710"/>
        <w:outlineLvl w:val="1"/>
        <w:rPr>
          <w:rFonts w:ascii="宋体" w:hAnsi="宋体" w:eastAsia="宋体" w:cs="宋体"/>
          <w:sz w:val="28"/>
          <w:szCs w:val="28"/>
        </w:rPr>
      </w:pPr>
      <w:bookmarkStart w:id="1" w:name="_Toc2622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313D3808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334632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11" w:hRule="atLeast"/>
        </w:trPr>
        <w:tc>
          <w:tcPr>
            <w:tcW w:w="1846" w:type="dxa"/>
            <w:vAlign w:val="top"/>
          </w:tcPr>
          <w:p w14:paraId="5DE404B8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08087BC1">
            <w:pPr>
              <w:spacing w:before="185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变更管理程序（HHLC-ITSS-BGGL）</w:t>
            </w:r>
          </w:p>
        </w:tc>
      </w:tr>
      <w:tr w14:paraId="6A0C8A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18E2D30F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4B3045E9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07A5C2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54ACDCD6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1E790F26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67BCC262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122955C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63A82051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46E0C8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B7A7B6B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78A3D23A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4F00B077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0DBA996D">
            <w:pPr>
              <w:spacing w:before="133" w:line="220" w:lineRule="auto"/>
              <w:ind w:left="47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郝永伟</w:t>
            </w:r>
          </w:p>
        </w:tc>
        <w:tc>
          <w:tcPr>
            <w:tcW w:w="1953" w:type="dxa"/>
            <w:vAlign w:val="top"/>
          </w:tcPr>
          <w:p w14:paraId="1065BDC4">
            <w:pPr>
              <w:spacing w:before="132" w:line="220" w:lineRule="auto"/>
              <w:ind w:left="6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7E83CB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08AEE43">
            <w:pPr>
              <w:pStyle w:val="19"/>
            </w:pPr>
          </w:p>
        </w:tc>
        <w:tc>
          <w:tcPr>
            <w:tcW w:w="1413" w:type="dxa"/>
            <w:vAlign w:val="top"/>
          </w:tcPr>
          <w:p w14:paraId="41D4F441">
            <w:pPr>
              <w:pStyle w:val="19"/>
            </w:pPr>
          </w:p>
        </w:tc>
        <w:tc>
          <w:tcPr>
            <w:tcW w:w="2303" w:type="dxa"/>
            <w:vAlign w:val="top"/>
          </w:tcPr>
          <w:p w14:paraId="53340293">
            <w:pPr>
              <w:pStyle w:val="19"/>
            </w:pPr>
          </w:p>
        </w:tc>
        <w:tc>
          <w:tcPr>
            <w:tcW w:w="1557" w:type="dxa"/>
            <w:vAlign w:val="top"/>
          </w:tcPr>
          <w:p w14:paraId="54953EDB">
            <w:pPr>
              <w:pStyle w:val="19"/>
            </w:pPr>
          </w:p>
        </w:tc>
        <w:tc>
          <w:tcPr>
            <w:tcW w:w="1953" w:type="dxa"/>
            <w:vAlign w:val="top"/>
          </w:tcPr>
          <w:p w14:paraId="7727776E">
            <w:pPr>
              <w:pStyle w:val="19"/>
            </w:pPr>
          </w:p>
        </w:tc>
      </w:tr>
      <w:tr w14:paraId="3583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5D306FF">
            <w:pPr>
              <w:pStyle w:val="19"/>
            </w:pPr>
          </w:p>
        </w:tc>
        <w:tc>
          <w:tcPr>
            <w:tcW w:w="1413" w:type="dxa"/>
            <w:vAlign w:val="top"/>
          </w:tcPr>
          <w:p w14:paraId="4BBE382B">
            <w:pPr>
              <w:pStyle w:val="19"/>
            </w:pPr>
          </w:p>
        </w:tc>
        <w:tc>
          <w:tcPr>
            <w:tcW w:w="2303" w:type="dxa"/>
            <w:vAlign w:val="top"/>
          </w:tcPr>
          <w:p w14:paraId="01FF66BD">
            <w:pPr>
              <w:pStyle w:val="19"/>
            </w:pPr>
          </w:p>
        </w:tc>
        <w:tc>
          <w:tcPr>
            <w:tcW w:w="1557" w:type="dxa"/>
            <w:vAlign w:val="top"/>
          </w:tcPr>
          <w:p w14:paraId="04F6D377">
            <w:pPr>
              <w:pStyle w:val="19"/>
            </w:pPr>
          </w:p>
        </w:tc>
        <w:tc>
          <w:tcPr>
            <w:tcW w:w="1953" w:type="dxa"/>
            <w:vAlign w:val="top"/>
          </w:tcPr>
          <w:p w14:paraId="121DB052">
            <w:pPr>
              <w:pStyle w:val="19"/>
            </w:pPr>
          </w:p>
        </w:tc>
      </w:tr>
      <w:tr w14:paraId="043F70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1DB907A">
            <w:pPr>
              <w:pStyle w:val="19"/>
            </w:pPr>
          </w:p>
        </w:tc>
        <w:tc>
          <w:tcPr>
            <w:tcW w:w="1413" w:type="dxa"/>
            <w:vAlign w:val="top"/>
          </w:tcPr>
          <w:p w14:paraId="18EB1F83">
            <w:pPr>
              <w:pStyle w:val="19"/>
            </w:pPr>
          </w:p>
        </w:tc>
        <w:tc>
          <w:tcPr>
            <w:tcW w:w="2303" w:type="dxa"/>
            <w:vAlign w:val="top"/>
          </w:tcPr>
          <w:p w14:paraId="12F2843E">
            <w:pPr>
              <w:pStyle w:val="19"/>
            </w:pPr>
          </w:p>
        </w:tc>
        <w:tc>
          <w:tcPr>
            <w:tcW w:w="1557" w:type="dxa"/>
            <w:vAlign w:val="top"/>
          </w:tcPr>
          <w:p w14:paraId="786647A4">
            <w:pPr>
              <w:pStyle w:val="19"/>
            </w:pPr>
          </w:p>
        </w:tc>
        <w:tc>
          <w:tcPr>
            <w:tcW w:w="1953" w:type="dxa"/>
            <w:vAlign w:val="top"/>
          </w:tcPr>
          <w:p w14:paraId="5B2D3AB1">
            <w:pPr>
              <w:pStyle w:val="19"/>
            </w:pPr>
          </w:p>
        </w:tc>
      </w:tr>
      <w:tr w14:paraId="702F75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51E6F426">
            <w:pPr>
              <w:pStyle w:val="19"/>
            </w:pPr>
          </w:p>
        </w:tc>
        <w:tc>
          <w:tcPr>
            <w:tcW w:w="1413" w:type="dxa"/>
            <w:vAlign w:val="top"/>
          </w:tcPr>
          <w:p w14:paraId="0BAAE6BE">
            <w:pPr>
              <w:pStyle w:val="19"/>
            </w:pPr>
          </w:p>
        </w:tc>
        <w:tc>
          <w:tcPr>
            <w:tcW w:w="2303" w:type="dxa"/>
            <w:vAlign w:val="top"/>
          </w:tcPr>
          <w:p w14:paraId="5B089C5A">
            <w:pPr>
              <w:pStyle w:val="19"/>
            </w:pPr>
          </w:p>
        </w:tc>
        <w:tc>
          <w:tcPr>
            <w:tcW w:w="1557" w:type="dxa"/>
            <w:vAlign w:val="top"/>
          </w:tcPr>
          <w:p w14:paraId="2FA5DED5">
            <w:pPr>
              <w:pStyle w:val="19"/>
            </w:pPr>
          </w:p>
        </w:tc>
        <w:tc>
          <w:tcPr>
            <w:tcW w:w="1953" w:type="dxa"/>
            <w:vAlign w:val="top"/>
          </w:tcPr>
          <w:p w14:paraId="5CEEA974">
            <w:pPr>
              <w:pStyle w:val="19"/>
            </w:pPr>
          </w:p>
        </w:tc>
      </w:tr>
      <w:tr w14:paraId="646641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77F299E6">
            <w:pPr>
              <w:pStyle w:val="19"/>
            </w:pPr>
          </w:p>
        </w:tc>
        <w:tc>
          <w:tcPr>
            <w:tcW w:w="1413" w:type="dxa"/>
            <w:vAlign w:val="top"/>
          </w:tcPr>
          <w:p w14:paraId="524E9D5F">
            <w:pPr>
              <w:pStyle w:val="19"/>
            </w:pPr>
          </w:p>
        </w:tc>
        <w:tc>
          <w:tcPr>
            <w:tcW w:w="2303" w:type="dxa"/>
            <w:vAlign w:val="top"/>
          </w:tcPr>
          <w:p w14:paraId="0423DC3A">
            <w:pPr>
              <w:pStyle w:val="19"/>
            </w:pPr>
          </w:p>
        </w:tc>
        <w:tc>
          <w:tcPr>
            <w:tcW w:w="1557" w:type="dxa"/>
            <w:vAlign w:val="top"/>
          </w:tcPr>
          <w:p w14:paraId="04FE6870">
            <w:pPr>
              <w:pStyle w:val="19"/>
            </w:pPr>
          </w:p>
        </w:tc>
        <w:tc>
          <w:tcPr>
            <w:tcW w:w="1953" w:type="dxa"/>
            <w:vAlign w:val="top"/>
          </w:tcPr>
          <w:p w14:paraId="3ED62FC4">
            <w:pPr>
              <w:pStyle w:val="19"/>
            </w:pPr>
          </w:p>
        </w:tc>
      </w:tr>
    </w:tbl>
    <w:p w14:paraId="6B079DF8">
      <w:pPr>
        <w:pStyle w:val="11"/>
      </w:pPr>
    </w:p>
    <w:p w14:paraId="1FCC5C8B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7B69A28A">
      <w:pPr>
        <w:pStyle w:val="11"/>
        <w:spacing w:line="245" w:lineRule="auto"/>
      </w:pPr>
    </w:p>
    <w:p w14:paraId="3BDE940F">
      <w:pPr>
        <w:pStyle w:val="11"/>
        <w:spacing w:line="245" w:lineRule="auto"/>
      </w:pPr>
    </w:p>
    <w:p w14:paraId="3030B431">
      <w:pPr>
        <w:pStyle w:val="11"/>
        <w:spacing w:line="245" w:lineRule="auto"/>
      </w:pPr>
    </w:p>
    <w:p w14:paraId="4DD70E94">
      <w:pPr>
        <w:pStyle w:val="11"/>
        <w:spacing w:line="245" w:lineRule="auto"/>
      </w:pPr>
    </w:p>
    <w:p w14:paraId="1577A60F">
      <w:pPr>
        <w:pStyle w:val="11"/>
        <w:spacing w:line="245" w:lineRule="auto"/>
      </w:pPr>
    </w:p>
    <w:p w14:paraId="05DD8A49">
      <w:pPr>
        <w:pStyle w:val="11"/>
        <w:spacing w:line="246" w:lineRule="auto"/>
      </w:pPr>
    </w:p>
    <w:p w14:paraId="03F3FFE8">
      <w:pPr>
        <w:pStyle w:val="11"/>
        <w:spacing w:line="246" w:lineRule="auto"/>
      </w:pPr>
    </w:p>
    <w:p w14:paraId="201A1AE0">
      <w:pPr>
        <w:pStyle w:val="11"/>
        <w:spacing w:line="246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57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703A011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FE668F0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TOC \o "1-3" \h \u </w:instrTex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_Toc24683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变更管理程序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_Toc24683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C6DC375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_Toc26221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_Toc26221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E6964BF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_Toc24551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_Toc24551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FDC4012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_Toc20072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_Toc20072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FBD3962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_Toc14794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术语、缩略词和定义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_Toc14794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57C74DD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_Toc15331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_Toc15331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566F04C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_Toc28169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变更流程及说明</w:t>
          </w:r>
          <w:bookmarkStart w:id="19" w:name="_GoBack"/>
          <w:bookmarkEnd w:id="19"/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_Toc28169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97C1ACE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_Toc24245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变更管理总流程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_Toc24245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27EB3CE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_Toc9741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5.1.1. 流程图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_Toc9741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F67400F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_Toc14302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5.1.2. 流程说明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_Toc14302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91CC64C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_Toc28425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 一般变更子流程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_Toc28425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6ACCB7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_Toc22302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5.2.1. 流程图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_Toc22302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14A72C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_Toc15312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5.2.2. 流程说明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_Toc15312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D704262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_Toc9691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5.3. 紧急变更子流程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_Toc9691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4F2B1AE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_Toc4737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5.3.1. 流程图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_Toc4737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4B7864F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_Toc12970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5.3.2. 流程说明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_Toc12970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8174B2F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_Toc11405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6. 关键指标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_Toc11405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EB3D86B">
          <w:pPr>
            <w:pStyle w:val="14"/>
            <w:tabs>
              <w:tab w:val="right" w:leader="dot" w:pos="8492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_Toc18877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相关文件及模板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_Toc18877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DB3FD9">
          <w:pPr>
            <w:spacing w:line="219" w:lineRule="auto"/>
            <w:rPr>
              <w:rFonts w:ascii="Times New Roman" w:hAnsi="Times New Roman" w:eastAsia="Times New Roman" w:cs="Times New Roman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Times New Roman" w:hAnsi="Times New Roman" w:eastAsia="Times New Roman" w:cs="Times New Roman"/>
              <w:szCs w:val="24"/>
            </w:rPr>
            <w:fldChar w:fldCharType="end"/>
          </w:r>
        </w:p>
      </w:sdtContent>
    </w:sdt>
    <w:p w14:paraId="4278E575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</w:p>
    <w:p w14:paraId="4E030685">
      <w:pPr>
        <w:pStyle w:val="20"/>
        <w:bidi w:val="0"/>
      </w:pPr>
      <w:bookmarkStart w:id="2" w:name="_Toc24551"/>
      <w:r>
        <w:t>目的</w:t>
      </w:r>
      <w:bookmarkEnd w:id="2"/>
    </w:p>
    <w:p w14:paraId="2B7CA3A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本文档用于规范</w:t>
      </w:r>
      <w:r>
        <w:rPr>
          <w:rFonts w:ascii="Calibri" w:hAnsi="Calibri" w:eastAsia="Calibri" w:cs="Calibri"/>
          <w:spacing w:val="-1"/>
          <w:sz w:val="24"/>
          <w:szCs w:val="24"/>
        </w:rPr>
        <w:t>IT</w:t>
      </w:r>
      <w:r>
        <w:rPr>
          <w:rFonts w:ascii="宋体" w:hAnsi="宋体" w:eastAsia="宋体" w:cs="宋体"/>
          <w:spacing w:val="-1"/>
          <w:sz w:val="24"/>
          <w:szCs w:val="24"/>
        </w:rPr>
        <w:t>基础设施、软件、硬件等系统的变</w:t>
      </w:r>
      <w:r>
        <w:rPr>
          <w:rFonts w:ascii="宋体" w:hAnsi="宋体" w:eastAsia="宋体" w:cs="宋体"/>
          <w:spacing w:val="-2"/>
          <w:sz w:val="24"/>
          <w:szCs w:val="24"/>
        </w:rPr>
        <w:t>更，从而保证由于变</w:t>
      </w:r>
      <w:r>
        <w:rPr>
          <w:rFonts w:ascii="宋体" w:hAnsi="宋体" w:eastAsia="宋体" w:cs="宋体"/>
          <w:spacing w:val="-1"/>
          <w:sz w:val="24"/>
          <w:szCs w:val="24"/>
        </w:rPr>
        <w:t>更引起的对</w:t>
      </w:r>
      <w:r>
        <w:rPr>
          <w:rFonts w:ascii="宋体" w:hAnsi="宋体" w:eastAsia="宋体" w:cs="宋体"/>
          <w:spacing w:val="-4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IT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环境的影响降到最小，提高信息系统稳定性和组件的</w:t>
      </w:r>
      <w:r>
        <w:rPr>
          <w:rFonts w:ascii="宋体" w:hAnsi="宋体" w:eastAsia="宋体" w:cs="宋体"/>
          <w:spacing w:val="-2"/>
          <w:sz w:val="24"/>
          <w:szCs w:val="24"/>
        </w:rPr>
        <w:t>完成性，为</w:t>
      </w:r>
      <w:r>
        <w:rPr>
          <w:rFonts w:ascii="宋体" w:hAnsi="宋体" w:eastAsia="宋体" w:cs="宋体"/>
          <w:sz w:val="24"/>
          <w:szCs w:val="24"/>
        </w:rPr>
        <w:t>业务的快速发展提供更优质的服务，并且可以有效地实</w:t>
      </w:r>
      <w:r>
        <w:rPr>
          <w:rFonts w:ascii="宋体" w:hAnsi="宋体" w:eastAsia="宋体" w:cs="宋体"/>
          <w:spacing w:val="-1"/>
          <w:sz w:val="24"/>
          <w:szCs w:val="24"/>
        </w:rPr>
        <w:t>施其他相关过程，比如</w:t>
      </w:r>
      <w:r>
        <w:rPr>
          <w:rFonts w:ascii="宋体" w:hAnsi="宋体" w:eastAsia="宋体" w:cs="宋体"/>
          <w:spacing w:val="-7"/>
          <w:sz w:val="24"/>
          <w:szCs w:val="24"/>
        </w:rPr>
        <w:t>配置管理</w:t>
      </w:r>
    </w:p>
    <w:p w14:paraId="459BB53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both"/>
        <w:textAlignment w:val="baseline"/>
        <w:rPr>
          <w:rFonts w:ascii="Calibri" w:hAnsi="Calibri" w:eastAsia="Calibri" w:cs="Calibri"/>
          <w:spacing w:val="-1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通过本文的定义，将建立一个完整的变更管理流程，从而实现：</w:t>
      </w:r>
    </w:p>
    <w:p w14:paraId="6B815577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确保所有的变更活动都遵循标准的方法、程序和规则；</w:t>
      </w:r>
    </w:p>
    <w:p w14:paraId="246E06F5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确保所有的变更活动都有明确的记录可追踪；</w:t>
      </w:r>
    </w:p>
    <w:p w14:paraId="178F335A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确保所有的变更活动都能有效地进行；</w:t>
      </w:r>
    </w:p>
    <w:p w14:paraId="12F00378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确保所有的变更活动可能导致的负面影响</w:t>
      </w:r>
      <w:r>
        <w:rPr>
          <w:rFonts w:ascii="宋体" w:hAnsi="宋体" w:eastAsia="宋体" w:cs="宋体"/>
          <w:spacing w:val="-2"/>
          <w:sz w:val="24"/>
          <w:szCs w:val="24"/>
        </w:rPr>
        <w:t>和风险都被正确地识别和</w:t>
      </w:r>
      <w:r>
        <w:rPr>
          <w:rFonts w:ascii="宋体" w:hAnsi="宋体" w:eastAsia="宋体" w:cs="宋体"/>
          <w:spacing w:val="-10"/>
          <w:sz w:val="24"/>
          <w:szCs w:val="24"/>
        </w:rPr>
        <w:t>评估。</w:t>
      </w:r>
    </w:p>
    <w:p w14:paraId="4DE6E513">
      <w:pPr>
        <w:pStyle w:val="20"/>
        <w:bidi w:val="0"/>
      </w:pPr>
      <w:bookmarkStart w:id="3" w:name="_Toc20072"/>
      <w:r>
        <w:t>适用范围</w:t>
      </w:r>
      <w:bookmarkEnd w:id="3"/>
    </w:p>
    <w:p w14:paraId="641A4D5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both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变更管理程序涵盖IT服务环节的所有变更。一般不包括尚处于开发和测试阶段的系统和应用的变更。</w:t>
      </w:r>
    </w:p>
    <w:p w14:paraId="01F21738">
      <w:pPr>
        <w:pStyle w:val="20"/>
        <w:bidi w:val="0"/>
      </w:pPr>
      <w:bookmarkStart w:id="4" w:name="_Toc14794"/>
      <w:r>
        <w:t>术语、缩略词和定义</w:t>
      </w:r>
      <w:bookmarkEnd w:id="4"/>
    </w:p>
    <w:p w14:paraId="67456324">
      <w:pPr>
        <w:spacing w:line="81" w:lineRule="auto"/>
        <w:rPr>
          <w:rFonts w:ascii="Arial"/>
          <w:sz w:val="2"/>
        </w:rPr>
      </w:pPr>
    </w:p>
    <w:tbl>
      <w:tblPr>
        <w:tblStyle w:val="18"/>
        <w:tblW w:w="8522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130"/>
        <w:gridCol w:w="5974"/>
      </w:tblGrid>
      <w:tr w14:paraId="2DC457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418" w:type="dxa"/>
            <w:shd w:val="clear" w:color="auto" w:fill="E6E6E6"/>
            <w:vAlign w:val="top"/>
          </w:tcPr>
          <w:p w14:paraId="2E1DC6BF">
            <w:pPr>
              <w:spacing w:before="120" w:line="220" w:lineRule="auto"/>
              <w:ind w:left="4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0"/>
                <w:szCs w:val="20"/>
              </w:rPr>
              <w:t>术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20"/>
                <w:szCs w:val="20"/>
              </w:rPr>
              <w:t>语</w:t>
            </w:r>
          </w:p>
        </w:tc>
        <w:tc>
          <w:tcPr>
            <w:tcW w:w="1130" w:type="dxa"/>
            <w:shd w:val="clear" w:color="auto" w:fill="E6E6E6"/>
            <w:vAlign w:val="top"/>
          </w:tcPr>
          <w:p w14:paraId="5804CD6F">
            <w:pPr>
              <w:spacing w:before="120" w:line="219" w:lineRule="auto"/>
              <w:ind w:left="2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缩略词</w:t>
            </w:r>
          </w:p>
        </w:tc>
        <w:tc>
          <w:tcPr>
            <w:tcW w:w="5974" w:type="dxa"/>
            <w:shd w:val="clear" w:color="auto" w:fill="E6E6E6"/>
            <w:vAlign w:val="top"/>
          </w:tcPr>
          <w:p w14:paraId="2BF29623">
            <w:pPr>
              <w:spacing w:before="121" w:line="220" w:lineRule="auto"/>
              <w:ind w:left="27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0"/>
                <w:szCs w:val="20"/>
              </w:rPr>
              <w:t>定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9"/>
                <w:sz w:val="20"/>
                <w:szCs w:val="20"/>
              </w:rPr>
              <w:t>义</w:t>
            </w:r>
          </w:p>
        </w:tc>
      </w:tr>
      <w:tr w14:paraId="30ED71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1" w:hRule="atLeast"/>
        </w:trPr>
        <w:tc>
          <w:tcPr>
            <w:tcW w:w="1418" w:type="dxa"/>
            <w:vAlign w:val="top"/>
          </w:tcPr>
          <w:p w14:paraId="75E5825B">
            <w:pPr>
              <w:spacing w:before="49" w:line="221" w:lineRule="auto"/>
              <w:ind w:left="4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变更</w:t>
            </w:r>
          </w:p>
        </w:tc>
        <w:tc>
          <w:tcPr>
            <w:tcW w:w="1130" w:type="dxa"/>
            <w:vAlign w:val="top"/>
          </w:tcPr>
          <w:p w14:paraId="6004476B">
            <w:pPr>
              <w:spacing w:before="82" w:line="190" w:lineRule="auto"/>
              <w:ind w:left="2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Change</w:t>
            </w:r>
          </w:p>
        </w:tc>
        <w:tc>
          <w:tcPr>
            <w:tcW w:w="5974" w:type="dxa"/>
            <w:vAlign w:val="top"/>
          </w:tcPr>
          <w:p w14:paraId="5FF863EC">
            <w:pPr>
              <w:spacing w:before="50" w:line="255" w:lineRule="auto"/>
              <w:ind w:left="225" w:right="107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变更是指对已批准构建或实施的、正在维护的或作为基线的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配置项所作的增加、修改或移除，这些配置项，包括：硬件、网络、软件、应用、环境、系统及相关文档。</w:t>
            </w:r>
          </w:p>
        </w:tc>
      </w:tr>
      <w:tr w14:paraId="698F45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1" w:hRule="atLeast"/>
        </w:trPr>
        <w:tc>
          <w:tcPr>
            <w:tcW w:w="1418" w:type="dxa"/>
            <w:vAlign w:val="top"/>
          </w:tcPr>
          <w:p w14:paraId="4AFE4937">
            <w:pPr>
              <w:spacing w:before="54" w:line="221" w:lineRule="auto"/>
              <w:ind w:left="23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变更记录</w:t>
            </w:r>
          </w:p>
        </w:tc>
        <w:tc>
          <w:tcPr>
            <w:tcW w:w="1130" w:type="dxa"/>
            <w:vAlign w:val="top"/>
          </w:tcPr>
          <w:p w14:paraId="56058FC0">
            <w:pPr>
              <w:spacing w:before="87" w:line="190" w:lineRule="auto"/>
              <w:ind w:left="2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Change</w:t>
            </w:r>
          </w:p>
          <w:p w14:paraId="4844D561">
            <w:pPr>
              <w:spacing w:before="120" w:line="190" w:lineRule="auto"/>
              <w:ind w:left="21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Record</w:t>
            </w:r>
          </w:p>
        </w:tc>
        <w:tc>
          <w:tcPr>
            <w:tcW w:w="5974" w:type="dxa"/>
            <w:vAlign w:val="top"/>
          </w:tcPr>
          <w:p w14:paraId="4ED1619A">
            <w:pPr>
              <w:spacing w:before="54" w:line="254" w:lineRule="auto"/>
              <w:ind w:left="224" w:right="287" w:firstLine="3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指经过授权的变更（包括计划中的和已实施的）对哪些配置项产生影响以及怎样产生影响的详细信息的记录。比如优先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权的分配情况、影响评估与授权的具体时间等等。</w:t>
            </w:r>
          </w:p>
        </w:tc>
      </w:tr>
      <w:tr w14:paraId="5CD112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418" w:type="dxa"/>
            <w:vAlign w:val="top"/>
          </w:tcPr>
          <w:p w14:paraId="3379D592">
            <w:pPr>
              <w:spacing w:before="59" w:line="220" w:lineRule="auto"/>
              <w:ind w:left="23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变更请求</w:t>
            </w:r>
          </w:p>
        </w:tc>
        <w:tc>
          <w:tcPr>
            <w:tcW w:w="1130" w:type="dxa"/>
            <w:vAlign w:val="top"/>
          </w:tcPr>
          <w:p w14:paraId="5335FBBC">
            <w:pPr>
              <w:spacing w:before="92" w:line="190" w:lineRule="auto"/>
              <w:ind w:left="2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Change</w:t>
            </w:r>
          </w:p>
          <w:p w14:paraId="6FFE0B45">
            <w:pPr>
              <w:spacing w:before="127" w:line="183" w:lineRule="auto"/>
              <w:ind w:left="21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Request</w:t>
            </w:r>
          </w:p>
        </w:tc>
        <w:tc>
          <w:tcPr>
            <w:tcW w:w="5974" w:type="dxa"/>
            <w:vAlign w:val="top"/>
          </w:tcPr>
          <w:p w14:paraId="5F3057BD">
            <w:pPr>
              <w:spacing w:before="60" w:line="242" w:lineRule="auto"/>
              <w:ind w:left="223" w:right="287" w:firstLine="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变更请求（如对软件特征的变更请求）必须由变更管理过程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进行评估，同时将对基础设施做出一定的修改。</w:t>
            </w:r>
          </w:p>
        </w:tc>
      </w:tr>
      <w:tr w14:paraId="17449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8" w:hRule="atLeast"/>
        </w:trPr>
        <w:tc>
          <w:tcPr>
            <w:tcW w:w="1418" w:type="dxa"/>
            <w:tcBorders>
              <w:left w:val="single" w:color="000000" w:sz="12" w:space="0"/>
            </w:tcBorders>
            <w:vAlign w:val="top"/>
          </w:tcPr>
          <w:p w14:paraId="2271F182">
            <w:pPr>
              <w:pStyle w:val="19"/>
              <w:spacing w:line="311" w:lineRule="auto"/>
            </w:pPr>
          </w:p>
          <w:p w14:paraId="2CF8E3AD">
            <w:pPr>
              <w:pStyle w:val="19"/>
              <w:spacing w:line="311" w:lineRule="auto"/>
            </w:pPr>
          </w:p>
          <w:p w14:paraId="69441B45">
            <w:pPr>
              <w:spacing w:before="65" w:line="221" w:lineRule="auto"/>
              <w:ind w:left="3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一般变更</w:t>
            </w:r>
          </w:p>
        </w:tc>
        <w:tc>
          <w:tcPr>
            <w:tcW w:w="1130" w:type="dxa"/>
            <w:vAlign w:val="top"/>
          </w:tcPr>
          <w:p w14:paraId="19B731EF">
            <w:pPr>
              <w:spacing w:before="127" w:line="183" w:lineRule="auto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GC(Genera</w:t>
            </w:r>
          </w:p>
          <w:p w14:paraId="1175F597">
            <w:pPr>
              <w:spacing w:before="127" w:line="183" w:lineRule="auto"/>
              <w:ind w:left="216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lchange)</w:t>
            </w:r>
          </w:p>
        </w:tc>
        <w:tc>
          <w:tcPr>
            <w:tcW w:w="5974" w:type="dxa"/>
            <w:tcBorders>
              <w:right w:val="single" w:color="000000" w:sz="12" w:space="0"/>
            </w:tcBorders>
            <w:vAlign w:val="top"/>
          </w:tcPr>
          <w:p w14:paraId="01309156">
            <w:pPr>
              <w:spacing w:before="63" w:line="273" w:lineRule="auto"/>
              <w:ind w:left="220" w:right="224" w:firstLine="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一般变更包括：客户端系统重装、安装升级补丁、新增或删</w:t>
            </w:r>
            <w:r>
              <w:rPr>
                <w:rFonts w:ascii="宋体" w:hAnsi="宋体" w:eastAsia="宋体" w:cs="宋体"/>
                <w:sz w:val="21"/>
                <w:szCs w:val="21"/>
              </w:rPr>
              <w:t>除账号等常规任务，更换设备配件、更换终端设备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,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服务器配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置参数修改、文件变更、用户版本变更、系统小版本升级、 </w:t>
            </w:r>
            <w:r>
              <w:rPr>
                <w:rFonts w:ascii="Times New Roman" w:hAnsi="Times New Roman" w:eastAsia="Times New Roman" w:cs="Times New Roman"/>
                <w:spacing w:val="-5"/>
                <w:sz w:val="21"/>
                <w:szCs w:val="21"/>
              </w:rPr>
              <w:t>Bug</w:t>
            </w:r>
            <w:r>
              <w:rPr>
                <w:rFonts w:ascii="Times New Roman" w:hAnsi="Times New Roman" w:eastAsia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修复。</w:t>
            </w:r>
          </w:p>
        </w:tc>
      </w:tr>
      <w:tr w14:paraId="77D11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1418" w:type="dxa"/>
            <w:tcBorders>
              <w:left w:val="single" w:color="000000" w:sz="12" w:space="0"/>
            </w:tcBorders>
            <w:vAlign w:val="top"/>
          </w:tcPr>
          <w:p w14:paraId="394AE7D6">
            <w:pPr>
              <w:pStyle w:val="19"/>
              <w:spacing w:line="315" w:lineRule="auto"/>
            </w:pPr>
          </w:p>
          <w:p w14:paraId="753E31BA">
            <w:pPr>
              <w:pStyle w:val="19"/>
              <w:spacing w:line="315" w:lineRule="auto"/>
            </w:pPr>
          </w:p>
          <w:p w14:paraId="0DD358F1">
            <w:pPr>
              <w:spacing w:before="65" w:line="220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紧急变更</w:t>
            </w:r>
          </w:p>
        </w:tc>
        <w:tc>
          <w:tcPr>
            <w:tcW w:w="1130" w:type="dxa"/>
            <w:tcBorders/>
            <w:vAlign w:val="top"/>
          </w:tcPr>
          <w:p w14:paraId="66891504">
            <w:pPr>
              <w:spacing w:before="127" w:line="183" w:lineRule="auto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EC(Emerge</w:t>
            </w:r>
          </w:p>
          <w:p w14:paraId="552E68D9">
            <w:pPr>
              <w:spacing w:before="127" w:line="183" w:lineRule="auto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ncychange)</w:t>
            </w:r>
          </w:p>
        </w:tc>
        <w:tc>
          <w:tcPr>
            <w:tcW w:w="5974" w:type="dxa"/>
            <w:tcBorders>
              <w:right w:val="single" w:color="000000" w:sz="12" w:space="0"/>
            </w:tcBorders>
            <w:vAlign w:val="top"/>
          </w:tcPr>
          <w:p w14:paraId="64348543">
            <w:pPr>
              <w:spacing w:before="71" w:line="275" w:lineRule="auto"/>
              <w:ind w:left="225" w:right="277" w:firstLine="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紧急变更包括：指影响关键业务系统正常运行的紧急事件、实施时间紧急的变更。包括服务器设施变更、服务器端系统变更、批量数据的更改、系统大版本升级。由于时间紧迫，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变更方案由紧急变更委员会审核后执行。</w:t>
            </w:r>
          </w:p>
        </w:tc>
      </w:tr>
      <w:tr w14:paraId="46916A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1418" w:type="dxa"/>
            <w:tcBorders>
              <w:left w:val="single" w:color="000000" w:sz="12" w:space="0"/>
              <w:bottom w:val="single" w:color="000000" w:sz="12" w:space="0"/>
            </w:tcBorders>
            <w:shd w:val="clear"/>
            <w:vAlign w:val="top"/>
          </w:tcPr>
          <w:p w14:paraId="6040DF72">
            <w:pPr>
              <w:spacing w:before="65" w:line="220" w:lineRule="auto"/>
              <w:ind w:left="29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重大变更</w:t>
            </w:r>
          </w:p>
        </w:tc>
        <w:tc>
          <w:tcPr>
            <w:tcW w:w="1130" w:type="dxa"/>
            <w:tcBorders>
              <w:bottom w:val="single" w:color="000000" w:sz="12" w:space="0"/>
            </w:tcBorders>
            <w:shd w:val="clear"/>
            <w:vAlign w:val="top"/>
          </w:tcPr>
          <w:p w14:paraId="400FBD23">
            <w:pPr>
              <w:spacing w:before="111" w:line="214" w:lineRule="auto"/>
              <w:ind w:left="13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MC(majo</w:t>
            </w:r>
            <w:r>
              <w:rPr>
                <w:rFonts w:ascii="宋体" w:hAnsi="宋体" w:eastAsia="宋体" w:cs="宋体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change)</w:t>
            </w:r>
          </w:p>
        </w:tc>
        <w:tc>
          <w:tcPr>
            <w:tcW w:w="5974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 w14:paraId="3CE97F98">
            <w:pPr>
              <w:spacing w:before="53" w:line="276" w:lineRule="auto"/>
              <w:ind w:left="226" w:leftChars="0" w:right="277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重大变更影响面较广、变更实施较为复杂、变更失败会导致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客户强烈不满，需谨慎对待。</w:t>
            </w:r>
          </w:p>
        </w:tc>
      </w:tr>
    </w:tbl>
    <w:p w14:paraId="30CD097F">
      <w:pPr>
        <w:pStyle w:val="11"/>
        <w:spacing w:line="68" w:lineRule="exact"/>
        <w:rPr>
          <w:sz w:val="5"/>
        </w:rPr>
      </w:pPr>
    </w:p>
    <w:p w14:paraId="50540A73">
      <w:pPr>
        <w:spacing w:line="68" w:lineRule="exact"/>
        <w:rPr>
          <w:sz w:val="5"/>
          <w:szCs w:val="5"/>
        </w:rPr>
        <w:sectPr>
          <w:footerReference r:id="rId5" w:type="default"/>
          <w:pgSz w:w="11906" w:h="16839"/>
          <w:pgMar w:top="1431" w:right="1700" w:bottom="1374" w:left="1653" w:header="0" w:footer="1211" w:gutter="0"/>
          <w:cols w:space="720" w:num="1"/>
        </w:sectPr>
      </w:pPr>
    </w:p>
    <w:p w14:paraId="0A0391F3">
      <w:pPr>
        <w:pStyle w:val="20"/>
        <w:bidi w:val="0"/>
      </w:pPr>
      <w:bookmarkStart w:id="5" w:name="_Toc15331"/>
      <w:r>
        <w:t>角色与职责</w:t>
      </w:r>
      <w:bookmarkEnd w:id="5"/>
    </w:p>
    <w:p w14:paraId="3B88AE8A">
      <w:pPr>
        <w:spacing w:line="77" w:lineRule="auto"/>
        <w:rPr>
          <w:rFonts w:ascii="Arial"/>
          <w:sz w:val="2"/>
        </w:rPr>
      </w:pPr>
    </w:p>
    <w:tbl>
      <w:tblPr>
        <w:tblStyle w:val="18"/>
        <w:tblW w:w="8594" w:type="dxa"/>
        <w:tblInd w:w="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1"/>
        <w:gridCol w:w="6453"/>
      </w:tblGrid>
      <w:tr w14:paraId="771912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141" w:type="dxa"/>
            <w:tcBorders>
              <w:top w:val="single" w:color="000000" w:sz="4" w:space="0"/>
              <w:left w:val="single" w:color="000000" w:sz="4" w:space="0"/>
            </w:tcBorders>
            <w:shd w:val="clear" w:color="auto" w:fill="C0C0C0"/>
            <w:vAlign w:val="top"/>
          </w:tcPr>
          <w:p w14:paraId="1DD44DF4">
            <w:pPr>
              <w:spacing w:before="128" w:line="219" w:lineRule="auto"/>
              <w:ind w:left="8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角色</w:t>
            </w:r>
          </w:p>
        </w:tc>
        <w:tc>
          <w:tcPr>
            <w:tcW w:w="6453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 w14:paraId="672023BF">
            <w:pPr>
              <w:spacing w:before="109" w:line="221" w:lineRule="auto"/>
              <w:ind w:left="27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主要职责</w:t>
            </w:r>
          </w:p>
        </w:tc>
      </w:tr>
      <w:tr w14:paraId="5F1DC4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2" w:hRule="atLeast"/>
        </w:trPr>
        <w:tc>
          <w:tcPr>
            <w:tcW w:w="2141" w:type="dxa"/>
            <w:tcBorders>
              <w:left w:val="single" w:color="000000" w:sz="4" w:space="0"/>
            </w:tcBorders>
            <w:vAlign w:val="top"/>
          </w:tcPr>
          <w:p w14:paraId="0863B59A">
            <w:pPr>
              <w:pStyle w:val="19"/>
              <w:spacing w:line="245" w:lineRule="auto"/>
            </w:pPr>
          </w:p>
          <w:p w14:paraId="3F49609E">
            <w:pPr>
              <w:pStyle w:val="19"/>
              <w:spacing w:line="246" w:lineRule="auto"/>
            </w:pPr>
          </w:p>
          <w:p w14:paraId="42130F51">
            <w:pPr>
              <w:pStyle w:val="19"/>
              <w:spacing w:line="246" w:lineRule="auto"/>
            </w:pPr>
          </w:p>
          <w:p w14:paraId="0F58F529">
            <w:pPr>
              <w:spacing w:before="78" w:line="220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变更管理负责人</w:t>
            </w:r>
          </w:p>
        </w:tc>
        <w:tc>
          <w:tcPr>
            <w:tcW w:w="6453" w:type="dxa"/>
            <w:tcBorders>
              <w:right w:val="single" w:color="000000" w:sz="4" w:space="0"/>
            </w:tcBorders>
            <w:vAlign w:val="top"/>
          </w:tcPr>
          <w:p w14:paraId="4345B613">
            <w:pPr>
              <w:spacing w:before="235" w:line="300" w:lineRule="auto"/>
              <w:ind w:left="146" w:right="8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定义并维护变更管理流程文件及所需要的记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录模板；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管理变更管理流程的实施；</w:t>
            </w:r>
          </w:p>
          <w:p w14:paraId="602CADEE">
            <w:pPr>
              <w:spacing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确保变更管理流程目标的实现；</w:t>
            </w:r>
          </w:p>
          <w:p w14:paraId="28589F7C">
            <w:pPr>
              <w:spacing w:before="104" w:line="220" w:lineRule="auto"/>
              <w:ind w:left="1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识别变更管理过程中存在的问题并提出改进措施。</w:t>
            </w:r>
          </w:p>
        </w:tc>
      </w:tr>
      <w:tr w14:paraId="142173D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0" w:hRule="atLeast"/>
        </w:trPr>
        <w:tc>
          <w:tcPr>
            <w:tcW w:w="2141" w:type="dxa"/>
            <w:tcBorders>
              <w:left w:val="single" w:color="000000" w:sz="4" w:space="0"/>
            </w:tcBorders>
            <w:vAlign w:val="top"/>
          </w:tcPr>
          <w:p w14:paraId="05CA2BAA">
            <w:pPr>
              <w:pStyle w:val="19"/>
              <w:spacing w:line="258" w:lineRule="auto"/>
            </w:pPr>
          </w:p>
          <w:p w14:paraId="504C77F5">
            <w:pPr>
              <w:pStyle w:val="19"/>
              <w:spacing w:line="258" w:lineRule="auto"/>
            </w:pPr>
          </w:p>
          <w:p w14:paraId="46010B4A">
            <w:pPr>
              <w:pStyle w:val="19"/>
              <w:spacing w:line="258" w:lineRule="auto"/>
            </w:pPr>
          </w:p>
          <w:p w14:paraId="4559267B">
            <w:pPr>
              <w:pStyle w:val="19"/>
              <w:spacing w:line="258" w:lineRule="auto"/>
            </w:pPr>
          </w:p>
          <w:p w14:paraId="06798F65">
            <w:pPr>
              <w:spacing w:before="78" w:line="220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变更负责人</w:t>
            </w:r>
          </w:p>
        </w:tc>
        <w:tc>
          <w:tcPr>
            <w:tcW w:w="6453" w:type="dxa"/>
            <w:tcBorders>
              <w:right w:val="single" w:color="000000" w:sz="4" w:space="0"/>
            </w:tcBorders>
            <w:vAlign w:val="top"/>
          </w:tcPr>
          <w:p w14:paraId="594D5B6D">
            <w:pPr>
              <w:spacing w:before="142" w:line="300" w:lineRule="auto"/>
              <w:ind w:left="149" w:right="3963" w:hanging="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对具体某个变更负责；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负责变更方案审核；</w:t>
            </w:r>
          </w:p>
          <w:p w14:paraId="0190CE2B">
            <w:pPr>
              <w:spacing w:line="219" w:lineRule="auto"/>
              <w:ind w:left="1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负责该变更的顺利实施；</w:t>
            </w:r>
          </w:p>
          <w:p w14:paraId="402BE115">
            <w:pPr>
              <w:spacing w:before="104" w:line="300" w:lineRule="auto"/>
              <w:ind w:left="149" w:right="27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负责跟踪变更的状态，直到关闭；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负责与上级的沟通汇报；</w:t>
            </w:r>
          </w:p>
          <w:p w14:paraId="01B41269">
            <w:pPr>
              <w:spacing w:line="219" w:lineRule="auto"/>
              <w:ind w:left="1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负责变更的批准</w:t>
            </w:r>
          </w:p>
        </w:tc>
      </w:tr>
      <w:tr w14:paraId="304936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1" w:hRule="atLeast"/>
        </w:trPr>
        <w:tc>
          <w:tcPr>
            <w:tcW w:w="2141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 w14:paraId="4BE5DB7D">
            <w:pPr>
              <w:pStyle w:val="19"/>
              <w:spacing w:line="281" w:lineRule="auto"/>
            </w:pPr>
          </w:p>
          <w:p w14:paraId="6895CF89">
            <w:pPr>
              <w:pStyle w:val="19"/>
              <w:spacing w:line="281" w:lineRule="auto"/>
            </w:pPr>
          </w:p>
          <w:p w14:paraId="466913BD">
            <w:pPr>
              <w:pStyle w:val="19"/>
              <w:spacing w:line="281" w:lineRule="auto"/>
            </w:pPr>
          </w:p>
          <w:p w14:paraId="3E83364C">
            <w:pPr>
              <w:spacing w:before="78" w:line="220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变更实施人员</w:t>
            </w:r>
          </w:p>
        </w:tc>
        <w:tc>
          <w:tcPr>
            <w:tcW w:w="6453" w:type="dxa"/>
            <w:tcBorders>
              <w:bottom w:val="single" w:color="000000" w:sz="4" w:space="0"/>
              <w:right w:val="single" w:color="000000" w:sz="4" w:space="0"/>
            </w:tcBorders>
            <w:vAlign w:val="top"/>
          </w:tcPr>
          <w:p w14:paraId="5A0099B6">
            <w:pPr>
              <w:spacing w:before="146" w:line="300" w:lineRule="auto"/>
              <w:ind w:left="149" w:right="363" w:hanging="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协助变更管理过程负责人制定变更实施方案、实施计划；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负责实施经过审核后的变更方案；</w:t>
            </w:r>
          </w:p>
          <w:p w14:paraId="029C1553">
            <w:pPr>
              <w:spacing w:line="219" w:lineRule="auto"/>
              <w:ind w:left="1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负责变更后相关测试；</w:t>
            </w:r>
          </w:p>
          <w:p w14:paraId="79EE37DC">
            <w:pPr>
              <w:spacing w:before="104" w:line="220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变更完成及时总结经验，确保文档的完整性。</w:t>
            </w:r>
          </w:p>
          <w:p w14:paraId="1D5A389A">
            <w:pPr>
              <w:spacing w:before="104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及时向变更负责人汇报实施进展情况。</w:t>
            </w:r>
          </w:p>
        </w:tc>
      </w:tr>
    </w:tbl>
    <w:p w14:paraId="28E2C324">
      <w:pPr>
        <w:pStyle w:val="20"/>
        <w:bidi w:val="0"/>
      </w:pPr>
      <w:bookmarkStart w:id="6" w:name="_Toc28169"/>
      <w:r>
        <w:t>变更流程及说明</w:t>
      </w:r>
      <w:bookmarkEnd w:id="6"/>
    </w:p>
    <w:p w14:paraId="4F927763">
      <w:pPr>
        <w:pStyle w:val="21"/>
        <w:bidi w:val="0"/>
      </w:pPr>
      <w:bookmarkStart w:id="7" w:name="_Toc24245"/>
      <w:r>
        <w:t>变更管理总流程</w:t>
      </w:r>
      <w:bookmarkEnd w:id="7"/>
    </w:p>
    <w:p w14:paraId="754D34E2">
      <w:pPr>
        <w:pStyle w:val="22"/>
        <w:bidi w:val="0"/>
      </w:pPr>
      <w:bookmarkStart w:id="8" w:name="_Toc9741"/>
      <w:r>
        <w:t>流程图</w:t>
      </w:r>
      <w:bookmarkEnd w:id="8"/>
    </w:p>
    <w:p w14:paraId="105FFBE9">
      <w:pPr>
        <w:spacing w:before="188"/>
      </w:pPr>
    </w:p>
    <w:p w14:paraId="48C81471">
      <w:pPr>
        <w:pStyle w:val="11"/>
        <w:spacing w:line="268" w:lineRule="auto"/>
      </w:pPr>
      <w:r>
        <w:drawing>
          <wp:inline distT="0" distB="0" distL="114300" distR="114300">
            <wp:extent cx="4810125" cy="552450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352B">
      <w:pPr>
        <w:pStyle w:val="22"/>
        <w:bidi w:val="0"/>
      </w:pPr>
      <w:bookmarkStart w:id="9" w:name="_Toc14302"/>
      <w:r>
        <w:t>流程说明</w:t>
      </w:r>
      <w:bookmarkEnd w:id="9"/>
    </w:p>
    <w:p w14:paraId="07AA2D58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变更受理</w:t>
      </w:r>
    </w:p>
    <w:p w14:paraId="4FADD5DC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由事件管理流程、问题管理流程、第三方提出变更请求，变更负责人确定是否需要受理变更。</w:t>
      </w:r>
    </w:p>
    <w:p w14:paraId="69396310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变更记录和分类</w:t>
      </w:r>
    </w:p>
    <w:p w14:paraId="1AC19F04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若接受一般、紧急变更申请，变更负责人或申请人填写《变更请求记录单》后续变更动作。</w:t>
      </w:r>
    </w:p>
    <w:p w14:paraId="46CCB403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变更分类执行</w:t>
      </w:r>
    </w:p>
    <w:p w14:paraId="3776524F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根据变更的不同类型，分别执行不同的变更流程，有一般变更、紧急变更。其中的判断还没有十分准确的标准，只是凭对客户的业</w:t>
      </w:r>
      <w:r>
        <w:rPr>
          <w:rFonts w:ascii="宋体" w:hAnsi="宋体" w:eastAsia="宋体" w:cs="宋体"/>
          <w:spacing w:val="-1"/>
          <w:sz w:val="24"/>
          <w:szCs w:val="24"/>
        </w:rPr>
        <w:t>务影响程度来区分，但是，即使是影响程度也没有清晰的划分，因此，变更管</w:t>
      </w:r>
      <w:r>
        <w:rPr>
          <w:rFonts w:ascii="宋体" w:hAnsi="宋体" w:eastAsia="宋体" w:cs="宋体"/>
          <w:spacing w:val="-1"/>
          <w:sz w:val="24"/>
          <w:szCs w:val="24"/>
        </w:rPr>
        <w:t>理负责人要根据实际经验，加强变更管理，降低因为变更导致的服务中断给用户造成的不良影响。</w:t>
      </w:r>
    </w:p>
    <w:p w14:paraId="4FA9168E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变更报告</w:t>
      </w:r>
    </w:p>
    <w:p w14:paraId="5A31DDEE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变更管理负责人每季度对变更数量进行统计，对</w:t>
      </w:r>
      <w:r>
        <w:rPr>
          <w:rFonts w:ascii="宋体" w:hAnsi="宋体" w:eastAsia="宋体" w:cs="宋体"/>
          <w:spacing w:val="-1"/>
          <w:sz w:val="24"/>
          <w:szCs w:val="24"/>
        </w:rPr>
        <w:t>变更过程存在的问题进行分析，形成变更评估报告。</w:t>
      </w:r>
    </w:p>
    <w:p w14:paraId="51281F3C">
      <w:pPr>
        <w:pStyle w:val="21"/>
        <w:bidi w:val="0"/>
      </w:pPr>
      <w:bookmarkStart w:id="10" w:name="_Toc28425"/>
      <w:r>
        <w:t>一般变更子流程</w:t>
      </w:r>
      <w:bookmarkEnd w:id="10"/>
    </w:p>
    <w:p w14:paraId="07994578">
      <w:pPr>
        <w:pStyle w:val="22"/>
        <w:bidi w:val="0"/>
      </w:pPr>
      <w:bookmarkStart w:id="11" w:name="_Toc22302"/>
      <w:r>
        <w:t>流程图</w:t>
      </w:r>
      <w:bookmarkEnd w:id="11"/>
    </w:p>
    <w:p w14:paraId="768416E9">
      <w:pPr>
        <w:spacing w:before="233"/>
      </w:pPr>
    </w:p>
    <w:p w14:paraId="4D10BFE9">
      <w:pPr>
        <w:pStyle w:val="11"/>
      </w:pPr>
      <w:r>
        <w:drawing>
          <wp:inline distT="0" distB="0" distL="114300" distR="114300">
            <wp:extent cx="3952875" cy="49434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6888">
      <w:pPr>
        <w:sectPr>
          <w:footerReference r:id="rId6" w:type="default"/>
          <w:pgSz w:w="11906" w:h="16839"/>
          <w:pgMar w:top="1431" w:right="1740" w:bottom="1374" w:left="1785" w:header="0" w:footer="1211" w:gutter="0"/>
          <w:cols w:space="720" w:num="1"/>
        </w:sectPr>
      </w:pPr>
    </w:p>
    <w:p w14:paraId="4F083737">
      <w:pPr>
        <w:pStyle w:val="22"/>
        <w:bidi w:val="0"/>
      </w:pPr>
      <w:bookmarkStart w:id="12" w:name="_Toc15312"/>
      <w:r>
        <w:t>流程说明</w:t>
      </w:r>
      <w:bookmarkEnd w:id="12"/>
    </w:p>
    <w:p w14:paraId="372EF209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记录变更</w:t>
      </w:r>
    </w:p>
    <w:p w14:paraId="1BCBABB9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变更负责人或申请人填写《变更请求记录单》，确定变更负责人。</w:t>
      </w:r>
    </w:p>
    <w:p w14:paraId="32E261C6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变更分派</w:t>
      </w:r>
    </w:p>
    <w:p w14:paraId="06E1C42F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变更负责人分派任务，确定变更实施人员。</w:t>
      </w:r>
    </w:p>
    <w:p w14:paraId="7A7386A0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制定变更方案</w:t>
      </w:r>
    </w:p>
    <w:p w14:paraId="64CF2E09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变更实施人接受任务，根据变更需求，提出变更方案，提交变更负责人。</w:t>
      </w:r>
    </w:p>
    <w:p w14:paraId="2B0633D9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审核变更方案</w:t>
      </w:r>
    </w:p>
    <w:p w14:paraId="482C352A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变更负责人对变更方案进行审核或安排测试，通过后交付实施。</w:t>
      </w:r>
    </w:p>
    <w:p w14:paraId="4D95B421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变更实施</w:t>
      </w:r>
    </w:p>
    <w:p w14:paraId="1C63B735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变更实施人员根据方案执行变更。如果实施失败，采取回退计划。</w:t>
      </w:r>
    </w:p>
    <w:p w14:paraId="26D14F8D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更新配置库</w:t>
      </w:r>
    </w:p>
    <w:p w14:paraId="7D289370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变更过程中，如果涉及到配置信息的变化，及时更新配置库。参见《配置管理程序》。</w:t>
      </w:r>
    </w:p>
    <w:p w14:paraId="65766082">
      <w:pPr>
        <w:pStyle w:val="21"/>
        <w:bidi w:val="0"/>
      </w:pPr>
      <w:bookmarkStart w:id="13" w:name="_Toc9691"/>
      <w:r>
        <w:t>紧急变更子流程</w:t>
      </w:r>
      <w:bookmarkEnd w:id="13"/>
    </w:p>
    <w:p w14:paraId="19A8C38B">
      <w:pPr>
        <w:pStyle w:val="22"/>
        <w:bidi w:val="0"/>
      </w:pPr>
      <w:bookmarkStart w:id="14" w:name="_Toc4737"/>
      <w:r>
        <w:t>流程图</w:t>
      </w:r>
      <w:bookmarkEnd w:id="14"/>
    </w:p>
    <w:p w14:paraId="401A2514">
      <w:pPr>
        <w:spacing w:before="84"/>
      </w:pPr>
    </w:p>
    <w:p w14:paraId="4FA27E3B">
      <w:pPr>
        <w:pStyle w:val="11"/>
        <w:spacing w:line="357" w:lineRule="auto"/>
      </w:pPr>
      <w:r>
        <w:drawing>
          <wp:inline distT="0" distB="0" distL="114300" distR="114300">
            <wp:extent cx="3108325" cy="3116580"/>
            <wp:effectExtent l="0" t="0" r="63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391F">
      <w:pPr>
        <w:pStyle w:val="22"/>
        <w:bidi w:val="0"/>
      </w:pPr>
      <w:bookmarkStart w:id="15" w:name="_Toc12970"/>
      <w:r>
        <w:t>流程说明</w:t>
      </w:r>
      <w:bookmarkEnd w:id="15"/>
    </w:p>
    <w:p w14:paraId="751F1BB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变更记录</w:t>
      </w:r>
    </w:p>
    <w:p w14:paraId="0330D8F2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变更负责人或申请人填写《变更请求记录单》，确定变更负责人。</w:t>
      </w:r>
    </w:p>
    <w:p w14:paraId="3583787D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2紧急变更确认</w:t>
      </w:r>
    </w:p>
    <w:p w14:paraId="7475BC17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变更负责人将《变更请求记录单》直接提交管理</w:t>
      </w:r>
      <w:r>
        <w:rPr>
          <w:rFonts w:ascii="宋体" w:hAnsi="宋体" w:eastAsia="宋体" w:cs="宋体"/>
          <w:spacing w:val="-1"/>
          <w:sz w:val="24"/>
          <w:szCs w:val="24"/>
        </w:rPr>
        <w:t>层，由变更管理负责人确认，签字后通过。</w:t>
      </w:r>
    </w:p>
    <w:p w14:paraId="1E101E52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变更分配</w:t>
      </w:r>
    </w:p>
    <w:p w14:paraId="4CFF7BA3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变更负责人分派任务，确定变更实施人员。</w:t>
      </w:r>
    </w:p>
    <w:p w14:paraId="20C3B60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制定变更方案</w:t>
      </w:r>
    </w:p>
    <w:p w14:paraId="3F6EFBCF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变更实施人员接受任务，根据变更需求，编写《变更实施方案》，提交变</w:t>
      </w:r>
    </w:p>
    <w:p w14:paraId="662E31F4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更负责人。</w:t>
      </w:r>
    </w:p>
    <w:p w14:paraId="1FD863AA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变更实施</w:t>
      </w:r>
    </w:p>
    <w:p w14:paraId="5341B0F0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变更实施人根据方案，执行变更。如果实施失败，采取回退计划。</w:t>
      </w:r>
    </w:p>
    <w:p w14:paraId="3916850B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 更新配置库</w:t>
      </w:r>
    </w:p>
    <w:p w14:paraId="23DD8EB2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变更过程中，如果涉及到配置信息的变化，及时更新配置库。</w:t>
      </w:r>
    </w:p>
    <w:p w14:paraId="45F3C206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参见《配置管理程序》。</w:t>
      </w:r>
    </w:p>
    <w:p w14:paraId="17E26687">
      <w:pPr>
        <w:pStyle w:val="20"/>
        <w:bidi w:val="0"/>
        <w:rPr>
          <w:rFonts w:hint="default"/>
          <w:lang w:val="en-US" w:eastAsia="zh-CN"/>
        </w:rPr>
      </w:pPr>
      <w:bookmarkStart w:id="16" w:name="_Toc21434"/>
      <w:bookmarkStart w:id="17" w:name="_Toc11405"/>
      <w:r>
        <w:rPr>
          <w:rFonts w:hint="default"/>
          <w:lang w:val="en-US" w:eastAsia="zh-CN"/>
        </w:rPr>
        <w:t>关键指标</w:t>
      </w:r>
      <w:bookmarkEnd w:id="16"/>
      <w:bookmarkEnd w:id="17"/>
    </w:p>
    <w:tbl>
      <w:tblPr>
        <w:tblStyle w:val="18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431EE1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1D96E77D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变更成功率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58A37A2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1-(回退变更/变更总数)*100%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季度</w:t>
            </w:r>
          </w:p>
        </w:tc>
      </w:tr>
    </w:tbl>
    <w:p w14:paraId="60974BAE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</w:p>
    <w:p w14:paraId="441516F9">
      <w:pPr>
        <w:pStyle w:val="20"/>
        <w:bidi w:val="0"/>
      </w:pPr>
      <w:bookmarkStart w:id="18" w:name="_Toc18877"/>
      <w:r>
        <w:t>相关文件及模板</w:t>
      </w:r>
      <w:bookmarkEnd w:id="18"/>
    </w:p>
    <w:p w14:paraId="30EE9EEC">
      <w:pPr>
        <w:spacing w:before="270" w:line="220" w:lineRule="auto"/>
        <w:ind w:left="46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《变更请求记录单》</w:t>
      </w:r>
    </w:p>
    <w:p w14:paraId="3AE4111F">
      <w:pPr>
        <w:spacing w:before="182" w:line="220" w:lineRule="auto"/>
        <w:ind w:left="46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《变更实施计划》</w:t>
      </w:r>
    </w:p>
    <w:sectPr>
      <w:footerReference r:id="rId7" w:type="default"/>
      <w:pgSz w:w="11906" w:h="16839"/>
      <w:pgMar w:top="1431" w:right="1785" w:bottom="1373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F9A69">
    <w:pPr>
      <w:spacing w:line="166" w:lineRule="auto"/>
      <w:ind w:left="424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9F8B86">
    <w:pPr>
      <w:spacing w:line="166" w:lineRule="auto"/>
      <w:ind w:left="410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2BD122">
    <w:pPr>
      <w:spacing w:line="165" w:lineRule="auto"/>
      <w:ind w:left="4109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FAEC57B"/>
    <w:multiLevelType w:val="singleLevel"/>
    <w:tmpl w:val="BFAEC5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F9275B50"/>
    <w:multiLevelType w:val="singleLevel"/>
    <w:tmpl w:val="F9275B5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DC66C4C"/>
    <w:multiLevelType w:val="singleLevel"/>
    <w:tmpl w:val="1DC66C4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385FDD48"/>
    <w:multiLevelType w:val="singleLevel"/>
    <w:tmpl w:val="385FDD4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98E3A7F"/>
    <w:rsid w:val="0A6749FB"/>
    <w:rsid w:val="108F3FC5"/>
    <w:rsid w:val="12324FEA"/>
    <w:rsid w:val="13CE4373"/>
    <w:rsid w:val="14A702C2"/>
    <w:rsid w:val="216B6728"/>
    <w:rsid w:val="2C256683"/>
    <w:rsid w:val="2C66290D"/>
    <w:rsid w:val="34A26058"/>
    <w:rsid w:val="3C221C81"/>
    <w:rsid w:val="3F80388E"/>
    <w:rsid w:val="40420B44"/>
    <w:rsid w:val="40ED7578"/>
    <w:rsid w:val="432307B8"/>
    <w:rsid w:val="451F26A8"/>
    <w:rsid w:val="4803505C"/>
    <w:rsid w:val="4D0C6761"/>
    <w:rsid w:val="4D3857A8"/>
    <w:rsid w:val="4D9421CF"/>
    <w:rsid w:val="5AE14D89"/>
    <w:rsid w:val="5D8D0DEF"/>
    <w:rsid w:val="5F6940CF"/>
    <w:rsid w:val="634B193A"/>
    <w:rsid w:val="635A392B"/>
    <w:rsid w:val="63643E14"/>
    <w:rsid w:val="63E07551"/>
    <w:rsid w:val="6639016F"/>
    <w:rsid w:val="66996E60"/>
    <w:rsid w:val="6BE648F5"/>
    <w:rsid w:val="70781894"/>
    <w:rsid w:val="70BF3967"/>
    <w:rsid w:val="73781BAB"/>
    <w:rsid w:val="73AF7CC3"/>
    <w:rsid w:val="74C90910"/>
    <w:rsid w:val="789631FF"/>
    <w:rsid w:val="7BC719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1889</Words>
  <Characters>2026</Characters>
  <TotalTime>0</TotalTime>
  <ScaleCrop>false</ScaleCrop>
  <LinksUpToDate>false</LinksUpToDate>
  <CharactersWithSpaces>2132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2025-08-21T04:44:00Z</dcterms:created>
  <dc:creator>谢永刚</dc:creator>
  <cp:lastModifiedBy>郝宇</cp:lastModifiedBy>
  <dcterms:modified xsi:type="dcterms:W3CDTF">2025-08-27T04:23:26Z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2025-08-27T12:07:04Z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FD93EBC202A64712BBBF760EBCC88998_12</vt:lpwstr>
  </property>
</Properties>
</file>