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5DE04D">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服务可用性和业务连续性管理制度</w:t>
      </w:r>
    </w:p>
    <w:p w14:paraId="59AC3876">
      <w:pPr>
        <w:pStyle w:val="12"/>
        <w:spacing w:line="259" w:lineRule="auto"/>
      </w:pPr>
    </w:p>
    <w:p w14:paraId="152AD3D0">
      <w:pPr>
        <w:pStyle w:val="12"/>
        <w:spacing w:line="259" w:lineRule="auto"/>
      </w:pPr>
    </w:p>
    <w:p w14:paraId="458DFB29">
      <w:pPr>
        <w:pStyle w:val="12"/>
        <w:spacing w:line="259" w:lineRule="auto"/>
      </w:pPr>
    </w:p>
    <w:p w14:paraId="6A0693C4">
      <w:pPr>
        <w:pStyle w:val="12"/>
        <w:spacing w:line="259" w:lineRule="auto"/>
      </w:pPr>
    </w:p>
    <w:p w14:paraId="3C52D6EF">
      <w:pPr>
        <w:pStyle w:val="12"/>
        <w:spacing w:line="259" w:lineRule="auto"/>
      </w:pPr>
    </w:p>
    <w:p w14:paraId="25486F98">
      <w:pPr>
        <w:spacing w:line="1293" w:lineRule="exact"/>
        <w:jc w:val="center"/>
      </w:pPr>
    </w:p>
    <w:p w14:paraId="78957DD8">
      <w:pPr>
        <w:pStyle w:val="12"/>
        <w:spacing w:line="245" w:lineRule="auto"/>
      </w:pPr>
    </w:p>
    <w:p w14:paraId="6BBC0FD4">
      <w:pPr>
        <w:pStyle w:val="12"/>
        <w:spacing w:line="245" w:lineRule="auto"/>
      </w:pPr>
    </w:p>
    <w:p w14:paraId="7F64B495">
      <w:pPr>
        <w:pStyle w:val="12"/>
        <w:spacing w:line="245" w:lineRule="auto"/>
      </w:pPr>
    </w:p>
    <w:p w14:paraId="1A640343">
      <w:pPr>
        <w:pStyle w:val="12"/>
        <w:spacing w:line="245" w:lineRule="auto"/>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10"/>
                    <a:stretch>
                      <a:fillRect/>
                    </a:stretch>
                  </pic:blipFill>
                  <pic:spPr>
                    <a:xfrm>
                      <a:off x="0" y="0"/>
                      <a:ext cx="2757599" cy="820799"/>
                    </a:xfrm>
                    <a:prstGeom prst="rect">
                      <a:avLst/>
                    </a:prstGeom>
                  </pic:spPr>
                </pic:pic>
              </a:graphicData>
            </a:graphic>
          </wp:inline>
        </w:drawing>
      </w:r>
    </w:p>
    <w:p w14:paraId="7FE8C939">
      <w:pPr>
        <w:pStyle w:val="12"/>
        <w:spacing w:line="245" w:lineRule="auto"/>
      </w:pPr>
    </w:p>
    <w:p w14:paraId="4BC21E39">
      <w:pPr>
        <w:pStyle w:val="12"/>
        <w:spacing w:line="245" w:lineRule="auto"/>
      </w:pPr>
    </w:p>
    <w:p w14:paraId="11404F06">
      <w:pPr>
        <w:pStyle w:val="12"/>
        <w:spacing w:line="245" w:lineRule="auto"/>
      </w:pPr>
    </w:p>
    <w:p w14:paraId="705D17E1">
      <w:pPr>
        <w:pStyle w:val="12"/>
        <w:spacing w:line="245" w:lineRule="auto"/>
      </w:pPr>
    </w:p>
    <w:p w14:paraId="7C754496">
      <w:pPr>
        <w:pStyle w:val="12"/>
        <w:spacing w:line="245" w:lineRule="auto"/>
      </w:pPr>
    </w:p>
    <w:p w14:paraId="2FA4378E">
      <w:pPr>
        <w:pStyle w:val="12"/>
        <w:spacing w:line="245" w:lineRule="auto"/>
      </w:pPr>
    </w:p>
    <w:p w14:paraId="77659CE9">
      <w:pPr>
        <w:pStyle w:val="12"/>
        <w:spacing w:line="245" w:lineRule="auto"/>
      </w:pPr>
    </w:p>
    <w:p w14:paraId="098D4285">
      <w:pPr>
        <w:pStyle w:val="12"/>
        <w:spacing w:line="245" w:lineRule="auto"/>
      </w:pPr>
    </w:p>
    <w:p w14:paraId="5FD0A2B7">
      <w:pPr>
        <w:pStyle w:val="12"/>
        <w:spacing w:line="245" w:lineRule="auto"/>
      </w:pPr>
    </w:p>
    <w:p w14:paraId="2A891BC6">
      <w:pPr>
        <w:pStyle w:val="12"/>
        <w:spacing w:line="245" w:lineRule="auto"/>
      </w:pPr>
    </w:p>
    <w:p w14:paraId="4145221C">
      <w:pPr>
        <w:pStyle w:val="12"/>
        <w:spacing w:line="245" w:lineRule="auto"/>
      </w:pPr>
    </w:p>
    <w:p w14:paraId="7B2E6825">
      <w:pPr>
        <w:pStyle w:val="12"/>
        <w:spacing w:line="245" w:lineRule="auto"/>
      </w:pPr>
    </w:p>
    <w:p w14:paraId="4979D3CD">
      <w:pPr>
        <w:spacing w:before="117" w:line="219" w:lineRule="auto"/>
        <w:jc w:val="both"/>
        <w:rPr>
          <w:rFonts w:ascii="宋体" w:hAnsi="宋体" w:eastAsia="宋体" w:cs="宋体"/>
          <w:spacing w:val="-1"/>
          <w:sz w:val="36"/>
          <w:szCs w:val="36"/>
        </w:rPr>
      </w:pPr>
    </w:p>
    <w:p w14:paraId="0672DBBC">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2D0ECCAE">
      <w:pPr>
        <w:spacing w:before="117" w:line="219" w:lineRule="auto"/>
        <w:jc w:val="center"/>
        <w:rPr>
          <w:rFonts w:ascii="宋体" w:hAnsi="宋体" w:eastAsia="宋体" w:cs="宋体"/>
          <w:spacing w:val="-2"/>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r>
        <w:rPr>
          <w:rFonts w:ascii="宋体" w:hAnsi="宋体" w:eastAsia="宋体" w:cs="宋体"/>
          <w:spacing w:val="-2"/>
          <w:sz w:val="36"/>
          <w:szCs w:val="36"/>
        </w:rPr>
        <w:br w:type="page"/>
      </w:r>
    </w:p>
    <w:p w14:paraId="7F978779">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21DF5763">
      <w:pPr>
        <w:spacing w:line="16" w:lineRule="exact"/>
      </w:pPr>
    </w:p>
    <w:tbl>
      <w:tblPr>
        <w:tblStyle w:val="26"/>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00EBB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A6B082E">
            <w:pPr>
              <w:pStyle w:val="27"/>
              <w:spacing w:before="199" w:line="220" w:lineRule="auto"/>
              <w:ind w:left="225"/>
            </w:pPr>
            <w:r>
              <w:rPr>
                <w:spacing w:val="-2"/>
              </w:rPr>
              <w:t>文档名称编号</w:t>
            </w:r>
          </w:p>
        </w:tc>
        <w:tc>
          <w:tcPr>
            <w:tcW w:w="7367" w:type="dxa"/>
            <w:gridSpan w:val="4"/>
            <w:vAlign w:val="top"/>
          </w:tcPr>
          <w:p w14:paraId="55EBD317">
            <w:pPr>
              <w:pStyle w:val="27"/>
              <w:spacing w:before="200" w:line="218" w:lineRule="auto"/>
              <w:ind w:left="108"/>
            </w:pPr>
            <w:r>
              <w:rPr>
                <w:rFonts w:hint="eastAsia" w:eastAsia="宋体"/>
                <w:spacing w:val="-1"/>
                <w:lang w:val="en-US" w:eastAsia="zh-CN"/>
              </w:rPr>
              <w:t>服务可用性和业务连续性管理</w:t>
            </w:r>
            <w:r>
              <w:rPr>
                <w:rFonts w:hint="eastAsia"/>
                <w:spacing w:val="-1"/>
                <w:lang w:val="en-US" w:eastAsia="zh-CN"/>
              </w:rPr>
              <w:t>制度</w:t>
            </w:r>
            <w:r>
              <w:rPr>
                <w:spacing w:val="-1"/>
              </w:rPr>
              <w:t>（HHLC-ITSS-</w:t>
            </w:r>
            <w:r>
              <w:rPr>
                <w:rFonts w:hint="eastAsia" w:eastAsia="宋体"/>
                <w:spacing w:val="-1"/>
                <w:lang w:val="en-US" w:eastAsia="zh-CN"/>
              </w:rPr>
              <w:t>FWKYX/YWLXX</w:t>
            </w:r>
            <w:r>
              <w:rPr>
                <w:spacing w:val="-1"/>
              </w:rPr>
              <w:t>）</w:t>
            </w:r>
          </w:p>
        </w:tc>
      </w:tr>
      <w:tr w14:paraId="0F6C5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AD40353">
            <w:pPr>
              <w:pStyle w:val="27"/>
              <w:spacing w:before="196" w:line="220" w:lineRule="auto"/>
              <w:ind w:left="435"/>
            </w:pPr>
            <w:r>
              <w:rPr>
                <w:spacing w:val="-2"/>
              </w:rPr>
              <w:t>编制单位</w:t>
            </w:r>
          </w:p>
        </w:tc>
        <w:tc>
          <w:tcPr>
            <w:tcW w:w="7367" w:type="dxa"/>
            <w:gridSpan w:val="4"/>
            <w:vAlign w:val="top"/>
          </w:tcPr>
          <w:p w14:paraId="19F0E04C">
            <w:pPr>
              <w:pStyle w:val="27"/>
              <w:spacing w:before="197" w:line="219" w:lineRule="auto"/>
              <w:ind w:left="108"/>
            </w:pPr>
            <w:r>
              <w:rPr>
                <w:spacing w:val="-1"/>
              </w:rPr>
              <w:t>青岛慧海联创信息技术有限公司</w:t>
            </w:r>
          </w:p>
        </w:tc>
      </w:tr>
      <w:tr w14:paraId="3B77C1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49DA4518">
            <w:pPr>
              <w:pStyle w:val="27"/>
              <w:spacing w:before="199" w:line="219" w:lineRule="auto"/>
              <w:ind w:left="435"/>
            </w:pPr>
            <w:r>
              <w:rPr>
                <w:spacing w:val="-2"/>
              </w:rPr>
              <w:t>文档版本</w:t>
            </w:r>
          </w:p>
        </w:tc>
        <w:tc>
          <w:tcPr>
            <w:tcW w:w="1555" w:type="dxa"/>
            <w:vAlign w:val="top"/>
          </w:tcPr>
          <w:p w14:paraId="53CF1C51">
            <w:pPr>
              <w:pStyle w:val="27"/>
              <w:spacing w:before="199" w:line="219" w:lineRule="auto"/>
              <w:ind w:left="359"/>
            </w:pPr>
            <w:r>
              <w:rPr>
                <w:spacing w:val="-2"/>
              </w:rPr>
              <w:t>版本日期</w:t>
            </w:r>
          </w:p>
        </w:tc>
        <w:tc>
          <w:tcPr>
            <w:tcW w:w="2302" w:type="dxa"/>
            <w:vAlign w:val="top"/>
          </w:tcPr>
          <w:p w14:paraId="55A29AC3">
            <w:pPr>
              <w:pStyle w:val="27"/>
              <w:spacing w:before="199" w:line="219" w:lineRule="auto"/>
              <w:ind w:left="735"/>
            </w:pPr>
            <w:r>
              <w:rPr>
                <w:spacing w:val="-2"/>
              </w:rPr>
              <w:t>版本说明</w:t>
            </w:r>
          </w:p>
        </w:tc>
        <w:tc>
          <w:tcPr>
            <w:tcW w:w="1557" w:type="dxa"/>
            <w:vAlign w:val="top"/>
          </w:tcPr>
          <w:p w14:paraId="3F5C2AB9">
            <w:pPr>
              <w:pStyle w:val="27"/>
              <w:spacing w:before="199" w:line="220" w:lineRule="auto"/>
              <w:ind w:left="575"/>
            </w:pPr>
            <w:r>
              <w:rPr>
                <w:spacing w:val="-3"/>
              </w:rPr>
              <w:t>作者</w:t>
            </w:r>
          </w:p>
        </w:tc>
        <w:tc>
          <w:tcPr>
            <w:tcW w:w="1953" w:type="dxa"/>
            <w:vAlign w:val="top"/>
          </w:tcPr>
          <w:p w14:paraId="4B237AC3">
            <w:pPr>
              <w:pStyle w:val="27"/>
              <w:spacing w:before="199" w:line="220" w:lineRule="auto"/>
              <w:ind w:left="782"/>
            </w:pPr>
            <w:r>
              <w:rPr>
                <w:spacing w:val="-5"/>
              </w:rPr>
              <w:t>审核</w:t>
            </w:r>
          </w:p>
        </w:tc>
      </w:tr>
      <w:tr w14:paraId="5CDADD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44BEBAAD">
            <w:pPr>
              <w:pStyle w:val="27"/>
              <w:spacing w:before="163" w:line="239" w:lineRule="auto"/>
              <w:ind w:left="638"/>
            </w:pPr>
            <w:r>
              <w:rPr>
                <w:spacing w:val="-1"/>
              </w:rPr>
              <w:t>V1.0</w:t>
            </w:r>
          </w:p>
        </w:tc>
        <w:tc>
          <w:tcPr>
            <w:tcW w:w="1555" w:type="dxa"/>
            <w:vAlign w:val="top"/>
          </w:tcPr>
          <w:p w14:paraId="5BECA2F1">
            <w:pPr>
              <w:pStyle w:val="27"/>
              <w:spacing w:before="163"/>
              <w:ind w:left="361"/>
            </w:pPr>
            <w:r>
              <w:rPr>
                <w:spacing w:val="-2"/>
              </w:rPr>
              <w:t>20</w:t>
            </w:r>
            <w:r>
              <w:rPr>
                <w:rFonts w:hint="eastAsia" w:eastAsia="宋体"/>
                <w:spacing w:val="-2"/>
                <w:lang w:val="en-US" w:eastAsia="zh-CN"/>
              </w:rPr>
              <w:t>25</w:t>
            </w:r>
            <w:r>
              <w:rPr>
                <w:spacing w:val="-2"/>
              </w:rPr>
              <w:t>-1-4</w:t>
            </w:r>
          </w:p>
        </w:tc>
        <w:tc>
          <w:tcPr>
            <w:tcW w:w="2302" w:type="dxa"/>
            <w:vAlign w:val="top"/>
          </w:tcPr>
          <w:p w14:paraId="381AB938">
            <w:pPr>
              <w:pStyle w:val="27"/>
              <w:spacing w:before="133" w:line="219" w:lineRule="auto"/>
              <w:ind w:left="738"/>
            </w:pPr>
            <w:r>
              <w:rPr>
                <w:spacing w:val="-3"/>
              </w:rPr>
              <w:t>发布版本</w:t>
            </w:r>
          </w:p>
        </w:tc>
        <w:tc>
          <w:tcPr>
            <w:tcW w:w="1557" w:type="dxa"/>
            <w:vAlign w:val="top"/>
          </w:tcPr>
          <w:p w14:paraId="1A701FDC">
            <w:pPr>
              <w:pStyle w:val="27"/>
              <w:spacing w:before="134" w:line="220" w:lineRule="auto"/>
              <w:ind w:left="480"/>
            </w:pPr>
            <w:r>
              <w:rPr>
                <w:spacing w:val="-5"/>
              </w:rPr>
              <w:t>宫海亭</w:t>
            </w:r>
          </w:p>
        </w:tc>
        <w:tc>
          <w:tcPr>
            <w:tcW w:w="1953" w:type="dxa"/>
            <w:vAlign w:val="top"/>
          </w:tcPr>
          <w:p w14:paraId="60610F23">
            <w:pPr>
              <w:pStyle w:val="27"/>
              <w:spacing w:before="133" w:line="220" w:lineRule="auto"/>
              <w:ind w:left="672"/>
            </w:pPr>
            <w:r>
              <w:rPr>
                <w:spacing w:val="-3"/>
              </w:rPr>
              <w:t>张仲全</w:t>
            </w:r>
          </w:p>
        </w:tc>
      </w:tr>
      <w:tr w14:paraId="308A6D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1055C2FD">
            <w:pPr>
              <w:pStyle w:val="27"/>
              <w:spacing w:before="164" w:line="239" w:lineRule="auto"/>
              <w:ind w:left="638"/>
            </w:pPr>
          </w:p>
        </w:tc>
        <w:tc>
          <w:tcPr>
            <w:tcW w:w="1555" w:type="dxa"/>
            <w:vAlign w:val="top"/>
          </w:tcPr>
          <w:p w14:paraId="34C2C40A">
            <w:pPr>
              <w:pStyle w:val="27"/>
              <w:spacing w:before="164"/>
              <w:ind w:left="361"/>
            </w:pPr>
          </w:p>
        </w:tc>
        <w:tc>
          <w:tcPr>
            <w:tcW w:w="2302" w:type="dxa"/>
            <w:vAlign w:val="top"/>
          </w:tcPr>
          <w:p w14:paraId="3B6237E9">
            <w:pPr>
              <w:pStyle w:val="27"/>
              <w:spacing w:before="134" w:line="219" w:lineRule="auto"/>
              <w:ind w:left="737"/>
            </w:pPr>
          </w:p>
        </w:tc>
        <w:tc>
          <w:tcPr>
            <w:tcW w:w="1557" w:type="dxa"/>
            <w:vAlign w:val="top"/>
          </w:tcPr>
          <w:p w14:paraId="4941C11D">
            <w:pPr>
              <w:pStyle w:val="27"/>
              <w:spacing w:before="135" w:line="220" w:lineRule="auto"/>
              <w:ind w:left="480"/>
            </w:pPr>
          </w:p>
        </w:tc>
        <w:tc>
          <w:tcPr>
            <w:tcW w:w="1953" w:type="dxa"/>
            <w:vAlign w:val="top"/>
          </w:tcPr>
          <w:p w14:paraId="0719077A">
            <w:pPr>
              <w:pStyle w:val="27"/>
              <w:spacing w:before="134" w:line="220" w:lineRule="auto"/>
              <w:ind w:left="672"/>
            </w:pPr>
          </w:p>
        </w:tc>
      </w:tr>
      <w:tr w14:paraId="6FB8F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B8A7CCF">
            <w:pPr>
              <w:pStyle w:val="27"/>
              <w:spacing w:before="165" w:line="239" w:lineRule="auto"/>
              <w:ind w:left="638"/>
            </w:pPr>
          </w:p>
        </w:tc>
        <w:tc>
          <w:tcPr>
            <w:tcW w:w="1555" w:type="dxa"/>
            <w:vAlign w:val="top"/>
          </w:tcPr>
          <w:p w14:paraId="31C1F470">
            <w:pPr>
              <w:pStyle w:val="27"/>
              <w:spacing w:before="165"/>
              <w:ind w:left="361"/>
            </w:pPr>
          </w:p>
        </w:tc>
        <w:tc>
          <w:tcPr>
            <w:tcW w:w="2302" w:type="dxa"/>
            <w:vAlign w:val="top"/>
          </w:tcPr>
          <w:p w14:paraId="61F77492">
            <w:pPr>
              <w:pStyle w:val="27"/>
              <w:spacing w:before="135" w:line="219" w:lineRule="auto"/>
              <w:ind w:left="737"/>
            </w:pPr>
          </w:p>
        </w:tc>
        <w:tc>
          <w:tcPr>
            <w:tcW w:w="1557" w:type="dxa"/>
            <w:vAlign w:val="top"/>
          </w:tcPr>
          <w:p w14:paraId="265EB132">
            <w:pPr>
              <w:pStyle w:val="27"/>
              <w:spacing w:before="136" w:line="220" w:lineRule="auto"/>
              <w:ind w:left="480"/>
            </w:pPr>
          </w:p>
        </w:tc>
        <w:tc>
          <w:tcPr>
            <w:tcW w:w="1953" w:type="dxa"/>
            <w:vAlign w:val="top"/>
          </w:tcPr>
          <w:p w14:paraId="4EBE48EA">
            <w:pPr>
              <w:pStyle w:val="27"/>
              <w:spacing w:before="135" w:line="220" w:lineRule="auto"/>
              <w:ind w:left="672"/>
            </w:pPr>
          </w:p>
        </w:tc>
      </w:tr>
      <w:tr w14:paraId="023FE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4F0F1D1">
            <w:pPr>
              <w:pStyle w:val="27"/>
              <w:spacing w:before="166" w:line="239" w:lineRule="auto"/>
              <w:ind w:left="638"/>
            </w:pPr>
          </w:p>
        </w:tc>
        <w:tc>
          <w:tcPr>
            <w:tcW w:w="1555" w:type="dxa"/>
            <w:vAlign w:val="top"/>
          </w:tcPr>
          <w:p w14:paraId="17743274">
            <w:pPr>
              <w:pStyle w:val="27"/>
              <w:spacing w:before="166"/>
              <w:ind w:left="361"/>
            </w:pPr>
          </w:p>
        </w:tc>
        <w:tc>
          <w:tcPr>
            <w:tcW w:w="2302" w:type="dxa"/>
            <w:vAlign w:val="top"/>
          </w:tcPr>
          <w:p w14:paraId="3E0265D2">
            <w:pPr>
              <w:pStyle w:val="27"/>
              <w:spacing w:before="136" w:line="219" w:lineRule="auto"/>
              <w:ind w:left="737"/>
            </w:pPr>
          </w:p>
        </w:tc>
        <w:tc>
          <w:tcPr>
            <w:tcW w:w="1557" w:type="dxa"/>
            <w:vAlign w:val="top"/>
          </w:tcPr>
          <w:p w14:paraId="6FD79439">
            <w:pPr>
              <w:pStyle w:val="27"/>
              <w:spacing w:before="137" w:line="220" w:lineRule="auto"/>
              <w:ind w:left="480"/>
            </w:pPr>
          </w:p>
        </w:tc>
        <w:tc>
          <w:tcPr>
            <w:tcW w:w="1953" w:type="dxa"/>
            <w:vAlign w:val="top"/>
          </w:tcPr>
          <w:p w14:paraId="49D5DED3">
            <w:pPr>
              <w:pStyle w:val="27"/>
              <w:spacing w:before="136" w:line="220" w:lineRule="auto"/>
              <w:ind w:left="672"/>
            </w:pPr>
          </w:p>
        </w:tc>
      </w:tr>
      <w:tr w14:paraId="52643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704" w:type="dxa"/>
            <w:vAlign w:val="top"/>
          </w:tcPr>
          <w:p w14:paraId="2DC72D81">
            <w:pPr>
              <w:rPr>
                <w:rFonts w:ascii="Arial"/>
                <w:sz w:val="21"/>
              </w:rPr>
            </w:pPr>
          </w:p>
        </w:tc>
        <w:tc>
          <w:tcPr>
            <w:tcW w:w="1555" w:type="dxa"/>
            <w:vAlign w:val="top"/>
          </w:tcPr>
          <w:p w14:paraId="4C9F263F">
            <w:pPr>
              <w:rPr>
                <w:rFonts w:ascii="Arial"/>
                <w:sz w:val="21"/>
              </w:rPr>
            </w:pPr>
          </w:p>
        </w:tc>
        <w:tc>
          <w:tcPr>
            <w:tcW w:w="2302" w:type="dxa"/>
            <w:vAlign w:val="top"/>
          </w:tcPr>
          <w:p w14:paraId="1B3AD6AD">
            <w:pPr>
              <w:rPr>
                <w:rFonts w:ascii="Arial"/>
                <w:sz w:val="21"/>
              </w:rPr>
            </w:pPr>
          </w:p>
        </w:tc>
        <w:tc>
          <w:tcPr>
            <w:tcW w:w="1557" w:type="dxa"/>
            <w:vAlign w:val="top"/>
          </w:tcPr>
          <w:p w14:paraId="4B64E17D">
            <w:pPr>
              <w:rPr>
                <w:rFonts w:ascii="Arial"/>
                <w:sz w:val="21"/>
              </w:rPr>
            </w:pPr>
          </w:p>
        </w:tc>
        <w:tc>
          <w:tcPr>
            <w:tcW w:w="1953" w:type="dxa"/>
            <w:vAlign w:val="top"/>
          </w:tcPr>
          <w:p w14:paraId="3D3169EB">
            <w:pPr>
              <w:rPr>
                <w:rFonts w:ascii="Arial"/>
                <w:sz w:val="21"/>
              </w:rPr>
            </w:pPr>
          </w:p>
        </w:tc>
      </w:tr>
    </w:tbl>
    <w:p w14:paraId="3A37C659">
      <w:pPr>
        <w:rPr>
          <w:rFonts w:ascii="Times New Roman" w:hAnsi="Times New Roman" w:eastAsia="Times New Roman" w:cs="Times New Roman"/>
          <w:b/>
          <w:bCs/>
          <w:spacing w:val="-19"/>
          <w:sz w:val="28"/>
          <w:szCs w:val="28"/>
        </w:rPr>
      </w:pPr>
      <w:r>
        <w:rPr>
          <w:rFonts w:ascii="Times New Roman" w:hAnsi="Times New Roman" w:eastAsia="Times New Roman" w:cs="Times New Roman"/>
          <w:b/>
          <w:bCs/>
          <w:spacing w:val="-19"/>
          <w:sz w:val="28"/>
          <w:szCs w:val="28"/>
        </w:rPr>
        <w:br w:type="page"/>
      </w:r>
    </w:p>
    <w:p w14:paraId="4AE05360">
      <w:pPr>
        <w:pStyle w:val="28"/>
        <w:bidi w:val="0"/>
      </w:pPr>
      <w:r>
        <w:t>目的</w:t>
      </w:r>
    </w:p>
    <w:p w14:paraId="1B41F45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为确保公司核心IT服务在面临各种中断性事件（如硬件故障、自然灾害、网络攻击、人为错误等）时，能够保持预定的可用性水平，并能够快速、有效地恢复，最大限度地减少对业务运营的影响和损失，特制定本制度。</w:t>
      </w:r>
    </w:p>
    <w:p w14:paraId="59DFCA96">
      <w:pPr>
        <w:spacing w:line="352" w:lineRule="auto"/>
        <w:rPr>
          <w:rFonts w:ascii="Arial"/>
          <w:sz w:val="21"/>
        </w:rPr>
      </w:pPr>
    </w:p>
    <w:p w14:paraId="05D63FAB">
      <w:pPr>
        <w:pStyle w:val="28"/>
        <w:bidi w:val="0"/>
      </w:pPr>
      <w:bookmarkStart w:id="0" w:name="bookmark4"/>
      <w:bookmarkEnd w:id="0"/>
      <w:bookmarkStart w:id="1" w:name="bookmark5"/>
      <w:bookmarkEnd w:id="1"/>
      <w:r>
        <w:t>范围</w:t>
      </w:r>
    </w:p>
    <w:p w14:paraId="076CFC0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本程序适用于为满足服务预定可用性目标</w:t>
      </w:r>
      <w:r>
        <w:rPr>
          <w:rFonts w:hint="eastAsia" w:ascii="宋体" w:hAnsi="宋体" w:eastAsia="宋体" w:cs="宋体"/>
          <w:spacing w:val="-3"/>
          <w:sz w:val="24"/>
          <w:szCs w:val="24"/>
          <w:lang w:val="en-US" w:eastAsia="zh-CN"/>
        </w:rPr>
        <w:t>和连续性目标</w:t>
      </w:r>
      <w:r>
        <w:rPr>
          <w:rFonts w:ascii="宋体" w:hAnsi="宋体" w:eastAsia="宋体" w:cs="宋体"/>
          <w:spacing w:val="-3"/>
          <w:sz w:val="24"/>
          <w:szCs w:val="24"/>
        </w:rPr>
        <w:t>所进行的管理。</w:t>
      </w:r>
    </w:p>
    <w:p w14:paraId="7071AAEC">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所有新增运维服务以及当前已经签订服务级别需求（SLR）和服务级别协议（SLA）的运维服务；</w:t>
      </w:r>
    </w:p>
    <w:p w14:paraId="5598A29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3.</w:t>
      </w:r>
      <w:r>
        <w:rPr>
          <w:rFonts w:ascii="宋体" w:hAnsi="宋体" w:eastAsia="宋体" w:cs="宋体"/>
          <w:spacing w:val="-3"/>
          <w:sz w:val="24"/>
          <w:szCs w:val="24"/>
        </w:rPr>
        <w:t>那些不一定签订正式的《服务级别协议》但对组织业务却极为关键的运维服务；</w:t>
      </w:r>
    </w:p>
    <w:p w14:paraId="7299497B">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4.</w:t>
      </w:r>
      <w:r>
        <w:rPr>
          <w:rFonts w:ascii="宋体" w:hAnsi="宋体" w:eastAsia="宋体" w:cs="宋体"/>
          <w:spacing w:val="-3"/>
          <w:sz w:val="24"/>
          <w:szCs w:val="24"/>
        </w:rPr>
        <w:t>可能影响可用性的IT基础设施和IT支持部门的所有方面，包括培训、政策、流程的有效性</w:t>
      </w:r>
      <w:r>
        <w:rPr>
          <w:rFonts w:hint="eastAsia" w:ascii="宋体" w:hAnsi="宋体" w:eastAsia="宋体" w:cs="宋体"/>
          <w:spacing w:val="-3"/>
          <w:sz w:val="24"/>
          <w:szCs w:val="24"/>
          <w:lang w:val="en-US" w:eastAsia="zh-CN"/>
        </w:rPr>
        <w:t>以及</w:t>
      </w:r>
      <w:r>
        <w:rPr>
          <w:rFonts w:ascii="宋体" w:hAnsi="宋体" w:eastAsia="宋体" w:cs="宋体"/>
          <w:spacing w:val="-3"/>
          <w:sz w:val="24"/>
          <w:szCs w:val="24"/>
        </w:rPr>
        <w:t>程序和工具等。</w:t>
      </w:r>
    </w:p>
    <w:p w14:paraId="1C9E8C4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5.导致连续性发生的条件:</w:t>
      </w:r>
      <w:r>
        <w:rPr>
          <w:rFonts w:ascii="宋体" w:hAnsi="宋体" w:eastAsia="宋体" w:cs="宋体"/>
          <w:spacing w:val="-3"/>
          <w:sz w:val="24"/>
          <w:szCs w:val="24"/>
        </w:rPr>
        <w:t>包括火灾、大规模断电、硬件瘫痪、自然灾害、失窃、暴力破坏、人力资源危机等意外事件，可能中断运维服务并且影响组织的正常业务运营，最终导致业务损失。</w:t>
      </w:r>
    </w:p>
    <w:p w14:paraId="6D448AC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p>
    <w:p w14:paraId="009C3845">
      <w:pPr>
        <w:pStyle w:val="28"/>
        <w:bidi w:val="0"/>
      </w:pPr>
      <w:bookmarkStart w:id="2" w:name="bookmark6"/>
      <w:bookmarkEnd w:id="2"/>
      <w:bookmarkStart w:id="3" w:name="bookmark7"/>
      <w:bookmarkEnd w:id="3"/>
      <w:r>
        <w:t>定义</w:t>
      </w:r>
    </w:p>
    <w:p w14:paraId="54FB40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可用性：可用性是指一个组件或一种服务在设定的某个时刻或某段时间内发挥其应用功能的能力，因此，高可用性意味着服务对客户是持续可用的，宕机时间少且可迅速恢复，表示方法：</w:t>
      </w:r>
    </w:p>
    <w:p w14:paraId="303ABCF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用绝对数来表示，如可用时段为 8：00 到 18：00；</w:t>
      </w:r>
    </w:p>
    <w:p w14:paraId="00BE53D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用相对数来表示，如平均可用性级别最低为99%;</w:t>
      </w:r>
    </w:p>
    <w:p w14:paraId="29F5EFC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两者的结合，如在开发时间内平均可用性级别为99％。</w:t>
      </w:r>
    </w:p>
    <w:p w14:paraId="65FD09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决定因素：</w:t>
      </w:r>
    </w:p>
    <w:p w14:paraId="2693483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（A）IT 基础架构的复杂程度；</w:t>
      </w:r>
    </w:p>
    <w:p w14:paraId="5708938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（B）快捷有效地对故障作出反应的能力；</w:t>
      </w:r>
    </w:p>
    <w:p w14:paraId="07375F0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（C）组件的可靠性；</w:t>
      </w:r>
    </w:p>
    <w:p w14:paraId="77B8389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（D）运营级管理流程的质量和范围；</w:t>
      </w:r>
    </w:p>
    <w:p w14:paraId="595E93D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（E）由支持部门和供应商提供的维护的质量；</w:t>
      </w:r>
    </w:p>
    <w:p w14:paraId="29FCFE7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（F）IT 基础架构的弹性。</w:t>
      </w:r>
    </w:p>
    <w:p w14:paraId="4941DA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hint="eastAsia" w:eastAsia="宋体"/>
          <w:lang w:eastAsia="zh-CN"/>
        </w:rPr>
      </w:pPr>
      <w:bookmarkStart w:id="4" w:name="bookmark8"/>
      <w:bookmarkEnd w:id="4"/>
      <w:bookmarkStart w:id="5" w:name="bookmark9"/>
      <w:bookmarkEnd w:id="5"/>
      <w:r>
        <w:rPr>
          <w:rFonts w:ascii="宋体" w:hAnsi="宋体" w:eastAsia="宋体" w:cs="宋体"/>
          <w:spacing w:val="-3"/>
          <w:sz w:val="24"/>
          <w:szCs w:val="24"/>
        </w:rPr>
        <w:t>业务连续性</w:t>
      </w:r>
      <w:r>
        <w:rPr>
          <w:rFonts w:hint="eastAsia" w:ascii="宋体" w:hAnsi="宋体" w:eastAsia="宋体" w:cs="宋体"/>
          <w:spacing w:val="-3"/>
          <w:sz w:val="24"/>
          <w:szCs w:val="24"/>
          <w:lang w:eastAsia="zh-CN"/>
        </w:rPr>
        <w:t>：</w:t>
      </w:r>
      <w:r>
        <w:rPr>
          <w:rFonts w:ascii="宋体" w:hAnsi="宋体" w:eastAsia="宋体" w:cs="宋体"/>
          <w:spacing w:val="-3"/>
          <w:sz w:val="24"/>
          <w:szCs w:val="24"/>
        </w:rPr>
        <w:t>是一个综合性的管理过程，它旨在识别组织所面临的潜在威胁，以及这些威胁一旦发生对业务运营可能带来的冲击，并为此建立有效的响应框架和恢复能力，以保护关键利益相关方的利益、保障核心业务功能的持续运作，并维护组织的声誉和品牌价值</w:t>
      </w:r>
      <w:r>
        <w:rPr>
          <w:rFonts w:hint="eastAsia" w:ascii="宋体" w:hAnsi="宋体" w:eastAsia="宋体" w:cs="宋体"/>
          <w:spacing w:val="-3"/>
          <w:sz w:val="24"/>
          <w:szCs w:val="24"/>
          <w:lang w:eastAsia="zh-CN"/>
        </w:rPr>
        <w:t>。</w:t>
      </w:r>
    </w:p>
    <w:p w14:paraId="7872A2B7">
      <w:pPr>
        <w:pStyle w:val="28"/>
        <w:bidi w:val="0"/>
      </w:pPr>
      <w:r>
        <w:t>职责</w:t>
      </w:r>
    </w:p>
    <w:p w14:paraId="6F7A2AD7">
      <w:pPr>
        <w:pStyle w:val="29"/>
        <w:bidi w:val="0"/>
      </w:pPr>
      <w:r>
        <w:t>运维</w:t>
      </w:r>
      <w:r>
        <w:rPr>
          <w:rFonts w:hint="eastAsia"/>
          <w:lang w:val="en-US" w:eastAsia="zh-CN"/>
        </w:rPr>
        <w:t>服务</w:t>
      </w:r>
      <w:r>
        <w:t>部：</w:t>
      </w:r>
    </w:p>
    <w:p w14:paraId="67496B6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确保运维服务在经过设计后，实际的服务级别（以可用性、可靠性、可服务性、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CB4B7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撰写可用性报告；</w:t>
      </w:r>
    </w:p>
    <w:p w14:paraId="1D94F9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3.</w:t>
      </w:r>
      <w:r>
        <w:rPr>
          <w:rFonts w:ascii="宋体" w:hAnsi="宋体" w:eastAsia="宋体" w:cs="宋体"/>
          <w:spacing w:val="-3"/>
          <w:sz w:val="24"/>
          <w:szCs w:val="24"/>
        </w:rPr>
        <w:t>优化IT基础架构的可用性，从而为提供给企业的服务实施成本合理的改进。</w:t>
      </w:r>
    </w:p>
    <w:p w14:paraId="7481A7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2"/>
          <w:sz w:val="24"/>
          <w:szCs w:val="24"/>
          <w:lang w:val="en-US" w:eastAsia="zh-CN"/>
        </w:rPr>
        <w:t>4.</w:t>
      </w:r>
      <w:r>
        <w:rPr>
          <w:rFonts w:ascii="宋体" w:hAnsi="宋体" w:eastAsia="宋体" w:cs="宋体"/>
          <w:spacing w:val="-2"/>
          <w:sz w:val="24"/>
          <w:szCs w:val="24"/>
        </w:rPr>
        <w:t>实施和维护运维服务服务过程中的连续性管理，根据风险评估结果，制定并管理连续性计划</w:t>
      </w:r>
    </w:p>
    <w:p w14:paraId="724B1A96">
      <w:pPr>
        <w:pStyle w:val="28"/>
        <w:bidi w:val="0"/>
      </w:pPr>
      <w:bookmarkStart w:id="6" w:name="bookmark11"/>
      <w:bookmarkEnd w:id="6"/>
      <w:bookmarkStart w:id="7" w:name="bookmark10"/>
      <w:bookmarkEnd w:id="7"/>
      <w:r>
        <w:t>流程</w:t>
      </w:r>
    </w:p>
    <w:p w14:paraId="0BF5B370">
      <w:pPr>
        <w:pStyle w:val="29"/>
        <w:bidi w:val="0"/>
        <w:rPr>
          <w:rFonts w:hint="default"/>
          <w:lang w:val="en-US" w:eastAsia="zh-CN"/>
        </w:rPr>
      </w:pPr>
      <w:r>
        <w:rPr>
          <w:rFonts w:hint="eastAsia"/>
          <w:lang w:val="en-US" w:eastAsia="zh-CN"/>
        </w:rPr>
        <w:t>服务可用性</w:t>
      </w:r>
    </w:p>
    <w:p w14:paraId="45238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一旦客户确定了一项服务的可用性要求，运维管理部就可以确定一系列输入要求，以满足要求的服务级别。</w:t>
      </w:r>
    </w:p>
    <w:p w14:paraId="0560D621">
      <w:pPr>
        <w:pStyle w:val="30"/>
        <w:bidi w:val="0"/>
      </w:pPr>
      <w:bookmarkStart w:id="8" w:name="bookmark15"/>
      <w:bookmarkEnd w:id="8"/>
      <w:bookmarkStart w:id="9" w:name="bookmark12"/>
      <w:bookmarkEnd w:id="9"/>
      <w:bookmarkStart w:id="10" w:name="bookmark14"/>
      <w:bookmarkEnd w:id="10"/>
      <w:bookmarkStart w:id="11" w:name="bookmark13"/>
      <w:bookmarkEnd w:id="11"/>
      <w:r>
        <w:t>识别可用性需求</w:t>
      </w:r>
    </w:p>
    <w:p w14:paraId="1915A3D4">
      <w:pPr>
        <w:pStyle w:val="5"/>
        <w:bidi w:val="0"/>
      </w:pPr>
      <w:r>
        <w:t>需求识别时间</w:t>
      </w:r>
    </w:p>
    <w:p w14:paraId="429C6388">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在签订《服务级别协议》之前进行；</w:t>
      </w:r>
    </w:p>
    <w:p w14:paraId="7589C7F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需考虑新的运维服务和需要对现有服务作出的变更两个方面；</w:t>
      </w:r>
    </w:p>
    <w:p w14:paraId="2D803378">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应当在尽可能早的阶段确定是否能够满足这些需求以及怎样满足这些需求。</w:t>
      </w:r>
    </w:p>
    <w:p w14:paraId="2D65336F">
      <w:pPr>
        <w:spacing w:line="471" w:lineRule="auto"/>
        <w:rPr>
          <w:rFonts w:ascii="Arial"/>
          <w:sz w:val="21"/>
        </w:rPr>
      </w:pPr>
    </w:p>
    <w:p w14:paraId="671B5B95">
      <w:pPr>
        <w:pStyle w:val="5"/>
        <w:bidi w:val="0"/>
      </w:pPr>
      <w:bookmarkStart w:id="12" w:name="bookmark17"/>
      <w:bookmarkEnd w:id="12"/>
      <w:bookmarkStart w:id="13" w:name="bookmark16"/>
      <w:bookmarkEnd w:id="13"/>
      <w:bookmarkStart w:id="14" w:name="bookmark18"/>
      <w:bookmarkEnd w:id="14"/>
      <w:bookmarkStart w:id="15" w:name="bookmark19"/>
      <w:bookmarkEnd w:id="15"/>
      <w:r>
        <w:t>需求识别应考虑内容</w:t>
      </w:r>
    </w:p>
    <w:p w14:paraId="1514ED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690187E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5B4D14C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bookmarkStart w:id="16" w:name="bookmark43"/>
      <w:bookmarkEnd w:id="16"/>
      <w:r>
        <w:rPr>
          <w:rFonts w:ascii="宋体" w:hAnsi="宋体" w:eastAsia="宋体" w:cs="宋体"/>
          <w:spacing w:val="-3"/>
          <w:sz w:val="24"/>
          <w:szCs w:val="24"/>
        </w:rPr>
        <w:t>可量化的可用性需求；</w:t>
      </w:r>
    </w:p>
    <w:p w14:paraId="76E4193B">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47CFDD99">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258CADC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0E8A3D9A">
      <w:pPr>
        <w:pStyle w:val="30"/>
        <w:bidi w:val="0"/>
      </w:pPr>
      <w:r>
        <w:t>可用性设计</w:t>
      </w:r>
    </w:p>
    <w:p w14:paraId="7DCF983A">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那些影响可用性标准的薄弱环节应当尽早得到确认。这将有助于防止额外的开发成本、计划外的后期支出、单点故障、供应商收取的额外成本以及延迟的发布等情况发生。</w:t>
      </w:r>
    </w:p>
    <w:p w14:paraId="10AD5BC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46F9EC8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如果可用性标准不能够实现，最好的选择是确认设计是否可以进一步改进。</w:t>
      </w:r>
    </w:p>
    <w:p w14:paraId="30992ECB">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4</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4BBEE132">
      <w:pPr>
        <w:pStyle w:val="30"/>
        <w:bidi w:val="0"/>
      </w:pPr>
      <w:bookmarkStart w:id="17" w:name="bookmark21"/>
      <w:bookmarkEnd w:id="17"/>
      <w:bookmarkStart w:id="18" w:name="bookmark20"/>
      <w:bookmarkEnd w:id="18"/>
      <w:r>
        <w:t>恢复方案设计</w:t>
      </w:r>
    </w:p>
    <w:p w14:paraId="562DBF2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确保运维服务故障发生后，运维服务能在最短的时间内得以恢复以使正常的业务运营继续进行；</w:t>
      </w:r>
    </w:p>
    <w:p w14:paraId="068D7959">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构建一个对故障具有高度弹性的IT基础设施即使不是不太可能，也可能会造成成本过于高昂；因此，在给定的成本约束下，IT基础设施满足可用性需求的能力常常取决于可以对运维服务故障进行及时有效恢复的能力。</w:t>
      </w:r>
    </w:p>
    <w:p w14:paraId="4A57460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设计恢复方案考虑因素：</w:t>
      </w:r>
    </w:p>
    <w:p w14:paraId="7777576C">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6570491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E10187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4</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安全性问题</w:t>
      </w:r>
    </w:p>
    <w:p w14:paraId="12592E4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2D7676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bookmarkStart w:id="19" w:name="bookmark44"/>
      <w:bookmarkEnd w:id="19"/>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3CECF5C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70AA7638">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6013E63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1E2C5A8E">
      <w:pPr>
        <w:pStyle w:val="30"/>
        <w:bidi w:val="0"/>
      </w:pPr>
      <w:bookmarkStart w:id="20" w:name="bookmark22"/>
      <w:bookmarkEnd w:id="20"/>
      <w:bookmarkStart w:id="21" w:name="bookmark23"/>
      <w:bookmarkEnd w:id="21"/>
      <w:r>
        <w:t>维护管理</w:t>
      </w:r>
    </w:p>
    <w:p w14:paraId="1A358923">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IT组件都必须按照计划进行有关维护活动。有计划的维护活动可以使IT支持部门能够：</w:t>
      </w:r>
    </w:p>
    <w:p w14:paraId="7BE898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实施预防性维护以避免故障的发生；</w:t>
      </w:r>
    </w:p>
    <w:p w14:paraId="5112C348">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4AE876A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2AFEAA2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1B7DF8FB">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5.4.2计划性维护活动涉及的首要问题是计划停机时间。</w:t>
      </w:r>
    </w:p>
    <w:p w14:paraId="69CE784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5.4.3在确定新增或改进后的运维服务的可用性需求时，需要明确计划性维护所需的停机时间以及由此导致的收入方面的损失。</w:t>
      </w:r>
    </w:p>
    <w:p w14:paraId="50131C9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5.4.4在运维服务1天24小时或一周7天都必须正常运作的情况下，可用性管理就必须在权衡计划停机时间需求和相应的业务损失之后确定最优的维护方案。</w:t>
      </w:r>
    </w:p>
    <w:p w14:paraId="2B726E6E">
      <w:pPr>
        <w:pStyle w:val="30"/>
        <w:bidi w:val="0"/>
      </w:pPr>
      <w:bookmarkStart w:id="22" w:name="bookmark24"/>
      <w:bookmarkEnd w:id="22"/>
      <w:bookmarkStart w:id="23" w:name="bookmark25"/>
      <w:bookmarkEnd w:id="23"/>
      <w:r>
        <w:t>制定《可用性计划》</w:t>
      </w:r>
    </w:p>
    <w:p w14:paraId="60FDF5AB">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eastAsia="zh-CN"/>
        </w:rPr>
        <w:t>.</w:t>
      </w:r>
      <w:r>
        <w:rPr>
          <w:rFonts w:ascii="宋体" w:hAnsi="宋体" w:eastAsia="宋体" w:cs="宋体"/>
          <w:spacing w:val="-3"/>
          <w:sz w:val="24"/>
          <w:szCs w:val="24"/>
        </w:rPr>
        <w:t>为有效地实施有关可用性管理活动以改进IT组件及服务的可用性，必须制定明确的《可用性计划》。</w:t>
      </w:r>
    </w:p>
    <w:p w14:paraId="299D9E1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eastAsia="zh-CN"/>
        </w:rPr>
        <w:t>.</w:t>
      </w:r>
      <w:r>
        <w:rPr>
          <w:rFonts w:ascii="宋体" w:hAnsi="宋体" w:eastAsia="宋体" w:cs="宋体"/>
          <w:spacing w:val="-3"/>
          <w:sz w:val="24"/>
          <w:szCs w:val="24"/>
        </w:rPr>
        <w:t>《可用性计划》不仅需要关注技术方面的问题，还应对可用性管理的人员、流程、工具和技巧等方面进行考虑。在可用性管理的初始阶段，可用性计划与实施通常是紧密结合进行的，但这两者却又是不同的，不能将它们混淆。</w:t>
      </w:r>
    </w:p>
    <w:p w14:paraId="1E38C0A9">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eastAsia="zh-CN"/>
        </w:rPr>
        <w:t>.</w:t>
      </w:r>
      <w:r>
        <w:rPr>
          <w:rFonts w:ascii="宋体" w:hAnsi="宋体" w:eastAsia="宋体" w:cs="宋体"/>
          <w:spacing w:val="-3"/>
          <w:sz w:val="24"/>
          <w:szCs w:val="24"/>
        </w:rPr>
        <w:t>《可用性计划》的计划周期应当覆盖协议约定时长。</w:t>
      </w:r>
    </w:p>
    <w:p w14:paraId="1998F39A">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4</w:t>
      </w:r>
      <w:r>
        <w:rPr>
          <w:rFonts w:hint="eastAsia" w:ascii="宋体" w:hAnsi="宋体" w:eastAsia="宋体" w:cs="宋体"/>
          <w:spacing w:val="-3"/>
          <w:sz w:val="24"/>
          <w:szCs w:val="24"/>
          <w:lang w:eastAsia="zh-CN"/>
        </w:rPr>
        <w:t>.</w:t>
      </w:r>
      <w:r>
        <w:rPr>
          <w:rFonts w:ascii="宋体" w:hAnsi="宋体" w:eastAsia="宋体" w:cs="宋体"/>
          <w:spacing w:val="-3"/>
          <w:sz w:val="24"/>
          <w:szCs w:val="24"/>
        </w:rPr>
        <w:t>《可用性计划》应当和《能力计划》和财务预算的周期保持一致。</w:t>
      </w:r>
    </w:p>
    <w:p w14:paraId="7BD9AE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5.《可用性计划》一般包括以下部分：</w:t>
      </w:r>
    </w:p>
    <w:p w14:paraId="01ED079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65451DE8">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5C686A1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3E1E80E8">
      <w:pPr>
        <w:spacing w:line="297" w:lineRule="auto"/>
        <w:rPr>
          <w:rFonts w:ascii="Arial"/>
          <w:sz w:val="21"/>
        </w:rPr>
      </w:pPr>
    </w:p>
    <w:p w14:paraId="60113343">
      <w:pPr>
        <w:pStyle w:val="30"/>
        <w:bidi w:val="0"/>
      </w:pPr>
      <w:bookmarkStart w:id="24" w:name="bookmark26"/>
      <w:bookmarkEnd w:id="24"/>
      <w:bookmarkStart w:id="25" w:name="bookmark27"/>
      <w:bookmarkEnd w:id="25"/>
      <w:r>
        <w:t xml:space="preserve"> 监控、评价和报告</w:t>
      </w:r>
    </w:p>
    <w:p w14:paraId="04D34E79">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eastAsia="zh-CN"/>
        </w:rPr>
        <w:t>.</w:t>
      </w:r>
      <w:r>
        <w:rPr>
          <w:rFonts w:ascii="宋体" w:hAnsi="宋体" w:eastAsia="宋体" w:cs="宋体"/>
          <w:spacing w:val="-3"/>
          <w:sz w:val="24"/>
          <w:szCs w:val="24"/>
        </w:rPr>
        <w:t>评价和报告是重要的可用性管理活动，它们为核实服务协议，解决问题和制定改进建议提供了基础。</w:t>
      </w:r>
    </w:p>
    <w:p w14:paraId="538646B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eastAsia="zh-CN"/>
        </w:rPr>
        <w:t>.</w:t>
      </w:r>
      <w:r>
        <w:rPr>
          <w:rFonts w:ascii="宋体" w:hAnsi="宋体" w:eastAsia="宋体" w:cs="宋体"/>
          <w:spacing w:val="-3"/>
          <w:sz w:val="24"/>
          <w:szCs w:val="24"/>
        </w:rPr>
        <w:t>可用性报告在每次服务报告中作相应说明，其中可以包括下列指标：</w:t>
      </w:r>
    </w:p>
    <w:p w14:paraId="5B96038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以平均修复时间（MTTR）、平均无故障时间（MTBF）和平均系统事件间隔时间（MTBSI）表示的可用率（或不可用率）；</w:t>
      </w:r>
    </w:p>
    <w:p w14:paraId="41E1C8F3">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总体正常运作时间和宕机时间；</w:t>
      </w:r>
    </w:p>
    <w:p w14:paraId="2E28F32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故障的次数；</w:t>
      </w:r>
    </w:p>
    <w:p w14:paraId="46A4EFE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有关故障可能实际或潜在地导致比约定数更高的不可用率的额外信息。</w:t>
      </w:r>
    </w:p>
    <w:p w14:paraId="44BE6199">
      <w:pPr>
        <w:pStyle w:val="29"/>
        <w:bidi w:val="0"/>
        <w:rPr>
          <w:rFonts w:hint="default"/>
          <w:lang w:val="en-US" w:eastAsia="zh-CN"/>
        </w:rPr>
      </w:pPr>
      <w:r>
        <w:rPr>
          <w:rFonts w:hint="eastAsia"/>
          <w:lang w:val="en-US" w:eastAsia="zh-CN"/>
        </w:rPr>
        <w:t>业务连续性</w:t>
      </w:r>
    </w:p>
    <w:p w14:paraId="515CD7A8">
      <w:pPr>
        <w:pStyle w:val="30"/>
        <w:bidi w:val="0"/>
      </w:pPr>
      <w:r>
        <w:t>初始化阶段</w:t>
      </w:r>
    </w:p>
    <w:p w14:paraId="58EA0FA0">
      <w:pPr>
        <w:pStyle w:val="5"/>
        <w:bidi w:val="0"/>
      </w:pPr>
      <w:bookmarkStart w:id="26" w:name="bookmark47"/>
      <w:bookmarkEnd w:id="26"/>
      <w:r>
        <w:t>定义组织策略</w:t>
      </w:r>
    </w:p>
    <w:p w14:paraId="77E19D3B">
      <w:pPr>
        <w:spacing w:line="385" w:lineRule="auto"/>
        <w:rPr>
          <w:rFonts w:ascii="Arial"/>
          <w:sz w:val="21"/>
        </w:rPr>
      </w:pPr>
    </w:p>
    <w:p w14:paraId="362416D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1.</w:t>
      </w: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63131E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hint="eastAsia" w:ascii="宋体" w:hAnsi="宋体" w:eastAsia="宋体" w:cs="宋体"/>
          <w:sz w:val="24"/>
          <w:szCs w:val="24"/>
          <w:lang w:eastAsia="zh-CN"/>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C01760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3.</w:t>
      </w: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718818EA">
      <w:pPr>
        <w:spacing w:line="303" w:lineRule="auto"/>
        <w:rPr>
          <w:rFonts w:ascii="Arial"/>
          <w:sz w:val="21"/>
        </w:rPr>
      </w:pPr>
    </w:p>
    <w:p w14:paraId="0BACD256">
      <w:pPr>
        <w:pStyle w:val="5"/>
        <w:bidi w:val="0"/>
      </w:pPr>
      <w:r>
        <w:t>分配资源</w:t>
      </w:r>
    </w:p>
    <w:p w14:paraId="6EB6805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1.</w:t>
      </w:r>
      <w:r>
        <w:rPr>
          <w:rFonts w:ascii="宋体" w:hAnsi="宋体" w:eastAsia="宋体" w:cs="宋体"/>
          <w:spacing w:val="-1"/>
          <w:sz w:val="24"/>
          <w:szCs w:val="24"/>
        </w:rPr>
        <w:t>需要投入人力和物力建立一个运维服务连续性管理环境。</w:t>
      </w:r>
    </w:p>
    <w:p w14:paraId="45F958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组织需要对员工进行培训来保证员工有能力实施风险预防和灾难恢复措施。</w:t>
      </w:r>
    </w:p>
    <w:p w14:paraId="07CAC28C">
      <w:pPr>
        <w:pStyle w:val="30"/>
        <w:bidi w:val="0"/>
      </w:pPr>
      <w:r>
        <w:t>分析规划阶段</w:t>
      </w:r>
    </w:p>
    <w:p w14:paraId="7C3C743E">
      <w:pPr>
        <w:pStyle w:val="5"/>
        <w:bidi w:val="0"/>
      </w:pPr>
      <w:bookmarkStart w:id="27" w:name="bookmark48"/>
      <w:bookmarkEnd w:id="27"/>
      <w:r>
        <w:t>业务影响分析</w:t>
      </w:r>
    </w:p>
    <w:p w14:paraId="39F8BB3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28" w:name="bookmark49"/>
      <w:bookmarkEnd w:id="28"/>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1F6E578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1"/>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108E39D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3.</w:t>
      </w: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274DBA6B">
      <w:pPr>
        <w:pStyle w:val="5"/>
        <w:bidi w:val="0"/>
      </w:pPr>
      <w:r>
        <w:t>风险评估</w:t>
      </w:r>
    </w:p>
    <w:p w14:paraId="640501DE">
      <w:pPr>
        <w:spacing w:line="389" w:lineRule="auto"/>
        <w:rPr>
          <w:rFonts w:ascii="Arial"/>
          <w:sz w:val="21"/>
        </w:rPr>
      </w:pPr>
    </w:p>
    <w:p w14:paraId="608539E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66B381B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7571E50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13"/>
          <w:sz w:val="24"/>
          <w:szCs w:val="24"/>
          <w:lang w:val="en-US" w:eastAsia="zh-CN"/>
        </w:rPr>
        <w:t>3.</w:t>
      </w:r>
      <w:r>
        <w:rPr>
          <w:rFonts w:ascii="宋体" w:hAnsi="宋体" w:eastAsia="宋体" w:cs="宋体"/>
          <w:spacing w:val="13"/>
          <w:sz w:val="24"/>
          <w:szCs w:val="24"/>
        </w:rPr>
        <w:t>风险分析</w:t>
      </w:r>
    </w:p>
    <w:p w14:paraId="01BB347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2"/>
          <w:position w:val="3"/>
          <w:sz w:val="24"/>
          <w:szCs w:val="24"/>
        </w:rPr>
        <w:t xml:space="preserve">•   </w:t>
      </w:r>
      <w:r>
        <w:rPr>
          <w:rFonts w:ascii="宋体" w:hAnsi="宋体" w:eastAsia="宋体" w:cs="宋体"/>
          <w:spacing w:val="-2"/>
          <w:position w:val="3"/>
          <w:sz w:val="24"/>
          <w:szCs w:val="24"/>
        </w:rPr>
        <w:t>必要确认相关的</w:t>
      </w:r>
      <w:r>
        <w:rPr>
          <w:rFonts w:ascii="宋体" w:hAnsi="宋体" w:eastAsia="宋体" w:cs="宋体"/>
          <w:spacing w:val="-38"/>
          <w:position w:val="3"/>
          <w:sz w:val="24"/>
          <w:szCs w:val="24"/>
        </w:rPr>
        <w:t xml:space="preserve"> </w:t>
      </w:r>
      <w:r>
        <w:rPr>
          <w:rFonts w:ascii="宋体" w:hAnsi="宋体" w:eastAsia="宋体" w:cs="宋体"/>
          <w:spacing w:val="-2"/>
          <w:position w:val="3"/>
          <w:sz w:val="24"/>
          <w:szCs w:val="24"/>
        </w:rPr>
        <w:t>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14E3534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2"/>
          <w:sz w:val="24"/>
          <w:szCs w:val="24"/>
        </w:rPr>
        <w:t xml:space="preserve">•   </w:t>
      </w: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3E8F984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position w:val="3"/>
          <w:sz w:val="24"/>
          <w:szCs w:val="24"/>
        </w:rPr>
        <w:t xml:space="preserve">•   </w:t>
      </w: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4E6ED5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pict>
          <v:shape id="_x0000_s1026" o:spid="_x0000_s1026" o:spt="136" type="#_x0000_t136" style="position:absolute;left:0pt;margin-left:185.05pt;margin-top:111.1pt;height:18.25pt;width:147.4pt;rotation:21626880f;z-index:-251657216;mso-width-relative:page;mso-height-relative:page;" fillcolor="#808080" filled="t" stroked="f" coordsize="21600,21600">
            <v:path/>
            <v:fill on="t" opacity="26214f" focussize="0,0"/>
            <v:stroke on="f"/>
            <v:imagedata o:title=""/>
            <o:lock v:ext="edit"/>
            <v:textpath on="t" fitshape="t" fitpath="t" trim="t" xscale="f" string="杨茜 2025-08-12" style="font-family:Microsoft YaHei;font-size:8pt;v-text-align:center;"/>
          </v:shape>
        </w:pict>
      </w:r>
      <w:r>
        <w:rPr>
          <w:rFonts w:ascii="华文中宋" w:hAnsi="华文中宋" w:eastAsia="华文中宋" w:cs="华文中宋"/>
          <w:spacing w:val="-3"/>
          <w:sz w:val="24"/>
          <w:szCs w:val="24"/>
        </w:rPr>
        <w:t xml:space="preserve">•   </w:t>
      </w:r>
      <w:r>
        <w:rPr>
          <w:rFonts w:ascii="宋体" w:hAnsi="宋体" w:eastAsia="宋体" w:cs="宋体"/>
          <w:spacing w:val="-3"/>
          <w:sz w:val="24"/>
          <w:szCs w:val="24"/>
        </w:rPr>
        <w:t>根据各</w:t>
      </w:r>
      <w:r>
        <w:rPr>
          <w:rFonts w:ascii="宋体" w:hAnsi="宋体" w:eastAsia="宋体" w:cs="宋体"/>
          <w:spacing w:val="-24"/>
          <w:sz w:val="24"/>
          <w:szCs w:val="24"/>
        </w:rPr>
        <w:t xml:space="preserve"> </w:t>
      </w:r>
      <w:r>
        <w:rPr>
          <w:rFonts w:ascii="宋体" w:hAnsi="宋体" w:eastAsia="宋体" w:cs="宋体"/>
          <w:spacing w:val="-3"/>
          <w:sz w:val="24"/>
          <w:szCs w:val="24"/>
        </w:rPr>
        <w:t>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642B9CAA">
      <w:pPr>
        <w:spacing w:line="213" w:lineRule="exact"/>
      </w:pPr>
    </w:p>
    <w:p w14:paraId="273F86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华文中宋" w:hAnsi="华文中宋" w:eastAsia="华文中宋" w:cs="华文中宋"/>
          <w:spacing w:val="13"/>
          <w:sz w:val="24"/>
          <w:szCs w:val="24"/>
          <w:lang w:val="en-US" w:eastAsia="zh-CN"/>
        </w:rPr>
        <w:t>4.</w:t>
      </w:r>
      <w:r>
        <w:rPr>
          <w:rFonts w:ascii="宋体" w:hAnsi="宋体" w:eastAsia="宋体" w:cs="宋体"/>
          <w:spacing w:val="13"/>
          <w:sz w:val="24"/>
          <w:szCs w:val="24"/>
        </w:rPr>
        <w:t>恢复方案</w:t>
      </w:r>
    </w:p>
    <w:p w14:paraId="1FB3B3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position w:val="3"/>
          <w:sz w:val="24"/>
          <w:szCs w:val="24"/>
        </w:rPr>
        <w:t xml:space="preserve">•   </w:t>
      </w: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62A2D1E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2"/>
          <w:sz w:val="24"/>
          <w:szCs w:val="24"/>
        </w:rPr>
        <w:t xml:space="preserve">•   </w:t>
      </w: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2CF37FD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sectPr>
          <w:headerReference r:id="rId5" w:type="default"/>
          <w:footerReference r:id="rId6" w:type="default"/>
          <w:pgSz w:w="11906" w:h="16839"/>
          <w:pgMar w:top="1397" w:right="1425" w:bottom="1151" w:left="850" w:header="831" w:footer="989" w:gutter="0"/>
          <w:cols w:space="720" w:num="1"/>
        </w:sectPr>
      </w:pPr>
    </w:p>
    <w:p w14:paraId="3F27580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bookmarkStart w:id="29" w:name="bookmark50"/>
      <w:bookmarkEnd w:id="29"/>
      <w:r>
        <w:rPr>
          <w:rFonts w:ascii="华文中宋" w:hAnsi="华文中宋" w:eastAsia="华文中宋" w:cs="华文中宋"/>
          <w:spacing w:val="5"/>
          <w:sz w:val="24"/>
          <w:szCs w:val="24"/>
        </w:rPr>
        <w:t xml:space="preserve">•   </w:t>
      </w:r>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04F96F5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1"/>
          <w:sz w:val="24"/>
          <w:szCs w:val="24"/>
        </w:rPr>
        <w:t xml:space="preserve">•   </w:t>
      </w: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r>
        <w:rPr>
          <w:rFonts w:ascii="宋体" w:hAnsi="宋体" w:eastAsia="宋体" w:cs="宋体"/>
          <w:spacing w:val="-39"/>
          <w:sz w:val="24"/>
          <w:szCs w:val="24"/>
        </w:rPr>
        <w:t xml:space="preserve"> </w:t>
      </w:r>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324F799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5"/>
          <w:sz w:val="24"/>
          <w:szCs w:val="24"/>
        </w:rPr>
        <w:t xml:space="preserve">•   </w:t>
      </w: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713DC7C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4"/>
          <w:sz w:val="24"/>
          <w:szCs w:val="24"/>
        </w:rPr>
        <w:t>•</w:t>
      </w:r>
      <w:r>
        <w:rPr>
          <w:rFonts w:ascii="华文中宋" w:hAnsi="华文中宋" w:eastAsia="华文中宋" w:cs="华文中宋"/>
          <w:spacing w:val="23"/>
          <w:sz w:val="24"/>
          <w:szCs w:val="24"/>
        </w:rPr>
        <w:t xml:space="preserve">   </w:t>
      </w: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5C70BE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2"/>
          <w:sz w:val="24"/>
          <w:szCs w:val="24"/>
        </w:rPr>
        <w:t xml:space="preserve">•   </w:t>
      </w:r>
      <w:r>
        <w:rPr>
          <w:rFonts w:ascii="宋体" w:hAnsi="宋体" w:eastAsia="宋体" w:cs="宋体"/>
          <w:spacing w:val="-2"/>
          <w:sz w:val="24"/>
          <w:szCs w:val="24"/>
        </w:rPr>
        <w:t>外部式恢复-由第三方恢复组织提供商业服务，这些组织通常是为多个客户服务的。</w:t>
      </w:r>
    </w:p>
    <w:p w14:paraId="58F6EED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position w:val="3"/>
          <w:sz w:val="24"/>
          <w:szCs w:val="24"/>
        </w:rPr>
        <w:t xml:space="preserve">•   </w:t>
      </w: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38947F2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华文中宋" w:hAnsi="华文中宋" w:eastAsia="华文中宋" w:cs="华文中宋"/>
          <w:spacing w:val="-2"/>
          <w:sz w:val="24"/>
          <w:szCs w:val="24"/>
        </w:rPr>
        <w:t xml:space="preserve">•   </w:t>
      </w: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6DCF54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41DB4AB8">
      <w:pPr>
        <w:pStyle w:val="30"/>
        <w:bidi w:val="0"/>
      </w:pPr>
      <w:r>
        <w:t>实施阶段</w:t>
      </w:r>
    </w:p>
    <w:p w14:paraId="303BA38A">
      <w:pPr>
        <w:pStyle w:val="5"/>
        <w:bidi w:val="0"/>
      </w:pPr>
      <w:bookmarkStart w:id="30" w:name="bookmark51"/>
      <w:bookmarkEnd w:id="30"/>
      <w:r>
        <w:t>组织和实施计划</w:t>
      </w:r>
    </w:p>
    <w:p w14:paraId="36ABBEF3">
      <w:pPr>
        <w:spacing w:line="385" w:lineRule="auto"/>
        <w:rPr>
          <w:rFonts w:ascii="Arial"/>
          <w:sz w:val="21"/>
        </w:rPr>
      </w:pPr>
    </w:p>
    <w:p w14:paraId="63EC66A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华文中宋" w:hAnsi="华文中宋" w:eastAsia="华文中宋" w:cs="华文中宋"/>
          <w:spacing w:val="-2"/>
          <w:sz w:val="24"/>
          <w:szCs w:val="24"/>
          <w:lang w:val="en-US" w:eastAsia="zh-CN"/>
        </w:rPr>
        <w:t>1.</w:t>
      </w: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1947E42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2.</w:t>
      </w: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70CD99D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hint="eastAsia" w:ascii="宋体" w:hAnsi="宋体" w:eastAsia="宋体" w:cs="宋体"/>
          <w:spacing w:val="-9"/>
          <w:sz w:val="24"/>
          <w:szCs w:val="24"/>
          <w:lang w:val="en-US" w:eastAsia="zh-CN"/>
        </w:rPr>
        <w:t>3.</w:t>
      </w: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32F04FE2">
      <w:pPr>
        <w:pStyle w:val="30"/>
        <w:bidi w:val="0"/>
      </w:pPr>
      <w:r>
        <w:t>运作阶段</w:t>
      </w:r>
    </w:p>
    <w:p w14:paraId="38E2EC8A">
      <w:pPr>
        <w:spacing w:line="445" w:lineRule="auto"/>
        <w:rPr>
          <w:rFonts w:ascii="Arial"/>
          <w:sz w:val="21"/>
        </w:rPr>
      </w:pPr>
    </w:p>
    <w:p w14:paraId="7D33C672">
      <w:pPr>
        <w:pStyle w:val="5"/>
        <w:bidi w:val="0"/>
      </w:pPr>
      <w:bookmarkStart w:id="31" w:name="bookmark52"/>
      <w:bookmarkEnd w:id="31"/>
      <w:r>
        <w:t>连续性计划测试</w:t>
      </w:r>
    </w:p>
    <w:p w14:paraId="6BEA17DD">
      <w:pPr>
        <w:spacing w:line="385" w:lineRule="auto"/>
        <w:rPr>
          <w:rFonts w:ascii="Arial"/>
          <w:sz w:val="21"/>
        </w:rPr>
      </w:pPr>
    </w:p>
    <w:p w14:paraId="080F4C3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2"/>
          <w:sz w:val="24"/>
          <w:szCs w:val="24"/>
        </w:rPr>
        <w:t>运维管理部经理安排组织连续性计划范围内的人员编制测试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7994A0F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宋体" w:hAnsi="宋体" w:eastAsia="宋体" w:cs="宋体"/>
          <w:spacing w:val="-2"/>
          <w:sz w:val="24"/>
          <w:szCs w:val="24"/>
        </w:rPr>
        <w:t>根据服务需要，运维管理部经理会同公司领导对连续性管理计划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并在必要时修改《连续性管理计划》</w:t>
      </w:r>
    </w:p>
    <w:p w14:paraId="57822E5D">
      <w:pPr>
        <w:pStyle w:val="5"/>
        <w:bidi w:val="0"/>
      </w:pPr>
      <w:r>
        <w:t>沟通和培训</w:t>
      </w:r>
    </w:p>
    <w:p w14:paraId="40F37B5A">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项目经理组织有关人员进行沟通或培训，确保有关人员知道自己的职责和任务。</w:t>
      </w:r>
    </w:p>
    <w:p w14:paraId="520D545D">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必要时项目经理对培训的效果进行评价。</w:t>
      </w:r>
    </w:p>
    <w:p w14:paraId="04886332">
      <w:pPr>
        <w:pStyle w:val="5"/>
        <w:bidi w:val="0"/>
      </w:pPr>
      <w:r>
        <w:t>连续性计划维护</w:t>
      </w:r>
    </w:p>
    <w:p w14:paraId="524E4FF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对一线人员进行连续性方面的意识培养，使他们将维护连续性作为常规的工作。</w:t>
      </w:r>
    </w:p>
    <w:p w14:paraId="3C2BBCE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931623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1A762DC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5FA2177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7E48CB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保证连续性生命周期的最后程序得到市场中心经理和公司领导的确认，以保证连续性流程的运营流程得到顺利的执行。</w:t>
      </w:r>
    </w:p>
    <w:p w14:paraId="19DF08F6">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0" w:right="0" w:firstLine="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p>
    <w:p w14:paraId="57F10BFA">
      <w:pPr>
        <w:pStyle w:val="28"/>
        <w:bidi w:val="0"/>
      </w:pPr>
      <w:bookmarkStart w:id="32" w:name="bookmark29"/>
      <w:bookmarkEnd w:id="32"/>
      <w:bookmarkStart w:id="33" w:name="bookmark28"/>
      <w:bookmarkEnd w:id="33"/>
      <w:bookmarkStart w:id="34" w:name="bookmark30"/>
      <w:bookmarkEnd w:id="34"/>
      <w:bookmarkStart w:id="35" w:name="bookmark31"/>
      <w:bookmarkEnd w:id="35"/>
      <w:r>
        <w:t>与其他流程的关系</w:t>
      </w:r>
    </w:p>
    <w:p w14:paraId="7DD81E12">
      <w:pPr>
        <w:pStyle w:val="29"/>
        <w:bidi w:val="0"/>
        <w:rPr>
          <w:rFonts w:ascii="宋体" w:hAnsi="宋体" w:eastAsia="宋体" w:cs="宋体"/>
          <w:spacing w:val="-3"/>
          <w:sz w:val="24"/>
          <w:szCs w:val="24"/>
        </w:rPr>
      </w:pPr>
      <w:r>
        <w:t>与事件管理流程的关系</w:t>
      </w:r>
    </w:p>
    <w:p w14:paraId="54C593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36" w:name="bookmark33"/>
      <w:bookmarkEnd w:id="36"/>
      <w:bookmarkStart w:id="37" w:name="bookmark32"/>
      <w:bookmarkEnd w:id="37"/>
    </w:p>
    <w:p w14:paraId="5FD1A83A">
      <w:pPr>
        <w:pStyle w:val="29"/>
        <w:bidi w:val="0"/>
      </w:pPr>
      <w:r>
        <w:t>与问题管理流程的关系</w:t>
      </w:r>
    </w:p>
    <w:p w14:paraId="70916C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62F2F17D">
      <w:pPr>
        <w:pStyle w:val="29"/>
        <w:bidi w:val="0"/>
      </w:pPr>
      <w:bookmarkStart w:id="38" w:name="bookmark35"/>
      <w:bookmarkEnd w:id="38"/>
      <w:bookmarkStart w:id="39" w:name="bookmark34"/>
      <w:bookmarkEnd w:id="39"/>
      <w:r>
        <w:t>与变更、发布管理流程的关系</w:t>
      </w:r>
    </w:p>
    <w:p w14:paraId="1D2DB3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649728D1">
      <w:pPr>
        <w:pStyle w:val="29"/>
        <w:bidi w:val="0"/>
      </w:pPr>
      <w:bookmarkStart w:id="40" w:name="bookmark36"/>
      <w:bookmarkEnd w:id="40"/>
      <w:bookmarkStart w:id="41" w:name="bookmark37"/>
      <w:bookmarkEnd w:id="41"/>
      <w:r>
        <w:t>与配置管理流程的关系</w:t>
      </w:r>
    </w:p>
    <w:p w14:paraId="0856FE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431ABEE0">
      <w:pPr>
        <w:pStyle w:val="28"/>
        <w:bidi w:val="0"/>
      </w:pPr>
      <w:bookmarkStart w:id="42" w:name="bookmark38"/>
      <w:bookmarkEnd w:id="42"/>
      <w:bookmarkStart w:id="43" w:name="bookmark39"/>
      <w:bookmarkEnd w:id="43"/>
      <w:r>
        <w:t>相关文件</w:t>
      </w:r>
    </w:p>
    <w:p w14:paraId="5D5C39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bookmarkStart w:id="44" w:name="bookmark45"/>
      <w:bookmarkEnd w:id="44"/>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连续性管理程序》</w:t>
      </w:r>
    </w:p>
    <w:p w14:paraId="32987E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《信息安全风险管理程序》</w:t>
      </w:r>
    </w:p>
    <w:p w14:paraId="25E0A6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 xml:space="preserve"> 《能力管理程序》</w:t>
      </w:r>
    </w:p>
    <w:p w14:paraId="5C7915E6">
      <w:pPr>
        <w:pStyle w:val="28"/>
        <w:bidi w:val="0"/>
      </w:pPr>
      <w:bookmarkStart w:id="45" w:name="bookmark41"/>
      <w:bookmarkEnd w:id="45"/>
      <w:bookmarkStart w:id="46" w:name="bookmark40"/>
      <w:bookmarkEnd w:id="46"/>
      <w:r>
        <w:t>记录</w:t>
      </w:r>
    </w:p>
    <w:p w14:paraId="0BC341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《服务可用性和业务连续性管理计</w:t>
      </w:r>
      <w:bookmarkStart w:id="47" w:name="_GoBack"/>
      <w:bookmarkEnd w:id="47"/>
      <w:r>
        <w:rPr>
          <w:rFonts w:hint="eastAsia" w:ascii="宋体" w:hAnsi="宋体" w:eastAsia="宋体" w:cs="宋体"/>
          <w:spacing w:val="-3"/>
          <w:sz w:val="24"/>
          <w:szCs w:val="24"/>
          <w:lang w:val="en-US" w:eastAsia="zh-CN"/>
        </w:rPr>
        <w:t>划》</w:t>
      </w:r>
    </w:p>
    <w:p w14:paraId="5CF3FE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《可用性分析报告》</w:t>
      </w:r>
    </w:p>
    <w:p w14:paraId="45EF2F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《连续性测试报告》</w:t>
      </w:r>
    </w:p>
    <w:p w14:paraId="29B916DC">
      <w:pPr>
        <w:bidi w:val="0"/>
        <w:rPr>
          <w:rFonts w:hint="default"/>
          <w:lang w:val="en-US" w:eastAsia="zh-CN"/>
        </w:rPr>
      </w:pPr>
    </w:p>
    <w:sectPr>
      <w:headerReference r:id="rId7" w:type="default"/>
      <w:footerReference r:id="rId8" w:type="default"/>
      <w:pgSz w:w="11906" w:h="16838"/>
      <w:pgMar w:top="1440" w:right="1800" w:bottom="1440" w:left="85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084443">
    <w:pPr>
      <w:spacing w:line="176" w:lineRule="auto"/>
      <w:ind w:left="5916"/>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F28D0">
    <w:pPr>
      <w:spacing w:line="176" w:lineRule="auto"/>
      <w:ind w:left="5919"/>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D68DB1">
    <w:pPr>
      <w:spacing w:before="45" w:line="239" w:lineRule="auto"/>
      <w:ind w:left="7965" w:right="373" w:hanging="908"/>
      <w:rPr>
        <w:rFonts w:ascii="仿宋" w:hAnsi="仿宋" w:eastAsia="仿宋" w:cs="仿宋"/>
        <w:sz w:val="18"/>
        <w:szCs w:val="18"/>
      </w:rPr>
    </w:pPr>
    <w:r>
      <w:pict>
        <v:shape id="PowerPlusWaterMarkObject132" o:spid="_x0000_s2138" o:spt="136" type="#_x0000_t136" style="position:absolute;left:0pt;margin-left:-12.9pt;margin-top:159.25pt;height:18.25pt;width:147.4pt;mso-position-horizontal-relative:page;mso-position-vertical-relative:page;rotation:21626880f;z-index:-251646976;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w:pict>
        <v:shape id="PowerPlusWaterMarkObject134" o:spid="_x0000_s2139" o:spt="136" type="#_x0000_t136" style="position:absolute;left:0pt;margin-left:185.05pt;margin-top:159.25pt;height:18.25pt;width:147.4pt;mso-position-horizontal-relative:page;mso-position-vertical-relative:page;rotation:21626880f;z-index:-251655168;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w:pict>
        <v:shape id="PowerPlusWaterMarkObject136" o:spid="_x0000_s2140" o:spt="136" type="#_x0000_t136" style="position:absolute;left:0pt;margin-left:-12.9pt;margin-top:369.25pt;height:18.25pt;width:147.4pt;mso-position-horizontal-relative:page;mso-position-vertical-relative:page;rotation:21626880f;z-index:-251653120;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w:pict>
        <v:shape id="PowerPlusWaterMarkObject138" o:spid="_x0000_s2141" o:spt="136" type="#_x0000_t136" style="position:absolute;left:0pt;margin-left:383.05pt;margin-top:159.25pt;height:18.25pt;width:147.4pt;mso-position-horizontal-relative:page;mso-position-vertical-relative:page;rotation:21626880f;z-index:-251654144;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w:pict>
        <v:shape id="PowerPlusWaterMarkObject140" o:spid="_x0000_s2142" o:spt="136" type="#_x0000_t136" style="position:absolute;left:0pt;margin-left:185.05pt;margin-top:369.25pt;height:18.25pt;width:147.4pt;mso-position-horizontal-relative:page;mso-position-vertical-relative:page;rotation:21626880f;z-index:-251651072;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w:pict>
        <v:shape id="PowerPlusWaterMarkObject142" o:spid="_x0000_s2143" o:spt="136" type="#_x0000_t136" style="position:absolute;left:0pt;margin-left:-12.9pt;margin-top:579.25pt;height:18.25pt;width:147.4pt;mso-position-horizontal-relative:page;mso-position-vertical-relative:page;rotation:21626880f;z-index:-251649024;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w:pict>
        <v:shape id="PowerPlusWaterMarkObject144" o:spid="_x0000_s2144" o:spt="136" type="#_x0000_t136" style="position:absolute;left:0pt;margin-left:383.05pt;margin-top:369.25pt;height:18.25pt;width:147.4pt;mso-position-horizontal-relative:page;mso-position-vertical-relative:page;rotation:21626880f;z-index:-251652096;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w:pict>
        <v:shape id="PowerPlusWaterMarkObject146" o:spid="_x0000_s2145" o:spt="136" type="#_x0000_t136" style="position:absolute;left:0pt;margin-left:-12.9pt;margin-top:789.25pt;height:18.25pt;width:147.4pt;mso-position-horizontal-relative:page;mso-position-vertical-relative:page;rotation:21626880f;z-index:-251648000;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w:pict>
        <v:shape id="PowerPlusWaterMarkObject148" o:spid="_x0000_s2146" o:spt="136" type="#_x0000_t136" style="position:absolute;left:0pt;margin-left:383.05pt;margin-top:579.25pt;height:18.25pt;width:147.4pt;mso-position-horizontal-relative:page;mso-position-vertical-relative:page;rotation:21626880f;z-index:-251656192;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w:pict>
        <v:shape id="PowerPlusWaterMarkObject150" o:spid="_x0000_s2147" o:spt="136" type="#_x0000_t136" style="position:absolute;left:0pt;margin-left:185.05pt;margin-top:789.25pt;height:18.25pt;width:147.4pt;mso-position-horizontal-relative:page;mso-position-vertical-relative:page;rotation:21626880f;z-index:-251645952;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w:pict>
        <v:shape id="PowerPlusWaterMarkObject152" o:spid="_x0000_s2148" o:spt="136" type="#_x0000_t136" style="position:absolute;left:0pt;margin-left:383.05pt;margin-top:789.25pt;height:18.25pt;width:147.4pt;mso-position-horizontal-relative:page;mso-position-vertical-relative:page;rotation:21626880f;z-index:-251650048;mso-width-relative:page;mso-height-relative:page;" fillcolor="#808080" filled="t" stroked="f" coordsize="21600,21600" o:allowincell="f">
          <v:path/>
          <v:fill on="t" opacity="26214f" focussize="0,0"/>
          <v:stroke on="f"/>
          <v:imagedata o:title=""/>
          <o:lock v:ext="edit"/>
          <v:textpath on="t" fitshape="t" fitpath="t" trim="t" xscale="f" string="杨茜 2025-08-12" style="font-family:Microsoft YaHei;font-size:8pt;v-text-align:center;"/>
        </v:shape>
      </w:pict>
    </w:r>
    <w:r>
      <mc:AlternateContent>
        <mc:Choice Requires="wps">
          <w:drawing>
            <wp:anchor distT="0" distB="0" distL="114300" distR="114300" simplePos="0" relativeHeight="251671552" behindDoc="0" locked="0" layoutInCell="0" allowOverlap="1">
              <wp:simplePos x="0" y="0"/>
              <wp:positionH relativeFrom="page">
                <wp:posOffset>1143000</wp:posOffset>
              </wp:positionH>
              <wp:positionV relativeFrom="page">
                <wp:posOffset>848995</wp:posOffset>
              </wp:positionV>
              <wp:extent cx="5274310" cy="9525"/>
              <wp:effectExtent l="0" t="0" r="0" b="0"/>
              <wp:wrapNone/>
              <wp:docPr id="23" name="任意多边形 23"/>
              <wp:cNvGraphicFramePr/>
              <a:graphic xmlns:a="http://schemas.openxmlformats.org/drawingml/2006/main">
                <a:graphicData uri="http://schemas.microsoft.com/office/word/2010/wordprocessingShape">
                  <wps:wsp>
                    <wps:cNvSpPr/>
                    <wps:spPr>
                      <a:xfrm>
                        <a:off x="0" y="0"/>
                        <a:ext cx="5274310" cy="9525"/>
                      </a:xfrm>
                      <a:custGeom>
                        <a:avLst/>
                        <a:gdLst/>
                        <a:ahLst/>
                        <a:cxnLst/>
                        <a:pathLst>
                          <a:path w="8305" h="15">
                            <a:moveTo>
                              <a:pt x="0" y="0"/>
                            </a:moveTo>
                            <a:lnTo>
                              <a:pt x="8305" y="0"/>
                            </a:lnTo>
                            <a:lnTo>
                              <a:pt x="8305"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90pt;margin-top:66.85pt;height:0.75pt;width:415.3pt;mso-position-horizontal-relative:page;mso-position-vertical-relative:page;z-index:251671552;mso-width-relative:page;mso-height-relative:page;" fillcolor="#000000" filled="t" stroked="f" coordsize="8305,15" o:allowincell="f" o:gfxdata="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1HPvXtoAAAAMAQAADwAA&#10;AAAAAAABACAAAAAiAAAAZHJzL2Rvd25yZXYueG1sUEsBAhQAFAAAAAgAh07iQFycJ1kUAgAAfQQA&#10;AA4AAAAAAAAAAQAgAAAAKQEAAGRycy9lMm9Eb2MueG1sUEsFBgAAAAAGAAYAWQEAAK8FAAAAAA==&#10;" path="m0,0l8305,0,8305,14,0,14,0,0xe">
              <v:fill on="t" focussize="0,0"/>
              <v:stroke on="f"/>
              <v:imagedata o:title=""/>
              <o:lock v:ext="edit" aspectratio="f"/>
            </v:shape>
          </w:pict>
        </mc:Fallback>
      </mc:AlternateContent>
    </w:r>
    <w:r>
      <w:rPr>
        <w:rFonts w:ascii="仿宋" w:hAnsi="仿宋" w:eastAsia="仿宋" w:cs="仿宋"/>
        <w:spacing w:val="-1"/>
        <w:sz w:val="18"/>
        <w:szCs w:val="18"/>
      </w:rPr>
      <w:t>招商局重庆公路工程检测中心有限公司</w:t>
    </w:r>
    <w:r>
      <w:rPr>
        <w:rFonts w:ascii="仿宋" w:hAnsi="仿宋" w:eastAsia="仿宋" w:cs="仿宋"/>
        <w:spacing w:val="-2"/>
        <w:sz w:val="18"/>
        <w:szCs w:val="18"/>
      </w:rPr>
      <w:t>15-12.业务连续性管理程序</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A3C70">
    <w:pPr>
      <w:spacing w:before="45" w:line="239" w:lineRule="auto"/>
      <w:ind w:left="8325" w:right="373" w:hanging="1268"/>
      <w:rPr>
        <w:rFonts w:ascii="仿宋" w:hAnsi="仿宋" w:eastAsia="仿宋" w:cs="仿宋"/>
        <w:sz w:val="18"/>
        <w:szCs w:val="18"/>
      </w:rPr>
    </w:pPr>
    <w:r>
      <mc:AlternateContent>
        <mc:Choice Requires="wps">
          <w:drawing>
            <wp:anchor distT="0" distB="0" distL="114300" distR="114300" simplePos="0" relativeHeight="251672576" behindDoc="0" locked="0" layoutInCell="0" allowOverlap="1">
              <wp:simplePos x="0" y="0"/>
              <wp:positionH relativeFrom="page">
                <wp:posOffset>1143000</wp:posOffset>
              </wp:positionH>
              <wp:positionV relativeFrom="page">
                <wp:posOffset>848995</wp:posOffset>
              </wp:positionV>
              <wp:extent cx="5274310" cy="9525"/>
              <wp:effectExtent l="0" t="0" r="0" b="0"/>
              <wp:wrapNone/>
              <wp:docPr id="9" name="任意多边形 9"/>
              <wp:cNvGraphicFramePr/>
              <a:graphic xmlns:a="http://schemas.openxmlformats.org/drawingml/2006/main">
                <a:graphicData uri="http://schemas.microsoft.com/office/word/2010/wordprocessingShape">
                  <wps:wsp>
                    <wps:cNvSpPr/>
                    <wps:spPr>
                      <a:xfrm>
                        <a:off x="0" y="0"/>
                        <a:ext cx="5274310" cy="9525"/>
                      </a:xfrm>
                      <a:custGeom>
                        <a:avLst/>
                        <a:gdLst/>
                        <a:ahLst/>
                        <a:cxnLst/>
                        <a:pathLst>
                          <a:path w="8305" h="15">
                            <a:moveTo>
                              <a:pt x="0" y="0"/>
                            </a:moveTo>
                            <a:lnTo>
                              <a:pt x="8305" y="0"/>
                            </a:lnTo>
                            <a:lnTo>
                              <a:pt x="8305"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90pt;margin-top:66.85pt;height:0.75pt;width:415.3pt;mso-position-horizontal-relative:page;mso-position-vertical-relative:page;z-index:251672576;mso-width-relative:page;mso-height-relative:page;" fillcolor="#000000" filled="t" stroked="f" coordsize="8305,15" o:allowincell="f" o:gfxdata="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c+9e2gAAAAwBAAAPAAAA&#10;AAAAAAEAIAAAACIAAABkcnMvZG93bnJldi54bWxQSwECFAAUAAAACACHTuJAwP5VBRMCAAB7BAAA&#10;DgAAAAAAAAABACAAAAApAQAAZHJzL2Uyb0RvYy54bWxQSwUGAAAAAAYABgBZAQAArgUAAAAA&#10;" path="m0,0l8305,0,8305,14,0,14,0,0xe">
              <v:fill on="t" focussize="0,0"/>
              <v:stroke on="f"/>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9F69FB8"/>
    <w:multiLevelType w:val="singleLevel"/>
    <w:tmpl w:val="C9F69FB8"/>
    <w:lvl w:ilvl="0" w:tentative="0">
      <w:start w:val="1"/>
      <w:numFmt w:val="decimal"/>
      <w:lvlText w:val="%1."/>
      <w:lvlJc w:val="left"/>
      <w:pPr>
        <w:tabs>
          <w:tab w:val="left" w:pos="312"/>
        </w:tabs>
      </w:pPr>
    </w:lvl>
  </w:abstractNum>
  <w:abstractNum w:abstractNumId="2">
    <w:nsid w:val="E01E563B"/>
    <w:multiLevelType w:val="singleLevel"/>
    <w:tmpl w:val="E01E563B"/>
    <w:lvl w:ilvl="0" w:tentative="0">
      <w:start w:val="1"/>
      <w:numFmt w:val="decimal"/>
      <w:lvlText w:val="%1."/>
      <w:lvlJc w:val="left"/>
      <w:pPr>
        <w:tabs>
          <w:tab w:val="left" w:pos="312"/>
        </w:tabs>
      </w:pPr>
    </w:lvl>
  </w:abstractNum>
  <w:abstractNum w:abstractNumId="3">
    <w:nsid w:val="26F94B23"/>
    <w:multiLevelType w:val="singleLevel"/>
    <w:tmpl w:val="26F94B23"/>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6D1F"/>
    <w:rsid w:val="00975D66"/>
    <w:rsid w:val="00C2346B"/>
    <w:rsid w:val="00E95ACD"/>
    <w:rsid w:val="01013CDC"/>
    <w:rsid w:val="01A95AA3"/>
    <w:rsid w:val="01B52CD2"/>
    <w:rsid w:val="01C04E49"/>
    <w:rsid w:val="01C1789B"/>
    <w:rsid w:val="01F97036"/>
    <w:rsid w:val="02071CFF"/>
    <w:rsid w:val="0241483D"/>
    <w:rsid w:val="024C2B81"/>
    <w:rsid w:val="025C1016"/>
    <w:rsid w:val="02736A74"/>
    <w:rsid w:val="02FD66B9"/>
    <w:rsid w:val="03031491"/>
    <w:rsid w:val="031E62CB"/>
    <w:rsid w:val="039276DB"/>
    <w:rsid w:val="03C947C4"/>
    <w:rsid w:val="040D00EE"/>
    <w:rsid w:val="04180F6C"/>
    <w:rsid w:val="04294F58"/>
    <w:rsid w:val="043A35D9"/>
    <w:rsid w:val="045A344D"/>
    <w:rsid w:val="04A96068"/>
    <w:rsid w:val="04C133B2"/>
    <w:rsid w:val="05600041"/>
    <w:rsid w:val="058B39C0"/>
    <w:rsid w:val="06B01930"/>
    <w:rsid w:val="06B328AD"/>
    <w:rsid w:val="07133C6D"/>
    <w:rsid w:val="07724E37"/>
    <w:rsid w:val="080C5602"/>
    <w:rsid w:val="08460D9C"/>
    <w:rsid w:val="084E1401"/>
    <w:rsid w:val="089D5EE4"/>
    <w:rsid w:val="08AE04A4"/>
    <w:rsid w:val="09842C00"/>
    <w:rsid w:val="09B75AF6"/>
    <w:rsid w:val="09C42634"/>
    <w:rsid w:val="09EF451D"/>
    <w:rsid w:val="0A326B00"/>
    <w:rsid w:val="0A421857"/>
    <w:rsid w:val="0AC67734"/>
    <w:rsid w:val="0B065FC2"/>
    <w:rsid w:val="0B0E131B"/>
    <w:rsid w:val="0B0F299D"/>
    <w:rsid w:val="0B220922"/>
    <w:rsid w:val="0B9C575C"/>
    <w:rsid w:val="0BB754CD"/>
    <w:rsid w:val="0BB96364"/>
    <w:rsid w:val="0BBC6FA9"/>
    <w:rsid w:val="0BFE313E"/>
    <w:rsid w:val="0C1666D9"/>
    <w:rsid w:val="0C27678D"/>
    <w:rsid w:val="0C2A3F33"/>
    <w:rsid w:val="0C423591"/>
    <w:rsid w:val="0C4C382C"/>
    <w:rsid w:val="0C7C4062"/>
    <w:rsid w:val="0C976C2D"/>
    <w:rsid w:val="0C9C64B3"/>
    <w:rsid w:val="0CA42D96"/>
    <w:rsid w:val="0CF8610F"/>
    <w:rsid w:val="0D0D4D4C"/>
    <w:rsid w:val="0D9C21C9"/>
    <w:rsid w:val="0DFE5677"/>
    <w:rsid w:val="0E236A3E"/>
    <w:rsid w:val="0E2449B2"/>
    <w:rsid w:val="0E6574A4"/>
    <w:rsid w:val="0EA24254"/>
    <w:rsid w:val="0EA87391"/>
    <w:rsid w:val="0EC04B60"/>
    <w:rsid w:val="0EE03857"/>
    <w:rsid w:val="0F0071D6"/>
    <w:rsid w:val="0F1C1554"/>
    <w:rsid w:val="0F9706E1"/>
    <w:rsid w:val="0FDE1AE9"/>
    <w:rsid w:val="103E7FAD"/>
    <w:rsid w:val="10572E1C"/>
    <w:rsid w:val="10974C0A"/>
    <w:rsid w:val="11965BC6"/>
    <w:rsid w:val="11F528ED"/>
    <w:rsid w:val="12110637"/>
    <w:rsid w:val="121D0BF1"/>
    <w:rsid w:val="1243726D"/>
    <w:rsid w:val="12463148"/>
    <w:rsid w:val="134E49AB"/>
    <w:rsid w:val="13755966"/>
    <w:rsid w:val="138E05BB"/>
    <w:rsid w:val="13B30CB1"/>
    <w:rsid w:val="13B660AC"/>
    <w:rsid w:val="13BD38DE"/>
    <w:rsid w:val="13F86586"/>
    <w:rsid w:val="14045069"/>
    <w:rsid w:val="144E4536"/>
    <w:rsid w:val="147A532B"/>
    <w:rsid w:val="14996A51"/>
    <w:rsid w:val="153E61F1"/>
    <w:rsid w:val="15C0622B"/>
    <w:rsid w:val="15D83EBA"/>
    <w:rsid w:val="15E433A4"/>
    <w:rsid w:val="15F30367"/>
    <w:rsid w:val="16CD4493"/>
    <w:rsid w:val="16FC296F"/>
    <w:rsid w:val="17BE6574"/>
    <w:rsid w:val="180C0000"/>
    <w:rsid w:val="18196493"/>
    <w:rsid w:val="18E71B8F"/>
    <w:rsid w:val="19866520"/>
    <w:rsid w:val="19946E8F"/>
    <w:rsid w:val="199E042C"/>
    <w:rsid w:val="19F47F2F"/>
    <w:rsid w:val="1A7F5449"/>
    <w:rsid w:val="1AAC31E9"/>
    <w:rsid w:val="1AB01AA7"/>
    <w:rsid w:val="1AC437A4"/>
    <w:rsid w:val="1B7E1BA5"/>
    <w:rsid w:val="1B882A24"/>
    <w:rsid w:val="1B8F790E"/>
    <w:rsid w:val="1BB43819"/>
    <w:rsid w:val="1C085913"/>
    <w:rsid w:val="1C3F7586"/>
    <w:rsid w:val="1C5A616E"/>
    <w:rsid w:val="1C9D605B"/>
    <w:rsid w:val="1CBF76DB"/>
    <w:rsid w:val="1CF96B9F"/>
    <w:rsid w:val="1D6131F2"/>
    <w:rsid w:val="1DB00010"/>
    <w:rsid w:val="1E0068A1"/>
    <w:rsid w:val="1E1467F1"/>
    <w:rsid w:val="1E3232E1"/>
    <w:rsid w:val="1E3B3D7D"/>
    <w:rsid w:val="1E845724"/>
    <w:rsid w:val="1EC41FC5"/>
    <w:rsid w:val="1F153A5D"/>
    <w:rsid w:val="1F3F164B"/>
    <w:rsid w:val="1F4712C6"/>
    <w:rsid w:val="1F9C6A9E"/>
    <w:rsid w:val="1FC53C27"/>
    <w:rsid w:val="200C65DB"/>
    <w:rsid w:val="203C5B8B"/>
    <w:rsid w:val="205E3D53"/>
    <w:rsid w:val="20B00A53"/>
    <w:rsid w:val="21115269"/>
    <w:rsid w:val="213351E0"/>
    <w:rsid w:val="216D06F2"/>
    <w:rsid w:val="217B78A2"/>
    <w:rsid w:val="21F9443D"/>
    <w:rsid w:val="22630065"/>
    <w:rsid w:val="229D5007"/>
    <w:rsid w:val="22CD6F6E"/>
    <w:rsid w:val="23AB5501"/>
    <w:rsid w:val="23C210A7"/>
    <w:rsid w:val="23C465C3"/>
    <w:rsid w:val="23D42CAA"/>
    <w:rsid w:val="24220FD6"/>
    <w:rsid w:val="24337556"/>
    <w:rsid w:val="24612064"/>
    <w:rsid w:val="247753E3"/>
    <w:rsid w:val="24F0352B"/>
    <w:rsid w:val="24FD0A68"/>
    <w:rsid w:val="252709A9"/>
    <w:rsid w:val="2540611D"/>
    <w:rsid w:val="255B3C04"/>
    <w:rsid w:val="25755DC7"/>
    <w:rsid w:val="258F13C6"/>
    <w:rsid w:val="25A20B86"/>
    <w:rsid w:val="26557F83"/>
    <w:rsid w:val="26CD1C32"/>
    <w:rsid w:val="26D93BDE"/>
    <w:rsid w:val="26EF3957"/>
    <w:rsid w:val="27083E74"/>
    <w:rsid w:val="272B4E59"/>
    <w:rsid w:val="27821E79"/>
    <w:rsid w:val="279A1B15"/>
    <w:rsid w:val="27A94A4F"/>
    <w:rsid w:val="281D5BB3"/>
    <w:rsid w:val="286916DB"/>
    <w:rsid w:val="28BC5ABB"/>
    <w:rsid w:val="28CF1C92"/>
    <w:rsid w:val="2A585CB7"/>
    <w:rsid w:val="2A977947"/>
    <w:rsid w:val="2AF7727E"/>
    <w:rsid w:val="2B1716CE"/>
    <w:rsid w:val="2B1971F4"/>
    <w:rsid w:val="2BDE2AE3"/>
    <w:rsid w:val="2BEC2B5B"/>
    <w:rsid w:val="2BED60B9"/>
    <w:rsid w:val="2CB764FD"/>
    <w:rsid w:val="2CC41594"/>
    <w:rsid w:val="2CDC08C3"/>
    <w:rsid w:val="2D0068BE"/>
    <w:rsid w:val="2D690E85"/>
    <w:rsid w:val="2E185D1A"/>
    <w:rsid w:val="2E53092E"/>
    <w:rsid w:val="2EAE5EA6"/>
    <w:rsid w:val="2ED718A0"/>
    <w:rsid w:val="2F1877C3"/>
    <w:rsid w:val="2F25260C"/>
    <w:rsid w:val="2F642A08"/>
    <w:rsid w:val="2F860BD0"/>
    <w:rsid w:val="2FA03FC4"/>
    <w:rsid w:val="2FC20FDD"/>
    <w:rsid w:val="2FEB500C"/>
    <w:rsid w:val="2FF26EB3"/>
    <w:rsid w:val="301461DC"/>
    <w:rsid w:val="30A752A2"/>
    <w:rsid w:val="30BB2AFC"/>
    <w:rsid w:val="30C03516"/>
    <w:rsid w:val="30D37E45"/>
    <w:rsid w:val="30EA516E"/>
    <w:rsid w:val="313E5C07"/>
    <w:rsid w:val="31682C84"/>
    <w:rsid w:val="316F1ECF"/>
    <w:rsid w:val="31717D8A"/>
    <w:rsid w:val="31A87524"/>
    <w:rsid w:val="31E247E4"/>
    <w:rsid w:val="31F44517"/>
    <w:rsid w:val="324E00CB"/>
    <w:rsid w:val="32546D64"/>
    <w:rsid w:val="32891103"/>
    <w:rsid w:val="32B92D00"/>
    <w:rsid w:val="32E97DF4"/>
    <w:rsid w:val="339B5C84"/>
    <w:rsid w:val="33E505BB"/>
    <w:rsid w:val="33F20F2A"/>
    <w:rsid w:val="33F7209D"/>
    <w:rsid w:val="343F1167"/>
    <w:rsid w:val="346314E0"/>
    <w:rsid w:val="34A2025B"/>
    <w:rsid w:val="34BE4682"/>
    <w:rsid w:val="34BF0E0C"/>
    <w:rsid w:val="351729F7"/>
    <w:rsid w:val="3566572C"/>
    <w:rsid w:val="35B9585C"/>
    <w:rsid w:val="35EF6EE4"/>
    <w:rsid w:val="35F65032"/>
    <w:rsid w:val="361B6516"/>
    <w:rsid w:val="362545F8"/>
    <w:rsid w:val="366652B8"/>
    <w:rsid w:val="366F6FA4"/>
    <w:rsid w:val="37503F9E"/>
    <w:rsid w:val="37D050DF"/>
    <w:rsid w:val="38041359"/>
    <w:rsid w:val="38543F62"/>
    <w:rsid w:val="386D0B7F"/>
    <w:rsid w:val="387168C2"/>
    <w:rsid w:val="38832151"/>
    <w:rsid w:val="38D95A26"/>
    <w:rsid w:val="38F512A1"/>
    <w:rsid w:val="39033292"/>
    <w:rsid w:val="395111E8"/>
    <w:rsid w:val="39693679"/>
    <w:rsid w:val="39810D86"/>
    <w:rsid w:val="399D1DD6"/>
    <w:rsid w:val="39C742BF"/>
    <w:rsid w:val="39EB4452"/>
    <w:rsid w:val="3A1439A9"/>
    <w:rsid w:val="3A575643"/>
    <w:rsid w:val="3A59015E"/>
    <w:rsid w:val="3A9126BD"/>
    <w:rsid w:val="3B337E5E"/>
    <w:rsid w:val="3BE15B0C"/>
    <w:rsid w:val="3BF257CA"/>
    <w:rsid w:val="3C127E96"/>
    <w:rsid w:val="3C5E0B3E"/>
    <w:rsid w:val="3C666012"/>
    <w:rsid w:val="3C7200EF"/>
    <w:rsid w:val="3D2739F3"/>
    <w:rsid w:val="3D5F13DF"/>
    <w:rsid w:val="3DA54918"/>
    <w:rsid w:val="3DD63C16"/>
    <w:rsid w:val="3DDA05E5"/>
    <w:rsid w:val="3DF53AF1"/>
    <w:rsid w:val="3ECF60F0"/>
    <w:rsid w:val="3EF677E2"/>
    <w:rsid w:val="3F5150F2"/>
    <w:rsid w:val="3F7D78FA"/>
    <w:rsid w:val="3FA255B3"/>
    <w:rsid w:val="3FFD4EDF"/>
    <w:rsid w:val="40185875"/>
    <w:rsid w:val="40503261"/>
    <w:rsid w:val="40A67324"/>
    <w:rsid w:val="40AA687D"/>
    <w:rsid w:val="40E439A9"/>
    <w:rsid w:val="41163267"/>
    <w:rsid w:val="411E7700"/>
    <w:rsid w:val="41B45A71"/>
    <w:rsid w:val="41CB242A"/>
    <w:rsid w:val="42CC3B2C"/>
    <w:rsid w:val="42DC702D"/>
    <w:rsid w:val="432E715D"/>
    <w:rsid w:val="43805C0B"/>
    <w:rsid w:val="438D1DAF"/>
    <w:rsid w:val="43DE6DD5"/>
    <w:rsid w:val="44406DAA"/>
    <w:rsid w:val="444C2BC0"/>
    <w:rsid w:val="44CB735A"/>
    <w:rsid w:val="44D677B2"/>
    <w:rsid w:val="45264590"/>
    <w:rsid w:val="45623D63"/>
    <w:rsid w:val="45996EB8"/>
    <w:rsid w:val="461245A8"/>
    <w:rsid w:val="461E795D"/>
    <w:rsid w:val="462E5E6E"/>
    <w:rsid w:val="464E6A92"/>
    <w:rsid w:val="46767799"/>
    <w:rsid w:val="46C73B51"/>
    <w:rsid w:val="46DD5122"/>
    <w:rsid w:val="46F57C53"/>
    <w:rsid w:val="47643C7B"/>
    <w:rsid w:val="482F5E51"/>
    <w:rsid w:val="48455675"/>
    <w:rsid w:val="486874D5"/>
    <w:rsid w:val="48743864"/>
    <w:rsid w:val="48A56114"/>
    <w:rsid w:val="48FE5479"/>
    <w:rsid w:val="492E435B"/>
    <w:rsid w:val="49CC0FB2"/>
    <w:rsid w:val="49E95DD2"/>
    <w:rsid w:val="49F92273"/>
    <w:rsid w:val="4B35552D"/>
    <w:rsid w:val="4B375749"/>
    <w:rsid w:val="4B7F5343"/>
    <w:rsid w:val="4B906C07"/>
    <w:rsid w:val="4BE33F9B"/>
    <w:rsid w:val="4C123AC0"/>
    <w:rsid w:val="4C2D3C9F"/>
    <w:rsid w:val="4C8A2770"/>
    <w:rsid w:val="4CE64AC4"/>
    <w:rsid w:val="4CF3569F"/>
    <w:rsid w:val="4CF51418"/>
    <w:rsid w:val="4CF669CB"/>
    <w:rsid w:val="4DB52955"/>
    <w:rsid w:val="4E0F6509"/>
    <w:rsid w:val="4E141B5F"/>
    <w:rsid w:val="4E320449"/>
    <w:rsid w:val="4EC56BC8"/>
    <w:rsid w:val="4ECC43FA"/>
    <w:rsid w:val="4EFB6A8D"/>
    <w:rsid w:val="4F8545A9"/>
    <w:rsid w:val="4FDD63B1"/>
    <w:rsid w:val="50396934"/>
    <w:rsid w:val="5060304C"/>
    <w:rsid w:val="506D5769"/>
    <w:rsid w:val="50E0152B"/>
    <w:rsid w:val="51786173"/>
    <w:rsid w:val="5181771E"/>
    <w:rsid w:val="51D0115E"/>
    <w:rsid w:val="52302970"/>
    <w:rsid w:val="52595FA5"/>
    <w:rsid w:val="52DF0F1F"/>
    <w:rsid w:val="53051C89"/>
    <w:rsid w:val="53B13BBE"/>
    <w:rsid w:val="54334068"/>
    <w:rsid w:val="543842E0"/>
    <w:rsid w:val="546463D8"/>
    <w:rsid w:val="54C73B0D"/>
    <w:rsid w:val="54CB6F02"/>
    <w:rsid w:val="54D758A7"/>
    <w:rsid w:val="559D0A05"/>
    <w:rsid w:val="55A3573C"/>
    <w:rsid w:val="55CA674D"/>
    <w:rsid w:val="55DD513F"/>
    <w:rsid w:val="56204B57"/>
    <w:rsid w:val="562543F0"/>
    <w:rsid w:val="56B37C4E"/>
    <w:rsid w:val="570E0518"/>
    <w:rsid w:val="578B0416"/>
    <w:rsid w:val="57F95B34"/>
    <w:rsid w:val="58207565"/>
    <w:rsid w:val="590A14DD"/>
    <w:rsid w:val="594B7688"/>
    <w:rsid w:val="59894B9F"/>
    <w:rsid w:val="59C3464B"/>
    <w:rsid w:val="59C4289D"/>
    <w:rsid w:val="59CF35C4"/>
    <w:rsid w:val="5A3442E8"/>
    <w:rsid w:val="5A655FE2"/>
    <w:rsid w:val="5A74483E"/>
    <w:rsid w:val="5AA61FA3"/>
    <w:rsid w:val="5AE96334"/>
    <w:rsid w:val="5AFC6067"/>
    <w:rsid w:val="5B832808"/>
    <w:rsid w:val="5B9A6F48"/>
    <w:rsid w:val="5BEA3E7B"/>
    <w:rsid w:val="5C7210C9"/>
    <w:rsid w:val="5CF402CC"/>
    <w:rsid w:val="5D691C96"/>
    <w:rsid w:val="5DAB2539"/>
    <w:rsid w:val="5DB1138B"/>
    <w:rsid w:val="5DC170F4"/>
    <w:rsid w:val="5E6A32E8"/>
    <w:rsid w:val="5F874378"/>
    <w:rsid w:val="5F922AF6"/>
    <w:rsid w:val="5F9A4E71"/>
    <w:rsid w:val="5FA52946"/>
    <w:rsid w:val="5FB32A6C"/>
    <w:rsid w:val="5FCA4645"/>
    <w:rsid w:val="5FCA6734"/>
    <w:rsid w:val="5FFA037E"/>
    <w:rsid w:val="6085265B"/>
    <w:rsid w:val="61375910"/>
    <w:rsid w:val="61457E1B"/>
    <w:rsid w:val="6166423A"/>
    <w:rsid w:val="61B70C1F"/>
    <w:rsid w:val="61BA27D8"/>
    <w:rsid w:val="61CA2A1B"/>
    <w:rsid w:val="61CB0541"/>
    <w:rsid w:val="628506F0"/>
    <w:rsid w:val="62C51434"/>
    <w:rsid w:val="62D6504E"/>
    <w:rsid w:val="62F728DD"/>
    <w:rsid w:val="62FB4E56"/>
    <w:rsid w:val="63557541"/>
    <w:rsid w:val="63974B7F"/>
    <w:rsid w:val="63B7355E"/>
    <w:rsid w:val="63DC4C88"/>
    <w:rsid w:val="63EA57DA"/>
    <w:rsid w:val="64031FD2"/>
    <w:rsid w:val="64151F48"/>
    <w:rsid w:val="64161DA3"/>
    <w:rsid w:val="644F0FB6"/>
    <w:rsid w:val="649D35AC"/>
    <w:rsid w:val="64A4784A"/>
    <w:rsid w:val="64BB489D"/>
    <w:rsid w:val="64CF659A"/>
    <w:rsid w:val="64D771FD"/>
    <w:rsid w:val="64EF4F26"/>
    <w:rsid w:val="64F46001"/>
    <w:rsid w:val="65A65A24"/>
    <w:rsid w:val="65DA0D53"/>
    <w:rsid w:val="65F75DA9"/>
    <w:rsid w:val="66017845"/>
    <w:rsid w:val="66044022"/>
    <w:rsid w:val="663743F7"/>
    <w:rsid w:val="66680C67"/>
    <w:rsid w:val="668533B4"/>
    <w:rsid w:val="66E85FF5"/>
    <w:rsid w:val="670378F6"/>
    <w:rsid w:val="671D6C79"/>
    <w:rsid w:val="67803B7C"/>
    <w:rsid w:val="67966EFB"/>
    <w:rsid w:val="67C577E1"/>
    <w:rsid w:val="68224C33"/>
    <w:rsid w:val="68684D3A"/>
    <w:rsid w:val="6885769C"/>
    <w:rsid w:val="688650A3"/>
    <w:rsid w:val="68CF26D3"/>
    <w:rsid w:val="68EC0BDC"/>
    <w:rsid w:val="69554FCC"/>
    <w:rsid w:val="696574CD"/>
    <w:rsid w:val="6A273964"/>
    <w:rsid w:val="6A2D7FEB"/>
    <w:rsid w:val="6A794FDE"/>
    <w:rsid w:val="6A8E035E"/>
    <w:rsid w:val="6AA61B4B"/>
    <w:rsid w:val="6B252A70"/>
    <w:rsid w:val="6B5B4159"/>
    <w:rsid w:val="6BC14A92"/>
    <w:rsid w:val="6C077E75"/>
    <w:rsid w:val="6C1C0317"/>
    <w:rsid w:val="6CA1081C"/>
    <w:rsid w:val="6CAB3449"/>
    <w:rsid w:val="6CBF6EF4"/>
    <w:rsid w:val="6CFB08C4"/>
    <w:rsid w:val="6D317DF2"/>
    <w:rsid w:val="6D4573FA"/>
    <w:rsid w:val="6DDB5FB0"/>
    <w:rsid w:val="6DFA1AA7"/>
    <w:rsid w:val="6E4C0C5C"/>
    <w:rsid w:val="6E9F2B3A"/>
    <w:rsid w:val="6EC627BC"/>
    <w:rsid w:val="6F35524C"/>
    <w:rsid w:val="6F3E6B90"/>
    <w:rsid w:val="6F8B07EA"/>
    <w:rsid w:val="6FC54822"/>
    <w:rsid w:val="70027824"/>
    <w:rsid w:val="705D1091"/>
    <w:rsid w:val="705D2F4A"/>
    <w:rsid w:val="70622071"/>
    <w:rsid w:val="710B6BAC"/>
    <w:rsid w:val="71662034"/>
    <w:rsid w:val="71D13952"/>
    <w:rsid w:val="72141A90"/>
    <w:rsid w:val="72233A82"/>
    <w:rsid w:val="7238577F"/>
    <w:rsid w:val="728A45F4"/>
    <w:rsid w:val="728C1627"/>
    <w:rsid w:val="72C94629"/>
    <w:rsid w:val="72FC1311"/>
    <w:rsid w:val="73274B12"/>
    <w:rsid w:val="73801F1C"/>
    <w:rsid w:val="7386076C"/>
    <w:rsid w:val="73E536E4"/>
    <w:rsid w:val="73E641AE"/>
    <w:rsid w:val="74B03CF2"/>
    <w:rsid w:val="74C925A6"/>
    <w:rsid w:val="75197A63"/>
    <w:rsid w:val="75701C77"/>
    <w:rsid w:val="759C7DD3"/>
    <w:rsid w:val="75B07D22"/>
    <w:rsid w:val="75EB2B08"/>
    <w:rsid w:val="75FD6934"/>
    <w:rsid w:val="76DE7412"/>
    <w:rsid w:val="76FF686B"/>
    <w:rsid w:val="775557EE"/>
    <w:rsid w:val="77994137"/>
    <w:rsid w:val="77E141C3"/>
    <w:rsid w:val="780D28D6"/>
    <w:rsid w:val="7822050D"/>
    <w:rsid w:val="78896E24"/>
    <w:rsid w:val="78CC3CF7"/>
    <w:rsid w:val="78D76B8F"/>
    <w:rsid w:val="78DB6E64"/>
    <w:rsid w:val="79102FB2"/>
    <w:rsid w:val="79C43D9C"/>
    <w:rsid w:val="7A097A01"/>
    <w:rsid w:val="7A342CD0"/>
    <w:rsid w:val="7A817EAD"/>
    <w:rsid w:val="7AB756AF"/>
    <w:rsid w:val="7ADE6B49"/>
    <w:rsid w:val="7B072192"/>
    <w:rsid w:val="7B0A41E6"/>
    <w:rsid w:val="7B2C7E4B"/>
    <w:rsid w:val="7B767318"/>
    <w:rsid w:val="7BA06143"/>
    <w:rsid w:val="7BCC6F38"/>
    <w:rsid w:val="7BE10C35"/>
    <w:rsid w:val="7BE35A96"/>
    <w:rsid w:val="7C240B22"/>
    <w:rsid w:val="7C297A9E"/>
    <w:rsid w:val="7C2D3E7B"/>
    <w:rsid w:val="7C484810"/>
    <w:rsid w:val="7C661E25"/>
    <w:rsid w:val="7CA413CC"/>
    <w:rsid w:val="7CA57EB5"/>
    <w:rsid w:val="7CEE5DFF"/>
    <w:rsid w:val="7CFF06D7"/>
    <w:rsid w:val="7D0A41BC"/>
    <w:rsid w:val="7D504147"/>
    <w:rsid w:val="7D5E522E"/>
    <w:rsid w:val="7D692C90"/>
    <w:rsid w:val="7E3F7E95"/>
    <w:rsid w:val="7F477001"/>
    <w:rsid w:val="7F78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3921</Words>
  <Characters>4057</Characters>
  <Lines>0</Lines>
  <Paragraphs>0</Paragraphs>
  <TotalTime>0</TotalTime>
  <ScaleCrop>false</ScaleCrop>
  <LinksUpToDate>false</LinksUpToDate>
  <CharactersWithSpaces>4113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2025-08-25T09:24:41Z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