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96F958">
      <w:pPr>
        <w:spacing w:before="169" w:line="220" w:lineRule="auto"/>
        <w:jc w:val="center"/>
        <w:outlineLvl w:val="0"/>
        <w:rPr>
          <w:rFonts w:hint="eastAsia" w:ascii="宋体" w:hAnsi="宋体" w:cs="宋体"/>
          <w:b/>
          <w:bCs/>
          <w:spacing w:val="-8"/>
          <w:sz w:val="52"/>
          <w:szCs w:val="52"/>
          <w:lang w:val="en-US" w:eastAsia="zh-CN"/>
        </w:rPr>
      </w:pPr>
    </w:p>
    <w:p w14:paraId="356CA9C2">
      <w:pPr>
        <w:spacing w:before="169" w:line="220" w:lineRule="auto"/>
        <w:jc w:val="center"/>
        <w:outlineLvl w:val="0"/>
        <w:rPr>
          <w:rFonts w:hint="eastAsia" w:ascii="宋体" w:hAnsi="宋体" w:cs="宋体"/>
          <w:b/>
          <w:bCs/>
          <w:spacing w:val="-8"/>
          <w:sz w:val="52"/>
          <w:szCs w:val="52"/>
          <w:lang w:val="en-US" w:eastAsia="zh-CN"/>
        </w:rPr>
      </w:pPr>
    </w:p>
    <w:p w14:paraId="0D6DC111">
      <w:pPr>
        <w:spacing w:before="169" w:line="220" w:lineRule="auto"/>
        <w:jc w:val="center"/>
        <w:outlineLvl w:val="0"/>
        <w:rPr>
          <w:rFonts w:hint="eastAsia" w:ascii="宋体" w:hAnsi="宋体" w:cs="宋体"/>
          <w:b/>
          <w:bCs/>
          <w:spacing w:val="-8"/>
          <w:sz w:val="52"/>
          <w:szCs w:val="52"/>
          <w:lang w:val="en-US" w:eastAsia="zh-CN"/>
        </w:rPr>
      </w:pPr>
    </w:p>
    <w:p w14:paraId="08C6CA3E">
      <w:pPr>
        <w:spacing w:before="169" w:line="220" w:lineRule="auto"/>
        <w:jc w:val="center"/>
        <w:outlineLvl w:val="0"/>
        <w:rPr>
          <w:rFonts w:hint="eastAsia" w:ascii="宋体" w:hAnsi="宋体" w:cs="宋体"/>
          <w:b/>
          <w:bCs/>
          <w:spacing w:val="-8"/>
          <w:sz w:val="52"/>
          <w:szCs w:val="52"/>
          <w:lang w:val="en-US" w:eastAsia="zh-CN"/>
        </w:rPr>
      </w:pPr>
    </w:p>
    <w:p w14:paraId="68815030">
      <w:pPr>
        <w:spacing w:before="169" w:line="220" w:lineRule="auto"/>
        <w:jc w:val="center"/>
        <w:outlineLvl w:val="0"/>
        <w:rPr>
          <w:rFonts w:hint="eastAsia" w:ascii="宋体" w:hAnsi="宋体" w:cs="宋体"/>
          <w:b/>
          <w:bCs/>
          <w:spacing w:val="-8"/>
          <w:sz w:val="52"/>
          <w:szCs w:val="52"/>
          <w:lang w:val="en-US" w:eastAsia="zh-CN"/>
        </w:rPr>
      </w:pPr>
      <w:r>
        <w:rPr>
          <w:rFonts w:hint="eastAsia" w:ascii="宋体" w:hAnsi="宋体" w:cs="宋体"/>
          <w:b/>
          <w:bCs/>
          <w:spacing w:val="-8"/>
          <w:sz w:val="52"/>
          <w:szCs w:val="52"/>
          <w:lang w:val="en-US" w:eastAsia="zh-CN"/>
        </w:rPr>
        <w:t>服务可用性和业务连续性</w:t>
      </w:r>
    </w:p>
    <w:p w14:paraId="1C5DE04D">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管理制度</w:t>
      </w:r>
    </w:p>
    <w:p w14:paraId="59AC3876">
      <w:pPr>
        <w:pStyle w:val="12"/>
        <w:spacing w:line="259" w:lineRule="auto"/>
      </w:pPr>
    </w:p>
    <w:p w14:paraId="152AD3D0">
      <w:pPr>
        <w:pStyle w:val="12"/>
        <w:spacing w:line="259" w:lineRule="auto"/>
      </w:pPr>
    </w:p>
    <w:p w14:paraId="458DFB29">
      <w:pPr>
        <w:pStyle w:val="12"/>
        <w:spacing w:line="259" w:lineRule="auto"/>
      </w:pPr>
    </w:p>
    <w:p w14:paraId="6A0693C4">
      <w:pPr>
        <w:pStyle w:val="12"/>
        <w:spacing w:line="259" w:lineRule="auto"/>
      </w:pPr>
    </w:p>
    <w:p w14:paraId="3C52D6EF">
      <w:pPr>
        <w:pStyle w:val="12"/>
        <w:spacing w:line="259" w:lineRule="auto"/>
      </w:pPr>
    </w:p>
    <w:p w14:paraId="25486F98">
      <w:pPr>
        <w:spacing w:line="1293" w:lineRule="exact"/>
        <w:jc w:val="center"/>
      </w:pPr>
    </w:p>
    <w:p w14:paraId="78957DD8">
      <w:pPr>
        <w:pStyle w:val="12"/>
        <w:spacing w:line="245" w:lineRule="auto"/>
      </w:pPr>
    </w:p>
    <w:p w14:paraId="6BBC0FD4">
      <w:pPr>
        <w:pStyle w:val="12"/>
        <w:spacing w:line="245" w:lineRule="auto"/>
      </w:pPr>
    </w:p>
    <w:p w14:paraId="7F64B495">
      <w:pPr>
        <w:pStyle w:val="12"/>
        <w:spacing w:line="245" w:lineRule="auto"/>
      </w:pPr>
    </w:p>
    <w:p w14:paraId="1A640343">
      <w:pPr>
        <w:pStyle w:val="12"/>
        <w:spacing w:line="245" w:lineRule="auto"/>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8"/>
                    <a:stretch>
                      <a:fillRect/>
                    </a:stretch>
                  </pic:blipFill>
                  <pic:spPr>
                    <a:xfrm>
                      <a:off x="0" y="0"/>
                      <a:ext cx="2757599" cy="820799"/>
                    </a:xfrm>
                    <a:prstGeom prst="rect">
                      <a:avLst/>
                    </a:prstGeom>
                  </pic:spPr>
                </pic:pic>
              </a:graphicData>
            </a:graphic>
          </wp:inline>
        </w:drawing>
      </w:r>
    </w:p>
    <w:p w14:paraId="7FE8C939">
      <w:pPr>
        <w:pStyle w:val="12"/>
        <w:spacing w:line="245" w:lineRule="auto"/>
      </w:pPr>
    </w:p>
    <w:p w14:paraId="4BC21E39">
      <w:pPr>
        <w:pStyle w:val="12"/>
        <w:spacing w:line="245" w:lineRule="auto"/>
      </w:pPr>
    </w:p>
    <w:p w14:paraId="11404F06">
      <w:pPr>
        <w:pStyle w:val="12"/>
        <w:spacing w:line="245" w:lineRule="auto"/>
      </w:pPr>
    </w:p>
    <w:p w14:paraId="705D17E1">
      <w:pPr>
        <w:pStyle w:val="12"/>
        <w:spacing w:line="245" w:lineRule="auto"/>
      </w:pPr>
    </w:p>
    <w:p w14:paraId="7C754496">
      <w:pPr>
        <w:pStyle w:val="12"/>
        <w:spacing w:line="245" w:lineRule="auto"/>
      </w:pPr>
    </w:p>
    <w:p w14:paraId="2FA4378E">
      <w:pPr>
        <w:pStyle w:val="12"/>
        <w:spacing w:line="245" w:lineRule="auto"/>
      </w:pPr>
    </w:p>
    <w:p w14:paraId="77659CE9">
      <w:pPr>
        <w:pStyle w:val="12"/>
        <w:spacing w:line="245" w:lineRule="auto"/>
      </w:pPr>
    </w:p>
    <w:p w14:paraId="098D4285">
      <w:pPr>
        <w:pStyle w:val="12"/>
        <w:spacing w:line="245" w:lineRule="auto"/>
      </w:pPr>
    </w:p>
    <w:p w14:paraId="5FD0A2B7">
      <w:pPr>
        <w:pStyle w:val="12"/>
        <w:spacing w:line="245" w:lineRule="auto"/>
      </w:pPr>
    </w:p>
    <w:p w14:paraId="2A891BC6">
      <w:pPr>
        <w:pStyle w:val="12"/>
        <w:spacing w:line="245" w:lineRule="auto"/>
      </w:pPr>
    </w:p>
    <w:p w14:paraId="4145221C">
      <w:pPr>
        <w:pStyle w:val="12"/>
        <w:spacing w:line="245" w:lineRule="auto"/>
      </w:pPr>
    </w:p>
    <w:p w14:paraId="7B2E6825">
      <w:pPr>
        <w:pStyle w:val="12"/>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7F97877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21DF5763">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00EBB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A6B082E">
            <w:pPr>
              <w:pStyle w:val="27"/>
              <w:spacing w:before="199" w:line="220" w:lineRule="auto"/>
              <w:ind w:left="225"/>
            </w:pPr>
            <w:r>
              <w:rPr>
                <w:spacing w:val="-2"/>
              </w:rPr>
              <w:t>文档名称编号</w:t>
            </w:r>
          </w:p>
        </w:tc>
        <w:tc>
          <w:tcPr>
            <w:tcW w:w="7367" w:type="dxa"/>
            <w:gridSpan w:val="4"/>
            <w:vAlign w:val="top"/>
          </w:tcPr>
          <w:p w14:paraId="55EBD317">
            <w:pPr>
              <w:pStyle w:val="27"/>
              <w:spacing w:before="200" w:line="218" w:lineRule="auto"/>
              <w:ind w:left="108"/>
            </w:pPr>
            <w:r>
              <w:rPr>
                <w:rFonts w:hint="eastAsia" w:eastAsia="宋体"/>
                <w:spacing w:val="-1"/>
                <w:lang w:val="en-US" w:eastAsia="zh-CN"/>
              </w:rPr>
              <w:t>服务可用性和业务连续性管理</w:t>
            </w:r>
            <w:r>
              <w:rPr>
                <w:rFonts w:hint="eastAsia"/>
                <w:spacing w:val="-1"/>
                <w:lang w:val="en-US" w:eastAsia="zh-CN"/>
              </w:rPr>
              <w:t>制度</w:t>
            </w:r>
            <w:r>
              <w:rPr>
                <w:spacing w:val="-1"/>
              </w:rPr>
              <w:t>（HHLC-ITSS-</w:t>
            </w:r>
            <w:r>
              <w:rPr>
                <w:rFonts w:hint="eastAsia" w:eastAsia="宋体"/>
                <w:spacing w:val="-1"/>
                <w:lang w:val="en-US" w:eastAsia="zh-CN"/>
              </w:rPr>
              <w:t>FWKYX/YWLXX</w:t>
            </w:r>
            <w:r>
              <w:rPr>
                <w:spacing w:val="-1"/>
              </w:rPr>
              <w:t>）</w:t>
            </w:r>
          </w:p>
        </w:tc>
      </w:tr>
      <w:tr w14:paraId="0F6C5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AD40353">
            <w:pPr>
              <w:pStyle w:val="27"/>
              <w:spacing w:before="196" w:line="220" w:lineRule="auto"/>
              <w:ind w:left="435"/>
            </w:pPr>
            <w:r>
              <w:rPr>
                <w:spacing w:val="-2"/>
              </w:rPr>
              <w:t>编制单位</w:t>
            </w:r>
          </w:p>
        </w:tc>
        <w:tc>
          <w:tcPr>
            <w:tcW w:w="7367" w:type="dxa"/>
            <w:gridSpan w:val="4"/>
            <w:vAlign w:val="top"/>
          </w:tcPr>
          <w:p w14:paraId="19F0E04C">
            <w:pPr>
              <w:pStyle w:val="27"/>
              <w:spacing w:before="197" w:line="219" w:lineRule="auto"/>
              <w:ind w:left="108"/>
            </w:pPr>
            <w:r>
              <w:rPr>
                <w:spacing w:val="-1"/>
              </w:rPr>
              <w:t>青岛慧海联创信息技术有限公司</w:t>
            </w:r>
          </w:p>
        </w:tc>
      </w:tr>
      <w:tr w14:paraId="3B77C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9DA4518">
            <w:pPr>
              <w:pStyle w:val="27"/>
              <w:spacing w:before="199" w:line="219" w:lineRule="auto"/>
              <w:ind w:left="435"/>
            </w:pPr>
            <w:r>
              <w:rPr>
                <w:spacing w:val="-2"/>
              </w:rPr>
              <w:t>文档版本</w:t>
            </w:r>
          </w:p>
        </w:tc>
        <w:tc>
          <w:tcPr>
            <w:tcW w:w="1555" w:type="dxa"/>
            <w:vAlign w:val="top"/>
          </w:tcPr>
          <w:p w14:paraId="53CF1C51">
            <w:pPr>
              <w:pStyle w:val="27"/>
              <w:spacing w:before="199" w:line="219" w:lineRule="auto"/>
              <w:ind w:left="359"/>
            </w:pPr>
            <w:r>
              <w:rPr>
                <w:spacing w:val="-2"/>
              </w:rPr>
              <w:t>版本日期</w:t>
            </w:r>
          </w:p>
        </w:tc>
        <w:tc>
          <w:tcPr>
            <w:tcW w:w="2302" w:type="dxa"/>
            <w:vAlign w:val="top"/>
          </w:tcPr>
          <w:p w14:paraId="55A29AC3">
            <w:pPr>
              <w:pStyle w:val="27"/>
              <w:spacing w:before="199" w:line="219" w:lineRule="auto"/>
              <w:ind w:left="735"/>
            </w:pPr>
            <w:r>
              <w:rPr>
                <w:spacing w:val="-2"/>
              </w:rPr>
              <w:t>版本说明</w:t>
            </w:r>
          </w:p>
        </w:tc>
        <w:tc>
          <w:tcPr>
            <w:tcW w:w="1557" w:type="dxa"/>
            <w:vAlign w:val="top"/>
          </w:tcPr>
          <w:p w14:paraId="3F5C2AB9">
            <w:pPr>
              <w:pStyle w:val="27"/>
              <w:spacing w:before="199" w:line="220" w:lineRule="auto"/>
              <w:ind w:left="575"/>
            </w:pPr>
            <w:r>
              <w:rPr>
                <w:spacing w:val="-3"/>
              </w:rPr>
              <w:t>作者</w:t>
            </w:r>
          </w:p>
        </w:tc>
        <w:tc>
          <w:tcPr>
            <w:tcW w:w="1953" w:type="dxa"/>
            <w:vAlign w:val="top"/>
          </w:tcPr>
          <w:p w14:paraId="4B237AC3">
            <w:pPr>
              <w:pStyle w:val="27"/>
              <w:spacing w:before="199" w:line="220" w:lineRule="auto"/>
              <w:ind w:left="782"/>
            </w:pPr>
            <w:r>
              <w:rPr>
                <w:spacing w:val="-5"/>
              </w:rPr>
              <w:t>审核</w:t>
            </w:r>
          </w:p>
        </w:tc>
      </w:tr>
      <w:tr w14:paraId="5CDADD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44BEBAAD">
            <w:pPr>
              <w:pStyle w:val="27"/>
              <w:spacing w:before="163" w:line="239" w:lineRule="auto"/>
              <w:ind w:left="638"/>
            </w:pPr>
            <w:r>
              <w:rPr>
                <w:spacing w:val="-1"/>
              </w:rPr>
              <w:t>V1.0</w:t>
            </w:r>
          </w:p>
        </w:tc>
        <w:tc>
          <w:tcPr>
            <w:tcW w:w="1555" w:type="dxa"/>
            <w:vAlign w:val="top"/>
          </w:tcPr>
          <w:p w14:paraId="5BECA2F1">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381AB938">
            <w:pPr>
              <w:pStyle w:val="27"/>
              <w:spacing w:before="133" w:line="219" w:lineRule="auto"/>
              <w:ind w:left="738"/>
            </w:pPr>
            <w:r>
              <w:rPr>
                <w:spacing w:val="-3"/>
              </w:rPr>
              <w:t>发布版本</w:t>
            </w:r>
          </w:p>
        </w:tc>
        <w:tc>
          <w:tcPr>
            <w:tcW w:w="1557" w:type="dxa"/>
            <w:vAlign w:val="top"/>
          </w:tcPr>
          <w:p w14:paraId="1A701FDC">
            <w:pPr>
              <w:pStyle w:val="27"/>
              <w:spacing w:before="134" w:line="220" w:lineRule="auto"/>
              <w:ind w:left="480"/>
              <w:rPr>
                <w:rFonts w:hint="eastAsia" w:eastAsia="宋体"/>
                <w:lang w:val="en-US" w:eastAsia="zh-CN"/>
              </w:rPr>
            </w:pPr>
            <w:r>
              <w:rPr>
                <w:rFonts w:hint="eastAsia"/>
                <w:lang w:val="en-US" w:eastAsia="zh-CN"/>
              </w:rPr>
              <w:t>郑永伟</w:t>
            </w:r>
          </w:p>
        </w:tc>
        <w:tc>
          <w:tcPr>
            <w:tcW w:w="1953" w:type="dxa"/>
            <w:vAlign w:val="top"/>
          </w:tcPr>
          <w:p w14:paraId="60610F23">
            <w:pPr>
              <w:pStyle w:val="27"/>
              <w:spacing w:before="133" w:line="220" w:lineRule="auto"/>
              <w:ind w:left="672"/>
            </w:pPr>
            <w:r>
              <w:rPr>
                <w:spacing w:val="-3"/>
              </w:rPr>
              <w:t>张仲全</w:t>
            </w:r>
          </w:p>
        </w:tc>
      </w:tr>
      <w:tr w14:paraId="308A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1055C2FD">
            <w:pPr>
              <w:pStyle w:val="27"/>
              <w:spacing w:before="164" w:line="239" w:lineRule="auto"/>
              <w:ind w:left="638"/>
            </w:pPr>
          </w:p>
        </w:tc>
        <w:tc>
          <w:tcPr>
            <w:tcW w:w="1555" w:type="dxa"/>
            <w:vAlign w:val="top"/>
          </w:tcPr>
          <w:p w14:paraId="34C2C40A">
            <w:pPr>
              <w:pStyle w:val="27"/>
              <w:spacing w:before="164"/>
              <w:ind w:left="361"/>
            </w:pPr>
          </w:p>
        </w:tc>
        <w:tc>
          <w:tcPr>
            <w:tcW w:w="2302" w:type="dxa"/>
            <w:vAlign w:val="top"/>
          </w:tcPr>
          <w:p w14:paraId="3B6237E9">
            <w:pPr>
              <w:pStyle w:val="27"/>
              <w:spacing w:before="134" w:line="219" w:lineRule="auto"/>
              <w:ind w:left="737"/>
            </w:pPr>
          </w:p>
        </w:tc>
        <w:tc>
          <w:tcPr>
            <w:tcW w:w="1557" w:type="dxa"/>
            <w:vAlign w:val="top"/>
          </w:tcPr>
          <w:p w14:paraId="4941C11D">
            <w:pPr>
              <w:pStyle w:val="27"/>
              <w:spacing w:before="135" w:line="220" w:lineRule="auto"/>
              <w:ind w:left="480"/>
            </w:pPr>
          </w:p>
        </w:tc>
        <w:tc>
          <w:tcPr>
            <w:tcW w:w="1953" w:type="dxa"/>
            <w:vAlign w:val="top"/>
          </w:tcPr>
          <w:p w14:paraId="0719077A">
            <w:pPr>
              <w:pStyle w:val="27"/>
              <w:spacing w:before="134" w:line="220" w:lineRule="auto"/>
              <w:ind w:left="672"/>
            </w:pPr>
          </w:p>
        </w:tc>
      </w:tr>
      <w:tr w14:paraId="6FB8F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B8A7CCF">
            <w:pPr>
              <w:pStyle w:val="27"/>
              <w:spacing w:before="165" w:line="239" w:lineRule="auto"/>
              <w:ind w:left="638"/>
            </w:pPr>
          </w:p>
        </w:tc>
        <w:tc>
          <w:tcPr>
            <w:tcW w:w="1555" w:type="dxa"/>
            <w:vAlign w:val="top"/>
          </w:tcPr>
          <w:p w14:paraId="31C1F470">
            <w:pPr>
              <w:pStyle w:val="27"/>
              <w:spacing w:before="165"/>
              <w:ind w:left="361"/>
            </w:pPr>
          </w:p>
        </w:tc>
        <w:tc>
          <w:tcPr>
            <w:tcW w:w="2302" w:type="dxa"/>
            <w:vAlign w:val="top"/>
          </w:tcPr>
          <w:p w14:paraId="61F77492">
            <w:pPr>
              <w:pStyle w:val="27"/>
              <w:spacing w:before="135" w:line="219" w:lineRule="auto"/>
              <w:ind w:left="737"/>
            </w:pPr>
          </w:p>
        </w:tc>
        <w:tc>
          <w:tcPr>
            <w:tcW w:w="1557" w:type="dxa"/>
            <w:vAlign w:val="top"/>
          </w:tcPr>
          <w:p w14:paraId="265EB132">
            <w:pPr>
              <w:pStyle w:val="27"/>
              <w:spacing w:before="136" w:line="220" w:lineRule="auto"/>
              <w:ind w:left="480"/>
            </w:pPr>
          </w:p>
        </w:tc>
        <w:tc>
          <w:tcPr>
            <w:tcW w:w="1953" w:type="dxa"/>
            <w:vAlign w:val="top"/>
          </w:tcPr>
          <w:p w14:paraId="4EBE48EA">
            <w:pPr>
              <w:pStyle w:val="27"/>
              <w:spacing w:before="135" w:line="220" w:lineRule="auto"/>
              <w:ind w:left="672"/>
            </w:pPr>
          </w:p>
        </w:tc>
      </w:tr>
      <w:tr w14:paraId="023FE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F0F1D1">
            <w:pPr>
              <w:pStyle w:val="27"/>
              <w:spacing w:before="166" w:line="239" w:lineRule="auto"/>
              <w:ind w:left="638"/>
            </w:pPr>
          </w:p>
        </w:tc>
        <w:tc>
          <w:tcPr>
            <w:tcW w:w="1555" w:type="dxa"/>
            <w:vAlign w:val="top"/>
          </w:tcPr>
          <w:p w14:paraId="17743274">
            <w:pPr>
              <w:pStyle w:val="27"/>
              <w:spacing w:before="166"/>
              <w:ind w:left="361"/>
            </w:pPr>
          </w:p>
        </w:tc>
        <w:tc>
          <w:tcPr>
            <w:tcW w:w="2302" w:type="dxa"/>
            <w:vAlign w:val="top"/>
          </w:tcPr>
          <w:p w14:paraId="3E0265D2">
            <w:pPr>
              <w:pStyle w:val="27"/>
              <w:spacing w:before="136" w:line="219" w:lineRule="auto"/>
              <w:ind w:left="737"/>
            </w:pPr>
          </w:p>
        </w:tc>
        <w:tc>
          <w:tcPr>
            <w:tcW w:w="1557" w:type="dxa"/>
            <w:vAlign w:val="top"/>
          </w:tcPr>
          <w:p w14:paraId="6FD79439">
            <w:pPr>
              <w:pStyle w:val="27"/>
              <w:spacing w:before="137" w:line="220" w:lineRule="auto"/>
              <w:ind w:left="480"/>
            </w:pPr>
          </w:p>
        </w:tc>
        <w:tc>
          <w:tcPr>
            <w:tcW w:w="1953" w:type="dxa"/>
            <w:vAlign w:val="top"/>
          </w:tcPr>
          <w:p w14:paraId="49D5DED3">
            <w:pPr>
              <w:pStyle w:val="27"/>
              <w:spacing w:before="136" w:line="220" w:lineRule="auto"/>
              <w:ind w:left="672"/>
            </w:pPr>
          </w:p>
        </w:tc>
      </w:tr>
      <w:tr w14:paraId="52643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4" w:type="dxa"/>
            <w:vAlign w:val="top"/>
          </w:tcPr>
          <w:p w14:paraId="2DC72D81">
            <w:pPr>
              <w:rPr>
                <w:rFonts w:ascii="Arial"/>
                <w:sz w:val="21"/>
              </w:rPr>
            </w:pPr>
          </w:p>
        </w:tc>
        <w:tc>
          <w:tcPr>
            <w:tcW w:w="1555" w:type="dxa"/>
            <w:vAlign w:val="top"/>
          </w:tcPr>
          <w:p w14:paraId="4C9F263F">
            <w:pPr>
              <w:rPr>
                <w:rFonts w:ascii="Arial"/>
                <w:sz w:val="21"/>
              </w:rPr>
            </w:pPr>
          </w:p>
        </w:tc>
        <w:tc>
          <w:tcPr>
            <w:tcW w:w="2302" w:type="dxa"/>
            <w:vAlign w:val="top"/>
          </w:tcPr>
          <w:p w14:paraId="1B3AD6AD">
            <w:pPr>
              <w:rPr>
                <w:rFonts w:ascii="Arial"/>
                <w:sz w:val="21"/>
              </w:rPr>
            </w:pPr>
          </w:p>
        </w:tc>
        <w:tc>
          <w:tcPr>
            <w:tcW w:w="1557" w:type="dxa"/>
            <w:vAlign w:val="top"/>
          </w:tcPr>
          <w:p w14:paraId="4B64E17D">
            <w:pPr>
              <w:rPr>
                <w:rFonts w:ascii="Arial"/>
                <w:sz w:val="21"/>
              </w:rPr>
            </w:pPr>
          </w:p>
        </w:tc>
        <w:tc>
          <w:tcPr>
            <w:tcW w:w="1953" w:type="dxa"/>
            <w:vAlign w:val="top"/>
          </w:tcPr>
          <w:p w14:paraId="3D3169EB">
            <w:pPr>
              <w:rPr>
                <w:rFonts w:ascii="Arial"/>
                <w:sz w:val="21"/>
              </w:rPr>
            </w:pPr>
          </w:p>
        </w:tc>
      </w:tr>
    </w:tbl>
    <w:p w14:paraId="3A37C659">
      <w:pPr>
        <w:rPr>
          <w:rFonts w:ascii="Times New Roman" w:hAnsi="Times New Roman" w:eastAsia="Times New Roman" w:cs="Times New Roman"/>
          <w:b/>
          <w:bCs/>
          <w:spacing w:val="-19"/>
          <w:sz w:val="28"/>
          <w:szCs w:val="28"/>
        </w:rPr>
      </w:pPr>
      <w:r>
        <w:rPr>
          <w:rFonts w:ascii="Times New Roman" w:hAnsi="Times New Roman" w:eastAsia="Times New Roman" w:cs="Times New Roman"/>
          <w:b/>
          <w:bCs/>
          <w:spacing w:val="-19"/>
          <w:sz w:val="28"/>
          <w:szCs w:val="28"/>
        </w:rPr>
        <w:br w:type="page"/>
      </w:r>
    </w:p>
    <w:p w14:paraId="4AE05360">
      <w:pPr>
        <w:pStyle w:val="28"/>
        <w:bidi w:val="0"/>
      </w:pPr>
      <w:r>
        <w:t>目的</w:t>
      </w:r>
    </w:p>
    <w:p w14:paraId="1B41F4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为确保公司核心IT服务在面临各种中断性事件（如硬件故障、自然灾害、网络攻击、人为错误等）时，能够保持预定的可用性水平，并能够快速、有效地恢复，最大限度地减少对业务运营的影响和损失，特制定本制度。</w:t>
      </w:r>
    </w:p>
    <w:p w14:paraId="05D63FAB">
      <w:pPr>
        <w:pStyle w:val="28"/>
        <w:bidi w:val="0"/>
      </w:pPr>
      <w:bookmarkStart w:id="0" w:name="bookmark5"/>
      <w:bookmarkEnd w:id="0"/>
      <w:bookmarkStart w:id="1" w:name="bookmark4"/>
      <w:bookmarkEnd w:id="1"/>
      <w:r>
        <w:t>范围</w:t>
      </w:r>
    </w:p>
    <w:p w14:paraId="076CFC0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本程序适用于为满足服务预定可用性目标</w:t>
      </w:r>
      <w:r>
        <w:rPr>
          <w:rFonts w:hint="eastAsia" w:ascii="宋体" w:hAnsi="宋体" w:eastAsia="宋体" w:cs="宋体"/>
          <w:spacing w:val="-3"/>
          <w:sz w:val="24"/>
          <w:szCs w:val="24"/>
          <w:lang w:val="en-US" w:eastAsia="zh-CN"/>
        </w:rPr>
        <w:t>和连续性目标</w:t>
      </w:r>
      <w:r>
        <w:rPr>
          <w:rFonts w:ascii="宋体" w:hAnsi="宋体" w:eastAsia="宋体" w:cs="宋体"/>
          <w:spacing w:val="-3"/>
          <w:sz w:val="24"/>
          <w:szCs w:val="24"/>
        </w:rPr>
        <w:t>所进行的管理。</w:t>
      </w:r>
    </w:p>
    <w:p w14:paraId="7071AAE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所有新增运维服务以及当前已经签订服务级别需求（SLR）和服务级别协议（SLA）的运维服务；</w:t>
      </w:r>
    </w:p>
    <w:p w14:paraId="5598A29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那些不一定签订正式的《服务级别协议》但对组织业务却极为关键的运维服务；</w:t>
      </w:r>
    </w:p>
    <w:p w14:paraId="7299497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可能影响可用性的IT基础设施和IT支持部门的所有方面，包括培训、政策、流程的有效性</w:t>
      </w:r>
      <w:r>
        <w:rPr>
          <w:rFonts w:hint="eastAsia" w:ascii="宋体" w:hAnsi="宋体" w:eastAsia="宋体" w:cs="宋体"/>
          <w:spacing w:val="-3"/>
          <w:sz w:val="24"/>
          <w:szCs w:val="24"/>
          <w:lang w:val="en-US" w:eastAsia="zh-CN"/>
        </w:rPr>
        <w:t>以及</w:t>
      </w:r>
      <w:r>
        <w:rPr>
          <w:rFonts w:ascii="宋体" w:hAnsi="宋体" w:eastAsia="宋体" w:cs="宋体"/>
          <w:spacing w:val="-3"/>
          <w:sz w:val="24"/>
          <w:szCs w:val="24"/>
        </w:rPr>
        <w:t>程序和工具等。</w:t>
      </w:r>
    </w:p>
    <w:p w14:paraId="1C9E8C4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导致连续性发生的条件:</w:t>
      </w:r>
      <w:r>
        <w:rPr>
          <w:rFonts w:ascii="宋体" w:hAnsi="宋体" w:eastAsia="宋体" w:cs="宋体"/>
          <w:spacing w:val="-3"/>
          <w:sz w:val="24"/>
          <w:szCs w:val="24"/>
        </w:rPr>
        <w:t>包括火灾、大规模断电、硬件瘫痪、自然灾害、失窃、暴力破坏、人力资源危机等意外事件，可能中断运维服务并且影响组织的正常业务运营，最终导致业务损失。</w:t>
      </w:r>
    </w:p>
    <w:p w14:paraId="009C3845">
      <w:pPr>
        <w:pStyle w:val="28"/>
        <w:bidi w:val="0"/>
      </w:pPr>
      <w:bookmarkStart w:id="2" w:name="bookmark6"/>
      <w:bookmarkEnd w:id="2"/>
      <w:bookmarkStart w:id="3" w:name="bookmark7"/>
      <w:bookmarkEnd w:id="3"/>
      <w:r>
        <w:t>定义</w:t>
      </w:r>
    </w:p>
    <w:p w14:paraId="54FB40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可用性：可用性是指一个组件或一种服务在设定的某个时刻或某段时间内发挥其应用功能的能力，因此，高可用性意味着服务对客户是持续可用的，宕机时间少且可迅速恢复，表示方法：</w:t>
      </w:r>
    </w:p>
    <w:p w14:paraId="303ABCF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用绝对数来表示，如可用时段为 8：00 到 18：00；</w:t>
      </w:r>
    </w:p>
    <w:p w14:paraId="00BE53D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用相对数来表示，如平均可用性级别最低为99%;</w:t>
      </w:r>
    </w:p>
    <w:p w14:paraId="29F5EF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两者的结合，如在开发时间内平均可用性级别为99％。</w:t>
      </w:r>
    </w:p>
    <w:p w14:paraId="65FD09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决定因素：</w:t>
      </w:r>
    </w:p>
    <w:p w14:paraId="269348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（A）IT 基础架构的复杂程度；</w:t>
      </w:r>
    </w:p>
    <w:p w14:paraId="5708938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（B）快捷有效地对故障作出反应的能力；</w:t>
      </w:r>
    </w:p>
    <w:p w14:paraId="07375F0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（C）组件的可靠性；</w:t>
      </w:r>
    </w:p>
    <w:p w14:paraId="77B8389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（D）运营级管理流程的质量和范围；</w:t>
      </w:r>
    </w:p>
    <w:p w14:paraId="595E93D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（E）由支持部门和供应商提供的维护的质量；</w:t>
      </w:r>
    </w:p>
    <w:p w14:paraId="29FCFE7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（F）IT 基础架构的弹性。</w:t>
      </w:r>
    </w:p>
    <w:p w14:paraId="4941DA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eastAsia" w:eastAsia="宋体"/>
          <w:lang w:eastAsia="zh-CN"/>
        </w:rPr>
      </w:pPr>
      <w:bookmarkStart w:id="4" w:name="bookmark8"/>
      <w:bookmarkEnd w:id="4"/>
      <w:bookmarkStart w:id="5" w:name="bookmark9"/>
      <w:bookmarkEnd w:id="5"/>
      <w:r>
        <w:rPr>
          <w:rFonts w:ascii="宋体" w:hAnsi="宋体" w:eastAsia="宋体" w:cs="宋体"/>
          <w:spacing w:val="-3"/>
          <w:sz w:val="24"/>
          <w:szCs w:val="24"/>
        </w:rPr>
        <w:t>业务连续性</w:t>
      </w:r>
      <w:r>
        <w:rPr>
          <w:rFonts w:hint="eastAsia" w:ascii="宋体" w:hAnsi="宋体" w:eastAsia="宋体" w:cs="宋体"/>
          <w:spacing w:val="-3"/>
          <w:sz w:val="24"/>
          <w:szCs w:val="24"/>
          <w:lang w:eastAsia="zh-CN"/>
        </w:rPr>
        <w:t>：</w:t>
      </w:r>
      <w:r>
        <w:rPr>
          <w:rFonts w:ascii="宋体" w:hAnsi="宋体" w:eastAsia="宋体" w:cs="宋体"/>
          <w:spacing w:val="-3"/>
          <w:sz w:val="24"/>
          <w:szCs w:val="24"/>
        </w:rPr>
        <w:t>是一个综合性的管理过程，它旨在识别组织所面临的潜在威胁，以及这些威胁一旦发生对业务运营可能带来的冲击，并为此建立有效的响应框架和恢复能力，以保护关键利益相关方的利益、保障核心业务功能的持续运作，并维护组织的声誉和品牌价值</w:t>
      </w:r>
      <w:r>
        <w:rPr>
          <w:rFonts w:hint="eastAsia" w:ascii="宋体" w:hAnsi="宋体" w:eastAsia="宋体" w:cs="宋体"/>
          <w:spacing w:val="-3"/>
          <w:sz w:val="24"/>
          <w:szCs w:val="24"/>
          <w:lang w:eastAsia="zh-CN"/>
        </w:rPr>
        <w:t>。</w:t>
      </w:r>
    </w:p>
    <w:p w14:paraId="7872A2B7">
      <w:pPr>
        <w:pStyle w:val="28"/>
        <w:bidi w:val="0"/>
      </w:pPr>
      <w:r>
        <w:t>职责</w:t>
      </w:r>
    </w:p>
    <w:p w14:paraId="6F7A2AD7">
      <w:pPr>
        <w:pStyle w:val="29"/>
        <w:bidi w:val="0"/>
      </w:pPr>
      <w:r>
        <w:t>运维</w:t>
      </w:r>
      <w:r>
        <w:rPr>
          <w:rFonts w:hint="eastAsia"/>
          <w:lang w:val="en-US" w:eastAsia="zh-CN"/>
        </w:rPr>
        <w:t>服务</w:t>
      </w:r>
      <w:r>
        <w:t>部：</w:t>
      </w:r>
    </w:p>
    <w:p w14:paraId="67496B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确保运维服务在经过设计后，实际的服务级别（以可用性、可靠性、可服务性、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撰写可用性报告；</w:t>
      </w:r>
    </w:p>
    <w:p w14:paraId="1D94F9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2"/>
          <w:sz w:val="24"/>
          <w:szCs w:val="24"/>
          <w:lang w:val="en-US" w:eastAsia="zh-CN"/>
        </w:rPr>
        <w:t>4.</w:t>
      </w:r>
      <w:r>
        <w:rPr>
          <w:rFonts w:ascii="宋体" w:hAnsi="宋体" w:eastAsia="宋体" w:cs="宋体"/>
          <w:spacing w:val="-2"/>
          <w:sz w:val="24"/>
          <w:szCs w:val="24"/>
        </w:rPr>
        <w:t>实施和维护运维服务服务过程中的连续性管理，根据风险评估结果，制定并管理连续性计划</w:t>
      </w:r>
    </w:p>
    <w:p w14:paraId="724B1A96">
      <w:pPr>
        <w:pStyle w:val="28"/>
        <w:bidi w:val="0"/>
      </w:pPr>
      <w:bookmarkStart w:id="6" w:name="bookmark10"/>
      <w:bookmarkEnd w:id="6"/>
      <w:bookmarkStart w:id="7" w:name="bookmark11"/>
      <w:bookmarkEnd w:id="7"/>
      <w:r>
        <w:t>流程</w:t>
      </w:r>
    </w:p>
    <w:p w14:paraId="0BF5B370">
      <w:pPr>
        <w:pStyle w:val="29"/>
        <w:bidi w:val="0"/>
        <w:rPr>
          <w:rFonts w:hint="default"/>
          <w:lang w:val="en-US" w:eastAsia="zh-CN"/>
        </w:rPr>
      </w:pPr>
      <w:r>
        <w:rPr>
          <w:rFonts w:hint="eastAsia"/>
          <w:lang w:val="en-US" w:eastAsia="zh-CN"/>
        </w:rPr>
        <w:t>服务可用性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一旦客户确定了一项服务的可用性要求，运维管理部就可以确定一系列输入要求，以满足要求的服务级别。</w:t>
      </w:r>
    </w:p>
    <w:p w14:paraId="0560D621">
      <w:pPr>
        <w:pStyle w:val="30"/>
        <w:bidi w:val="0"/>
      </w:pPr>
      <w:bookmarkStart w:id="8" w:name="bookmark14"/>
      <w:bookmarkEnd w:id="8"/>
      <w:bookmarkStart w:id="9" w:name="bookmark13"/>
      <w:bookmarkEnd w:id="9"/>
      <w:bookmarkStart w:id="10" w:name="bookmark12"/>
      <w:bookmarkEnd w:id="10"/>
      <w:bookmarkStart w:id="11" w:name="bookmark15"/>
      <w:bookmarkEnd w:id="11"/>
      <w:r>
        <w:t>识别可用性需求</w:t>
      </w:r>
    </w:p>
    <w:p w14:paraId="1915A3D4">
      <w:pPr>
        <w:pStyle w:val="5"/>
        <w:bidi w:val="0"/>
      </w:pPr>
      <w:r>
        <w:t>需求识别时间</w:t>
      </w:r>
    </w:p>
    <w:p w14:paraId="429C638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在签订《服务级别协议》之前进行；</w:t>
      </w:r>
    </w:p>
    <w:p w14:paraId="7589C7F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需考虑新的运维服务和需要对现有服务作出的变更两个方面；</w:t>
      </w:r>
    </w:p>
    <w:p w14:paraId="2D80337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应当在尽可能早的阶段确定是否能够满足这些需求以及怎样满足这些需求。</w:t>
      </w:r>
    </w:p>
    <w:p w14:paraId="671B5B95">
      <w:pPr>
        <w:pStyle w:val="5"/>
        <w:bidi w:val="0"/>
      </w:pPr>
      <w:bookmarkStart w:id="12" w:name="bookmark16"/>
      <w:bookmarkEnd w:id="12"/>
      <w:bookmarkStart w:id="13" w:name="bookmark17"/>
      <w:bookmarkEnd w:id="13"/>
      <w:bookmarkStart w:id="14" w:name="bookmark19"/>
      <w:bookmarkEnd w:id="14"/>
      <w:bookmarkStart w:id="15" w:name="bookmark18"/>
      <w:bookmarkEnd w:id="15"/>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6" w:name="bookmark43"/>
      <w:bookmarkEnd w:id="16"/>
      <w:r>
        <w:rPr>
          <w:rFonts w:ascii="宋体" w:hAnsi="宋体" w:eastAsia="宋体" w:cs="宋体"/>
          <w:spacing w:val="-3"/>
          <w:sz w:val="24"/>
          <w:szCs w:val="24"/>
        </w:rPr>
        <w:t>可量化的可用性需求；</w:t>
      </w:r>
    </w:p>
    <w:p w14:paraId="76E419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0"/>
        <w:bidi w:val="0"/>
      </w:pPr>
      <w:r>
        <w:t>可用性设计</w:t>
      </w:r>
    </w:p>
    <w:p w14:paraId="7DCF983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10AD5B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0"/>
        <w:bidi w:val="0"/>
      </w:pPr>
      <w:bookmarkStart w:id="17" w:name="bookmark21"/>
      <w:bookmarkEnd w:id="17"/>
      <w:bookmarkStart w:id="18" w:name="bookmark20"/>
      <w:bookmarkEnd w:id="18"/>
      <w:r>
        <w:t>恢复方案设计</w:t>
      </w:r>
    </w:p>
    <w:p w14:paraId="562DBF2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确保运维服务故障发生后，运维服务能在最短的时间内得以恢复以使正常的业务运营继续进行；</w:t>
      </w:r>
    </w:p>
    <w:p w14:paraId="068D795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构建一个对故障具有高度弹性的IT基础设施即使不是不太可能，也可能会造成成本过于高昂；因此，在给定的成本约束下，IT基础设施满足可用性需求的能力常常取决于可以对运维服务故障进行及时有效恢复的能力。</w:t>
      </w:r>
    </w:p>
    <w:p w14:paraId="4A57460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7777576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12592E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9" w:name="bookmark44"/>
      <w:bookmarkEnd w:id="19"/>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0"/>
        <w:bidi w:val="0"/>
      </w:pPr>
      <w:bookmarkStart w:id="20" w:name="bookmark22"/>
      <w:bookmarkEnd w:id="20"/>
      <w:bookmarkStart w:id="21" w:name="bookmark23"/>
      <w:bookmarkEnd w:id="21"/>
      <w:r>
        <w:t>维护管理</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112C34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69CE784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50131C9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2B726E6E">
      <w:pPr>
        <w:pStyle w:val="30"/>
        <w:bidi w:val="0"/>
      </w:pPr>
      <w:bookmarkStart w:id="22" w:name="bookmark25"/>
      <w:bookmarkEnd w:id="22"/>
      <w:bookmarkStart w:id="23" w:name="bookmark24"/>
      <w:bookmarkEnd w:id="23"/>
      <w:r>
        <w:t>制定《可用性计划》</w:t>
      </w:r>
    </w:p>
    <w:p w14:paraId="60FDF5A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为有效地实施有关可用性管理活动以改进IT组件及服务的可用性，必须制定明确的《可用性计划》。</w:t>
      </w:r>
    </w:p>
    <w:p w14:paraId="299D9E1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不仅需要关注技术方面的问题，还应对可用性管理的人员、流程、工具和技巧等方面进行考虑。在可用性管理的初始阶段，可用性计划与实施通常是紧密结合进行的，但这两者却又是不同的，不能将它们混淆。</w:t>
      </w:r>
    </w:p>
    <w:p w14:paraId="1E38C0A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《可用性计划》的计划周期应当覆盖协议约定时长。</w:t>
      </w:r>
    </w:p>
    <w:p w14:paraId="1998F39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《可用性计划》应当和《能力计划》和财务预算的周期保持一致。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《可用性计划》一般包括以下部分：</w:t>
      </w:r>
    </w:p>
    <w:p w14:paraId="01ED079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0"/>
        <w:bidi w:val="0"/>
      </w:pPr>
      <w:bookmarkStart w:id="24" w:name="bookmark26"/>
      <w:bookmarkEnd w:id="24"/>
      <w:bookmarkStart w:id="25" w:name="bookmark27"/>
      <w:bookmarkEnd w:id="25"/>
      <w:r>
        <w:t xml:space="preserve"> 监控、评价和报告</w:t>
      </w:r>
    </w:p>
    <w:p w14:paraId="04D34E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p>
    <w:p w14:paraId="538646B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5B960384">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以平均修复时间（MTTR）、平均无故障时间（MTBF）和平均系统事件间隔时间表示的可用率（或不可用率）；</w:t>
      </w:r>
    </w:p>
    <w:p w14:paraId="41E1C8F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总体正常运作时间和宕机时间；</w:t>
      </w:r>
    </w:p>
    <w:p w14:paraId="2E28F32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故障的次数；</w:t>
      </w:r>
    </w:p>
    <w:p w14:paraId="46A4EFE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有关故障可能实际或潜在地导致比约定数更高的不可用率的额外信息。</w:t>
      </w:r>
    </w:p>
    <w:p w14:paraId="44BE6199">
      <w:pPr>
        <w:pStyle w:val="29"/>
        <w:bidi w:val="0"/>
        <w:rPr>
          <w:rFonts w:hint="default"/>
          <w:lang w:val="en-US" w:eastAsia="zh-CN"/>
        </w:rPr>
      </w:pPr>
      <w:r>
        <w:rPr>
          <w:rFonts w:hint="eastAsia"/>
          <w:lang w:val="en-US" w:eastAsia="zh-CN"/>
        </w:rPr>
        <w:t>业务连续性</w:t>
      </w:r>
    </w:p>
    <w:p w14:paraId="515CD7A8">
      <w:pPr>
        <w:pStyle w:val="30"/>
        <w:bidi w:val="0"/>
      </w:pPr>
      <w:r>
        <w:t>初始化阶段</w:t>
      </w:r>
    </w:p>
    <w:p w14:paraId="58EA0FA0">
      <w:pPr>
        <w:pStyle w:val="5"/>
        <w:bidi w:val="0"/>
      </w:pPr>
      <w:bookmarkStart w:id="26" w:name="bookmark47"/>
      <w:bookmarkEnd w:id="26"/>
      <w:r>
        <w:t>定义组织策略</w:t>
      </w:r>
    </w:p>
    <w:p w14:paraId="362416D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BACD256">
      <w:pPr>
        <w:pStyle w:val="5"/>
        <w:bidi w:val="0"/>
      </w:pPr>
      <w:r>
        <w:t>分配资源</w:t>
      </w:r>
    </w:p>
    <w:p w14:paraId="6EB6805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7CAC28C">
      <w:pPr>
        <w:pStyle w:val="30"/>
        <w:bidi w:val="0"/>
      </w:pPr>
      <w:r>
        <w:t>分析规划阶段</w:t>
      </w:r>
    </w:p>
    <w:p w14:paraId="7C3C743E">
      <w:pPr>
        <w:pStyle w:val="5"/>
        <w:bidi w:val="0"/>
      </w:pPr>
      <w:bookmarkStart w:id="27" w:name="bookmark48"/>
      <w:bookmarkEnd w:id="27"/>
      <w:r>
        <w:t>业务影响分析</w:t>
      </w:r>
    </w:p>
    <w:p w14:paraId="39F8BB33">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8" w:name="bookmark49"/>
      <w:bookmarkEnd w:id="28"/>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5"/>
        <w:bidi w:val="0"/>
      </w:pPr>
      <w:r>
        <w:t>风险评估</w:t>
      </w:r>
    </w:p>
    <w:p w14:paraId="608539E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01BB347D">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w:t>
      </w:r>
      <w:r>
        <w:rPr>
          <w:rFonts w:ascii="宋体" w:hAnsi="宋体" w:eastAsia="宋体" w:cs="宋体"/>
          <w:spacing w:val="-38"/>
          <w:position w:val="3"/>
          <w:sz w:val="24"/>
          <w:szCs w:val="24"/>
        </w:rPr>
        <w:t xml:space="preserve"> </w:t>
      </w:r>
      <w:r>
        <w:rPr>
          <w:rFonts w:ascii="宋体" w:hAnsi="宋体" w:eastAsia="宋体" w:cs="宋体"/>
          <w:spacing w:val="-2"/>
          <w:position w:val="3"/>
          <w:sz w:val="24"/>
          <w:szCs w:val="24"/>
        </w:rPr>
        <w:t>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8" w:firstLineChars="20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68" w:firstLineChars="200"/>
        <w:textAlignment w:val="baseline"/>
        <w:rPr>
          <w:rFonts w:ascii="宋体" w:hAnsi="宋体" w:eastAsia="宋体" w:cs="宋体"/>
          <w:sz w:val="24"/>
          <w:szCs w:val="24"/>
        </w:rPr>
      </w:pPr>
      <w:bookmarkStart w:id="48" w:name="_GoBack"/>
      <w:bookmarkEnd w:id="48"/>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273F8684">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1FB3B356">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3F275802">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bookmarkStart w:id="29" w:name="bookmark50"/>
      <w:bookmarkEnd w:id="29"/>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64" w:firstLineChars="20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0"/>
        <w:bidi w:val="0"/>
      </w:pPr>
      <w:r>
        <w:t>实施阶段</w:t>
      </w:r>
    </w:p>
    <w:p w14:paraId="303BA38A">
      <w:pPr>
        <w:pStyle w:val="5"/>
        <w:bidi w:val="0"/>
      </w:pPr>
      <w:bookmarkStart w:id="30" w:name="bookmark51"/>
      <w:bookmarkEnd w:id="30"/>
      <w:r>
        <w:t>组织和实施计划</w:t>
      </w:r>
    </w:p>
    <w:p w14:paraId="63EC66A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32F04FE2">
      <w:pPr>
        <w:pStyle w:val="30"/>
        <w:bidi w:val="0"/>
      </w:pPr>
      <w:r>
        <w:t>运作阶段</w:t>
      </w:r>
    </w:p>
    <w:p w14:paraId="38E2EC8A">
      <w:pPr>
        <w:spacing w:line="445" w:lineRule="auto"/>
        <w:rPr>
          <w:rFonts w:ascii="Arial"/>
          <w:sz w:val="21"/>
        </w:rPr>
      </w:pPr>
    </w:p>
    <w:p w14:paraId="7D33C672">
      <w:pPr>
        <w:pStyle w:val="5"/>
        <w:bidi w:val="0"/>
      </w:pPr>
      <w:bookmarkStart w:id="31" w:name="bookmark52"/>
      <w:bookmarkEnd w:id="31"/>
      <w:r>
        <w:t>连续性计划测试</w:t>
      </w:r>
    </w:p>
    <w:p w14:paraId="080F4C3D">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运维管理部经理安排组织连续性计划范围内的人员编制测试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根据服务需要，运维管理部经理会同公司领导对连续性管理计划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并在必要时修改《连续性管理计划》</w:t>
      </w:r>
    </w:p>
    <w:p w14:paraId="57822E5D">
      <w:pPr>
        <w:pStyle w:val="5"/>
        <w:bidi w:val="0"/>
      </w:pPr>
      <w:r>
        <w:t>沟通和培训</w:t>
      </w:r>
    </w:p>
    <w:p w14:paraId="40F37B5A">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5"/>
        <w:bidi w:val="0"/>
      </w:pPr>
      <w:r>
        <w:t>连续性计划维护</w:t>
      </w:r>
    </w:p>
    <w:p w14:paraId="524E4FF5">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保证连续性生命周期的最后程序得到市场中心经理和公司领导的确认，以保证连续性流程的运营流程得到顺利的执行。</w:t>
      </w:r>
    </w:p>
    <w:p w14:paraId="19DF08F6">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32" w:name="bookmark29"/>
      <w:bookmarkEnd w:id="32"/>
      <w:bookmarkStart w:id="33" w:name="bookmark30"/>
      <w:bookmarkEnd w:id="33"/>
      <w:bookmarkStart w:id="34" w:name="bookmark28"/>
      <w:bookmarkEnd w:id="34"/>
      <w:bookmarkStart w:id="35" w:name="bookmark31"/>
      <w:bookmarkEnd w:id="35"/>
      <w:r>
        <w:t>与其他流程的关系</w:t>
      </w:r>
    </w:p>
    <w:p w14:paraId="7DD81E12">
      <w:pPr>
        <w:pStyle w:val="29"/>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6" w:name="bookmark33"/>
      <w:bookmarkEnd w:id="36"/>
      <w:bookmarkStart w:id="37" w:name="bookmark32"/>
      <w:bookmarkEnd w:id="37"/>
    </w:p>
    <w:p w14:paraId="5FD1A83A">
      <w:pPr>
        <w:pStyle w:val="29"/>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29"/>
        <w:bidi w:val="0"/>
      </w:pPr>
      <w:bookmarkStart w:id="38" w:name="bookmark34"/>
      <w:bookmarkEnd w:id="38"/>
      <w:bookmarkStart w:id="39" w:name="bookmark35"/>
      <w:bookmarkEnd w:id="39"/>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29"/>
        <w:bidi w:val="0"/>
      </w:pPr>
      <w:bookmarkStart w:id="40" w:name="bookmark37"/>
      <w:bookmarkEnd w:id="40"/>
      <w:bookmarkStart w:id="41" w:name="bookmark36"/>
      <w:bookmarkEnd w:id="41"/>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17E26687">
      <w:pPr>
        <w:pStyle w:val="28"/>
        <w:bidi w:val="0"/>
        <w:rPr>
          <w:rFonts w:hint="default"/>
          <w:lang w:val="en-US" w:eastAsia="zh-CN"/>
        </w:rPr>
      </w:pPr>
      <w:bookmarkStart w:id="42" w:name="_Toc21434"/>
      <w:r>
        <w:rPr>
          <w:rFonts w:hint="default"/>
          <w:lang w:val="en-US" w:eastAsia="zh-CN"/>
        </w:rPr>
        <w:t>关键指标</w:t>
      </w:r>
      <w:bookmarkEnd w:id="42"/>
    </w:p>
    <w:tbl>
      <w:tblPr>
        <w:tblStyle w:val="26"/>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09F66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6D9A89A2">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7D755B0C">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74643268">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3473BD9E">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7EE4AC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bottom w:val="single" w:color="000000" w:sz="6" w:space="0"/>
            </w:tcBorders>
            <w:vAlign w:val="top"/>
          </w:tcPr>
          <w:p w14:paraId="42108D35">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bottom w:val="single" w:color="000000" w:sz="6" w:space="0"/>
            </w:tcBorders>
            <w:vAlign w:val="top"/>
          </w:tcPr>
          <w:p w14:paraId="12E8E777">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业务可用性</w:t>
            </w:r>
          </w:p>
        </w:tc>
        <w:tc>
          <w:tcPr>
            <w:tcW w:w="3545" w:type="dxa"/>
            <w:tcBorders>
              <w:top w:val="single" w:color="000000" w:sz="6" w:space="0"/>
              <w:bottom w:val="single" w:color="000000" w:sz="6" w:space="0"/>
              <w:right w:val="single" w:color="000000" w:sz="6" w:space="0"/>
            </w:tcBorders>
            <w:vAlign w:val="top"/>
          </w:tcPr>
          <w:p w14:paraId="4A42F54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可用时间/整体运行时间*100%</w:t>
            </w:r>
          </w:p>
        </w:tc>
        <w:tc>
          <w:tcPr>
            <w:tcW w:w="2895" w:type="dxa"/>
            <w:tcBorders>
              <w:top w:val="single" w:color="000000" w:sz="6" w:space="0"/>
              <w:bottom w:val="single" w:color="000000" w:sz="6" w:space="0"/>
              <w:right w:val="single" w:color="000000" w:sz="6" w:space="0"/>
            </w:tcBorders>
            <w:vAlign w:val="top"/>
          </w:tcPr>
          <w:p w14:paraId="5F59C04A">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r w14:paraId="11BA53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6CBF3AE9">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2</w:t>
            </w:r>
          </w:p>
        </w:tc>
        <w:tc>
          <w:tcPr>
            <w:tcW w:w="1337" w:type="dxa"/>
            <w:tcBorders>
              <w:top w:val="single" w:color="000000" w:sz="6" w:space="0"/>
            </w:tcBorders>
            <w:shd w:val="clear" w:color="auto" w:fill="auto"/>
            <w:vAlign w:val="center"/>
          </w:tcPr>
          <w:p w14:paraId="00AAA77F">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服务连续性</w:t>
            </w:r>
          </w:p>
        </w:tc>
        <w:tc>
          <w:tcPr>
            <w:tcW w:w="3545" w:type="dxa"/>
            <w:tcBorders>
              <w:top w:val="single" w:color="000000" w:sz="6" w:space="0"/>
              <w:right w:val="single" w:color="000000" w:sz="6" w:space="0"/>
            </w:tcBorders>
            <w:shd w:val="clear" w:color="auto" w:fill="auto"/>
            <w:vAlign w:val="center"/>
          </w:tcPr>
          <w:p w14:paraId="423C46CC">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由于突发事件导致故障的次数</w:t>
            </w:r>
          </w:p>
        </w:tc>
        <w:tc>
          <w:tcPr>
            <w:tcW w:w="2895" w:type="dxa"/>
            <w:tcBorders>
              <w:top w:val="single" w:color="000000" w:sz="6" w:space="0"/>
              <w:right w:val="single" w:color="000000" w:sz="6" w:space="0"/>
            </w:tcBorders>
            <w:vAlign w:val="top"/>
          </w:tcPr>
          <w:p w14:paraId="6EFBE3C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bl>
    <w:p w14:paraId="431ABEE0">
      <w:pPr>
        <w:pStyle w:val="28"/>
        <w:bidi w:val="0"/>
      </w:pPr>
      <w:bookmarkStart w:id="43" w:name="bookmark39"/>
      <w:bookmarkEnd w:id="43"/>
      <w:bookmarkStart w:id="44" w:name="bookmark38"/>
      <w:bookmarkEnd w:id="44"/>
      <w:r>
        <w:t>相关文件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bookmarkStart w:id="45" w:name="bookmark45"/>
      <w:bookmarkEnd w:id="45"/>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5C7915E6">
      <w:pPr>
        <w:pStyle w:val="28"/>
        <w:bidi w:val="0"/>
      </w:pPr>
      <w:bookmarkStart w:id="46" w:name="bookmark40"/>
      <w:bookmarkEnd w:id="46"/>
      <w:bookmarkStart w:id="47" w:name="bookmark41"/>
      <w:bookmarkEnd w:id="47"/>
      <w:r>
        <w:t>记录</w:t>
      </w:r>
    </w:p>
    <w:p w14:paraId="0BC341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《服务可用性和业务连续性管理计划》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《连续性测试报告》</w:t>
      </w:r>
    </w:p>
    <w:p w14:paraId="29B916DC">
      <w:pPr>
        <w:bidi w:val="0"/>
        <w:rPr>
          <w:rFonts w:hint="default"/>
          <w:lang w:val="en-US" w:eastAsia="zh-CN"/>
        </w:rPr>
      </w:pPr>
    </w:p>
    <w:sectPr>
      <w:headerReference r:id="rId5" w:type="default"/>
      <w:footerReference r:id="rId6" w:type="default"/>
      <w:pgSz w:w="11906" w:h="16838"/>
      <w:pgMar w:top="1440" w:right="1800" w:bottom="1440" w:left="85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F28D0">
    <w:pPr>
      <w:spacing w:line="176" w:lineRule="auto"/>
      <w:ind w:left="5919"/>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3C70">
    <w:pPr>
      <w:spacing w:before="45" w:line="239" w:lineRule="auto"/>
      <w:ind w:left="8325" w:right="373" w:hanging="1268"/>
      <w:rPr>
        <w:rFonts w:ascii="仿宋" w:hAnsi="仿宋" w:eastAsia="仿宋" w:cs="仿宋"/>
        <w:sz w:val="18"/>
        <w:szCs w:val="18"/>
      </w:rPr>
    </w:pPr>
    <w:r>
      <mc:AlternateContent>
        <mc:Choice Requires="wps">
          <w:drawing>
            <wp:anchor distT="0" distB="0" distL="114300" distR="114300" simplePos="0" relativeHeight="251659264"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59264;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c+9e2gAAAAwBAAAPAAAA&#10;AAAAAAEAIAAAACIAAABkcnMvZG93bnJldi54bWxQSwECFAAUAAAACACHTuJAwP5VBRMCAAB7BAAA&#10;DgAAAAAAAAABACAAAAApAQAAZHJzL2Uyb0RvYy54bWxQSwUGAAAAAAYABgBZAQAArgUAAAAA&#10;" path="m0,0l8305,0,8305,14,0,14,0,0xe">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C164E"/>
    <w:multiLevelType w:val="singleLevel"/>
    <w:tmpl w:val="852C164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88839"/>
    <w:multiLevelType w:val="singleLevel"/>
    <w:tmpl w:val="96488839"/>
    <w:lvl w:ilvl="0" w:tentative="0">
      <w:start w:val="1"/>
      <w:numFmt w:val="decimal"/>
      <w:lvlText w:val="(%1)"/>
      <w:lvlJc w:val="left"/>
      <w:pPr>
        <w:ind w:left="425" w:hanging="425"/>
      </w:pPr>
      <w:rPr>
        <w:rFonts w:hint="default"/>
      </w:rPr>
    </w:lvl>
  </w:abstractNum>
  <w:abstractNum w:abstractNumId="3">
    <w:nsid w:val="A7FD779A"/>
    <w:multiLevelType w:val="singleLevel"/>
    <w:tmpl w:val="A7FD779A"/>
    <w:lvl w:ilvl="0" w:tentative="0">
      <w:start w:val="1"/>
      <w:numFmt w:val="decimalEnclosedCircleChinese"/>
      <w:suff w:val="nothing"/>
      <w:lvlText w:val="%1　"/>
      <w:lvlJc w:val="left"/>
      <w:pPr>
        <w:ind w:left="0" w:firstLine="400"/>
      </w:pPr>
      <w:rPr>
        <w:rFonts w:hint="eastAsia"/>
      </w:rPr>
    </w:lvl>
  </w:abstractNum>
  <w:abstractNum w:abstractNumId="4">
    <w:nsid w:val="AB9AC1A6"/>
    <w:multiLevelType w:val="singleLevel"/>
    <w:tmpl w:val="AB9AC1A6"/>
    <w:lvl w:ilvl="0" w:tentative="0">
      <w:start w:val="1"/>
      <w:numFmt w:val="decimal"/>
      <w:lvlText w:val="(%1)"/>
      <w:lvlJc w:val="left"/>
      <w:pPr>
        <w:ind w:left="425" w:hanging="425"/>
      </w:pPr>
      <w:rPr>
        <w:rFonts w:hint="default"/>
      </w:rPr>
    </w:lvl>
  </w:abstractNum>
  <w:abstractNum w:abstractNumId="5">
    <w:nsid w:val="AF02BB87"/>
    <w:multiLevelType w:val="singleLevel"/>
    <w:tmpl w:val="AF02BB87"/>
    <w:lvl w:ilvl="0" w:tentative="0">
      <w:start w:val="1"/>
      <w:numFmt w:val="decimalEnclosedCircleChinese"/>
      <w:suff w:val="nothing"/>
      <w:lvlText w:val="%1　"/>
      <w:lvlJc w:val="left"/>
      <w:pPr>
        <w:ind w:left="0" w:firstLine="400"/>
      </w:pPr>
      <w:rPr>
        <w:rFonts w:hint="eastAsia"/>
      </w:rPr>
    </w:lvl>
  </w:abstractNum>
  <w:abstractNum w:abstractNumId="6">
    <w:nsid w:val="BCBCB86F"/>
    <w:multiLevelType w:val="singleLevel"/>
    <w:tmpl w:val="BCBCB86F"/>
    <w:lvl w:ilvl="0" w:tentative="0">
      <w:start w:val="1"/>
      <w:numFmt w:val="decimalEnclosedCircleChinese"/>
      <w:suff w:val="nothing"/>
      <w:lvlText w:val="%1　"/>
      <w:lvlJc w:val="left"/>
      <w:pPr>
        <w:ind w:left="0" w:firstLine="400"/>
      </w:pPr>
      <w:rPr>
        <w:rFonts w:hint="eastAsia"/>
      </w:rPr>
    </w:lvl>
  </w:abstractNum>
  <w:abstractNum w:abstractNumId="7">
    <w:nsid w:val="C3712584"/>
    <w:multiLevelType w:val="singleLevel"/>
    <w:tmpl w:val="C3712584"/>
    <w:lvl w:ilvl="0" w:tentative="0">
      <w:start w:val="1"/>
      <w:numFmt w:val="decimal"/>
      <w:lvlText w:val="(%1)"/>
      <w:lvlJc w:val="left"/>
      <w:pPr>
        <w:ind w:left="425" w:hanging="425"/>
      </w:pPr>
      <w:rPr>
        <w:rFonts w:hint="default"/>
      </w:rPr>
    </w:lvl>
  </w:abstractNum>
  <w:abstractNum w:abstractNumId="8">
    <w:nsid w:val="C3A84987"/>
    <w:multiLevelType w:val="singleLevel"/>
    <w:tmpl w:val="C3A84987"/>
    <w:lvl w:ilvl="0" w:tentative="0">
      <w:start w:val="1"/>
      <w:numFmt w:val="decimal"/>
      <w:lvlText w:val="(%1)"/>
      <w:lvlJc w:val="left"/>
      <w:pPr>
        <w:ind w:left="425" w:hanging="425"/>
      </w:pPr>
      <w:rPr>
        <w:rFonts w:hint="default"/>
      </w:rPr>
    </w:lvl>
  </w:abstractNum>
  <w:abstractNum w:abstractNumId="9">
    <w:nsid w:val="E32467AE"/>
    <w:multiLevelType w:val="singleLevel"/>
    <w:tmpl w:val="E32467AE"/>
    <w:lvl w:ilvl="0" w:tentative="0">
      <w:start w:val="1"/>
      <w:numFmt w:val="decimal"/>
      <w:lvlText w:val="(%1)"/>
      <w:lvlJc w:val="left"/>
      <w:pPr>
        <w:ind w:left="425" w:hanging="425"/>
      </w:pPr>
      <w:rPr>
        <w:rFonts w:hint="default"/>
      </w:rPr>
    </w:lvl>
  </w:abstractNum>
  <w:abstractNum w:abstractNumId="10">
    <w:nsid w:val="E5BAB3E7"/>
    <w:multiLevelType w:val="singleLevel"/>
    <w:tmpl w:val="E5BAB3E7"/>
    <w:lvl w:ilvl="0" w:tentative="0">
      <w:start w:val="1"/>
      <w:numFmt w:val="decimal"/>
      <w:lvlText w:val="(%1)"/>
      <w:lvlJc w:val="left"/>
      <w:pPr>
        <w:ind w:left="425" w:hanging="425"/>
      </w:pPr>
      <w:rPr>
        <w:rFonts w:hint="default"/>
      </w:rPr>
    </w:lvl>
  </w:abstractNum>
  <w:abstractNum w:abstractNumId="11">
    <w:nsid w:val="EA292E68"/>
    <w:multiLevelType w:val="singleLevel"/>
    <w:tmpl w:val="EA292E68"/>
    <w:lvl w:ilvl="0" w:tentative="0">
      <w:start w:val="1"/>
      <w:numFmt w:val="decimal"/>
      <w:lvlText w:val="(%1)"/>
      <w:lvlJc w:val="left"/>
      <w:pPr>
        <w:ind w:left="425" w:hanging="425"/>
      </w:pPr>
      <w:rPr>
        <w:rFonts w:hint="default"/>
      </w:rPr>
    </w:lvl>
  </w:abstractNum>
  <w:abstractNum w:abstractNumId="12">
    <w:nsid w:val="F7D4A13F"/>
    <w:multiLevelType w:val="singleLevel"/>
    <w:tmpl w:val="F7D4A13F"/>
    <w:lvl w:ilvl="0" w:tentative="0">
      <w:start w:val="1"/>
      <w:numFmt w:val="decimal"/>
      <w:lvlText w:val="(%1)"/>
      <w:lvlJc w:val="left"/>
      <w:pPr>
        <w:ind w:left="425" w:hanging="425"/>
      </w:pPr>
      <w:rPr>
        <w:rFonts w:hint="default"/>
      </w:rPr>
    </w:lvl>
  </w:abstractNum>
  <w:abstractNum w:abstractNumId="13">
    <w:nsid w:val="069F7E99"/>
    <w:multiLevelType w:val="singleLevel"/>
    <w:tmpl w:val="069F7E99"/>
    <w:lvl w:ilvl="0" w:tentative="0">
      <w:start w:val="1"/>
      <w:numFmt w:val="decimal"/>
      <w:lvlText w:val="(%1)"/>
      <w:lvlJc w:val="left"/>
      <w:pPr>
        <w:ind w:left="425" w:hanging="425"/>
      </w:pPr>
      <w:rPr>
        <w:rFonts w:hint="default"/>
      </w:rPr>
    </w:lvl>
  </w:abstractNum>
  <w:abstractNum w:abstractNumId="14">
    <w:nsid w:val="0836B732"/>
    <w:multiLevelType w:val="singleLevel"/>
    <w:tmpl w:val="0836B732"/>
    <w:lvl w:ilvl="0" w:tentative="0">
      <w:start w:val="1"/>
      <w:numFmt w:val="decimal"/>
      <w:lvlText w:val="(%1)"/>
      <w:lvlJc w:val="left"/>
      <w:pPr>
        <w:ind w:left="425" w:hanging="425"/>
      </w:pPr>
      <w:rPr>
        <w:rFonts w:hint="default"/>
      </w:rPr>
    </w:lvl>
  </w:abstractNum>
  <w:abstractNum w:abstractNumId="15">
    <w:nsid w:val="227DBBE9"/>
    <w:multiLevelType w:val="singleLevel"/>
    <w:tmpl w:val="227DBBE9"/>
    <w:lvl w:ilvl="0" w:tentative="0">
      <w:start w:val="1"/>
      <w:numFmt w:val="decimal"/>
      <w:lvlText w:val="(%1)"/>
      <w:lvlJc w:val="left"/>
      <w:pPr>
        <w:ind w:left="425" w:hanging="425"/>
      </w:pPr>
      <w:rPr>
        <w:rFonts w:hint="default"/>
      </w:rPr>
    </w:lvl>
  </w:abstractNum>
  <w:abstractNum w:abstractNumId="16">
    <w:nsid w:val="40619590"/>
    <w:multiLevelType w:val="singleLevel"/>
    <w:tmpl w:val="40619590"/>
    <w:lvl w:ilvl="0" w:tentative="0">
      <w:start w:val="1"/>
      <w:numFmt w:val="decimal"/>
      <w:lvlText w:val="(%1)"/>
      <w:lvlJc w:val="left"/>
      <w:pPr>
        <w:ind w:left="425" w:hanging="425"/>
      </w:pPr>
      <w:rPr>
        <w:rFonts w:hint="default"/>
      </w:rPr>
    </w:lvl>
  </w:abstractNum>
  <w:abstractNum w:abstractNumId="17">
    <w:nsid w:val="52A89023"/>
    <w:multiLevelType w:val="singleLevel"/>
    <w:tmpl w:val="52A89023"/>
    <w:lvl w:ilvl="0" w:tentative="0">
      <w:start w:val="1"/>
      <w:numFmt w:val="decimal"/>
      <w:lvlText w:val="(%1)"/>
      <w:lvlJc w:val="left"/>
      <w:pPr>
        <w:ind w:left="425" w:hanging="425"/>
      </w:pPr>
      <w:rPr>
        <w:rFonts w:hint="default"/>
      </w:rPr>
    </w:lvl>
  </w:abstractNum>
  <w:abstractNum w:abstractNumId="18">
    <w:nsid w:val="56F54CE1"/>
    <w:multiLevelType w:val="singleLevel"/>
    <w:tmpl w:val="56F54CE1"/>
    <w:lvl w:ilvl="0" w:tentative="0">
      <w:start w:val="1"/>
      <w:numFmt w:val="decimal"/>
      <w:lvlText w:val="(%1)"/>
      <w:lvlJc w:val="left"/>
      <w:pPr>
        <w:ind w:left="425" w:hanging="425"/>
      </w:pPr>
      <w:rPr>
        <w:rFonts w:hint="default"/>
      </w:rPr>
    </w:lvl>
  </w:abstractNum>
  <w:abstractNum w:abstractNumId="19">
    <w:nsid w:val="5D8E8AE3"/>
    <w:multiLevelType w:val="singleLevel"/>
    <w:tmpl w:val="5D8E8AE3"/>
    <w:lvl w:ilvl="0" w:tentative="0">
      <w:start w:val="1"/>
      <w:numFmt w:val="decimal"/>
      <w:lvlText w:val="(%1)"/>
      <w:lvlJc w:val="left"/>
      <w:pPr>
        <w:ind w:left="425" w:hanging="425"/>
      </w:pPr>
      <w:rPr>
        <w:rFonts w:hint="default"/>
      </w:rPr>
    </w:lvl>
  </w:abstractNum>
  <w:abstractNum w:abstractNumId="20">
    <w:nsid w:val="66F25DA7"/>
    <w:multiLevelType w:val="singleLevel"/>
    <w:tmpl w:val="66F25DA7"/>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9"/>
  </w:num>
  <w:num w:numId="4">
    <w:abstractNumId w:val="17"/>
  </w:num>
  <w:num w:numId="5">
    <w:abstractNumId w:val="8"/>
  </w:num>
  <w:num w:numId="6">
    <w:abstractNumId w:val="0"/>
  </w:num>
  <w:num w:numId="7">
    <w:abstractNumId w:val="11"/>
  </w:num>
  <w:num w:numId="8">
    <w:abstractNumId w:val="10"/>
  </w:num>
  <w:num w:numId="9">
    <w:abstractNumId w:val="4"/>
  </w:num>
  <w:num w:numId="10">
    <w:abstractNumId w:val="6"/>
  </w:num>
  <w:num w:numId="11">
    <w:abstractNumId w:val="19"/>
  </w:num>
  <w:num w:numId="12">
    <w:abstractNumId w:val="13"/>
  </w:num>
  <w:num w:numId="13">
    <w:abstractNumId w:val="20"/>
  </w:num>
  <w:num w:numId="14">
    <w:abstractNumId w:val="15"/>
  </w:num>
  <w:num w:numId="15">
    <w:abstractNumId w:val="2"/>
  </w:num>
  <w:num w:numId="16">
    <w:abstractNumId w:val="3"/>
  </w:num>
  <w:num w:numId="17">
    <w:abstractNumId w:val="5"/>
  </w:num>
  <w:num w:numId="18">
    <w:abstractNumId w:val="14"/>
  </w:num>
  <w:num w:numId="19">
    <w:abstractNumId w:val="7"/>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6D1F"/>
    <w:rsid w:val="00975D66"/>
    <w:rsid w:val="00C2346B"/>
    <w:rsid w:val="00E95ACD"/>
    <w:rsid w:val="01013CDC"/>
    <w:rsid w:val="01A95AA3"/>
    <w:rsid w:val="01B52CD2"/>
    <w:rsid w:val="01C04E49"/>
    <w:rsid w:val="01C1789B"/>
    <w:rsid w:val="01F97036"/>
    <w:rsid w:val="02071CFF"/>
    <w:rsid w:val="0241483D"/>
    <w:rsid w:val="024C2B81"/>
    <w:rsid w:val="025C1016"/>
    <w:rsid w:val="02736A74"/>
    <w:rsid w:val="02FD66B9"/>
    <w:rsid w:val="03031491"/>
    <w:rsid w:val="031E62CB"/>
    <w:rsid w:val="033E626C"/>
    <w:rsid w:val="039276DB"/>
    <w:rsid w:val="03C947C4"/>
    <w:rsid w:val="040D00EE"/>
    <w:rsid w:val="04180F6C"/>
    <w:rsid w:val="04294F58"/>
    <w:rsid w:val="043A35D9"/>
    <w:rsid w:val="045A344D"/>
    <w:rsid w:val="04A96068"/>
    <w:rsid w:val="04C133B2"/>
    <w:rsid w:val="050E6AE8"/>
    <w:rsid w:val="05600041"/>
    <w:rsid w:val="058B39C0"/>
    <w:rsid w:val="06B01930"/>
    <w:rsid w:val="06B328AD"/>
    <w:rsid w:val="07133C6D"/>
    <w:rsid w:val="07724E37"/>
    <w:rsid w:val="080C5602"/>
    <w:rsid w:val="08460D9C"/>
    <w:rsid w:val="084E1401"/>
    <w:rsid w:val="089D5EE4"/>
    <w:rsid w:val="08AE04A4"/>
    <w:rsid w:val="09842C00"/>
    <w:rsid w:val="09B75AF6"/>
    <w:rsid w:val="09C42634"/>
    <w:rsid w:val="09EF451D"/>
    <w:rsid w:val="0A326B00"/>
    <w:rsid w:val="0A421857"/>
    <w:rsid w:val="0AC67734"/>
    <w:rsid w:val="0B065FC2"/>
    <w:rsid w:val="0B0E131B"/>
    <w:rsid w:val="0B0F299D"/>
    <w:rsid w:val="0B220922"/>
    <w:rsid w:val="0B9C575C"/>
    <w:rsid w:val="0BB754CD"/>
    <w:rsid w:val="0BB96364"/>
    <w:rsid w:val="0BBC6FA9"/>
    <w:rsid w:val="0BFE313E"/>
    <w:rsid w:val="0C1666D9"/>
    <w:rsid w:val="0C27678D"/>
    <w:rsid w:val="0C2A3F33"/>
    <w:rsid w:val="0C423591"/>
    <w:rsid w:val="0C4C382C"/>
    <w:rsid w:val="0C7C4062"/>
    <w:rsid w:val="0C976C2D"/>
    <w:rsid w:val="0C9C64B3"/>
    <w:rsid w:val="0CA42D96"/>
    <w:rsid w:val="0CF8610F"/>
    <w:rsid w:val="0D0D4D4C"/>
    <w:rsid w:val="0D466B4A"/>
    <w:rsid w:val="0D7C6A10"/>
    <w:rsid w:val="0D9C21C9"/>
    <w:rsid w:val="0DFE5677"/>
    <w:rsid w:val="0E236A3E"/>
    <w:rsid w:val="0E2449B2"/>
    <w:rsid w:val="0E2F75DE"/>
    <w:rsid w:val="0E6574A4"/>
    <w:rsid w:val="0EA24254"/>
    <w:rsid w:val="0EA87391"/>
    <w:rsid w:val="0EC04B60"/>
    <w:rsid w:val="0EE03857"/>
    <w:rsid w:val="0F0071D6"/>
    <w:rsid w:val="0F1C1554"/>
    <w:rsid w:val="0F587009"/>
    <w:rsid w:val="0F9706E1"/>
    <w:rsid w:val="0FC91CB4"/>
    <w:rsid w:val="0FDE1AE9"/>
    <w:rsid w:val="101F557B"/>
    <w:rsid w:val="103E7FAD"/>
    <w:rsid w:val="10572E1C"/>
    <w:rsid w:val="10974C0A"/>
    <w:rsid w:val="11965BC6"/>
    <w:rsid w:val="11F528ED"/>
    <w:rsid w:val="12110637"/>
    <w:rsid w:val="121D0BF1"/>
    <w:rsid w:val="1243726D"/>
    <w:rsid w:val="12463148"/>
    <w:rsid w:val="134E49AB"/>
    <w:rsid w:val="13755966"/>
    <w:rsid w:val="138E05BB"/>
    <w:rsid w:val="13B30CB1"/>
    <w:rsid w:val="13B660AC"/>
    <w:rsid w:val="13BD38DE"/>
    <w:rsid w:val="13F86586"/>
    <w:rsid w:val="14045069"/>
    <w:rsid w:val="144E4536"/>
    <w:rsid w:val="147A532B"/>
    <w:rsid w:val="14996A51"/>
    <w:rsid w:val="153E61F1"/>
    <w:rsid w:val="15C0622B"/>
    <w:rsid w:val="15D83EBA"/>
    <w:rsid w:val="15E433A4"/>
    <w:rsid w:val="15F30367"/>
    <w:rsid w:val="163548CE"/>
    <w:rsid w:val="16612C47"/>
    <w:rsid w:val="16CD4493"/>
    <w:rsid w:val="16FC296F"/>
    <w:rsid w:val="17BE6574"/>
    <w:rsid w:val="180C0000"/>
    <w:rsid w:val="18196493"/>
    <w:rsid w:val="18E71B8F"/>
    <w:rsid w:val="19866520"/>
    <w:rsid w:val="199315E5"/>
    <w:rsid w:val="19946E8F"/>
    <w:rsid w:val="199E042C"/>
    <w:rsid w:val="19F47F2F"/>
    <w:rsid w:val="1A7F5449"/>
    <w:rsid w:val="1AAC31E9"/>
    <w:rsid w:val="1AB01AA7"/>
    <w:rsid w:val="1AC437A4"/>
    <w:rsid w:val="1B7E1BA5"/>
    <w:rsid w:val="1B882A24"/>
    <w:rsid w:val="1B8F790E"/>
    <w:rsid w:val="1BB43819"/>
    <w:rsid w:val="1C085913"/>
    <w:rsid w:val="1C3F7586"/>
    <w:rsid w:val="1C5A616E"/>
    <w:rsid w:val="1C9D605B"/>
    <w:rsid w:val="1CBF76DB"/>
    <w:rsid w:val="1CF96B9F"/>
    <w:rsid w:val="1D6131F2"/>
    <w:rsid w:val="1DB00010"/>
    <w:rsid w:val="1E0068A1"/>
    <w:rsid w:val="1E1467F1"/>
    <w:rsid w:val="1E3232E1"/>
    <w:rsid w:val="1E3B3D7D"/>
    <w:rsid w:val="1E845724"/>
    <w:rsid w:val="1EC41FC5"/>
    <w:rsid w:val="1F153A5D"/>
    <w:rsid w:val="1F3F164B"/>
    <w:rsid w:val="1F4712C6"/>
    <w:rsid w:val="1F9C6A9E"/>
    <w:rsid w:val="1FC53C27"/>
    <w:rsid w:val="200C65DB"/>
    <w:rsid w:val="203C5B8B"/>
    <w:rsid w:val="205E3D53"/>
    <w:rsid w:val="20B00A53"/>
    <w:rsid w:val="21115269"/>
    <w:rsid w:val="213351E0"/>
    <w:rsid w:val="216D06F2"/>
    <w:rsid w:val="217B78A2"/>
    <w:rsid w:val="21F9443D"/>
    <w:rsid w:val="22630065"/>
    <w:rsid w:val="229D5007"/>
    <w:rsid w:val="22CD6F6E"/>
    <w:rsid w:val="23AB5501"/>
    <w:rsid w:val="23C210A7"/>
    <w:rsid w:val="23C465C3"/>
    <w:rsid w:val="23D42CAA"/>
    <w:rsid w:val="24220FD6"/>
    <w:rsid w:val="24337556"/>
    <w:rsid w:val="24612064"/>
    <w:rsid w:val="247753E3"/>
    <w:rsid w:val="24F0352B"/>
    <w:rsid w:val="24FD0A68"/>
    <w:rsid w:val="252709A9"/>
    <w:rsid w:val="2540611D"/>
    <w:rsid w:val="255B3C04"/>
    <w:rsid w:val="25755DC7"/>
    <w:rsid w:val="258F13C6"/>
    <w:rsid w:val="25A20B86"/>
    <w:rsid w:val="263A1638"/>
    <w:rsid w:val="26557F83"/>
    <w:rsid w:val="26CD1C32"/>
    <w:rsid w:val="26D93BDE"/>
    <w:rsid w:val="26EF3957"/>
    <w:rsid w:val="27083E74"/>
    <w:rsid w:val="272B4E59"/>
    <w:rsid w:val="27821E79"/>
    <w:rsid w:val="279A1B15"/>
    <w:rsid w:val="27A94A4F"/>
    <w:rsid w:val="281D5BB3"/>
    <w:rsid w:val="286916DB"/>
    <w:rsid w:val="28BC5ABB"/>
    <w:rsid w:val="28CF1C92"/>
    <w:rsid w:val="2A585CB7"/>
    <w:rsid w:val="2A977947"/>
    <w:rsid w:val="2AF7727E"/>
    <w:rsid w:val="2B1716CE"/>
    <w:rsid w:val="2B1971F4"/>
    <w:rsid w:val="2BDE2AE3"/>
    <w:rsid w:val="2BEC2B5B"/>
    <w:rsid w:val="2BED60B9"/>
    <w:rsid w:val="2CB764FD"/>
    <w:rsid w:val="2CC41594"/>
    <w:rsid w:val="2CDC08C3"/>
    <w:rsid w:val="2D0068BE"/>
    <w:rsid w:val="2D690E85"/>
    <w:rsid w:val="2E185D1A"/>
    <w:rsid w:val="2E53092E"/>
    <w:rsid w:val="2EAE5EA6"/>
    <w:rsid w:val="2ED718A0"/>
    <w:rsid w:val="2F1877C3"/>
    <w:rsid w:val="2F25260C"/>
    <w:rsid w:val="2F642A08"/>
    <w:rsid w:val="2F860BD0"/>
    <w:rsid w:val="2FA03FC4"/>
    <w:rsid w:val="2FC20FDD"/>
    <w:rsid w:val="2FEB500C"/>
    <w:rsid w:val="2FF26EB3"/>
    <w:rsid w:val="301461DC"/>
    <w:rsid w:val="30A752A2"/>
    <w:rsid w:val="30BB2AFC"/>
    <w:rsid w:val="30C03516"/>
    <w:rsid w:val="30D37E45"/>
    <w:rsid w:val="30EA516E"/>
    <w:rsid w:val="30EC2809"/>
    <w:rsid w:val="313E5C07"/>
    <w:rsid w:val="31682C84"/>
    <w:rsid w:val="316F1ECF"/>
    <w:rsid w:val="31717D8A"/>
    <w:rsid w:val="31A87524"/>
    <w:rsid w:val="31E247E4"/>
    <w:rsid w:val="31F44517"/>
    <w:rsid w:val="324E00CB"/>
    <w:rsid w:val="32546D64"/>
    <w:rsid w:val="32891103"/>
    <w:rsid w:val="32B92D00"/>
    <w:rsid w:val="32E97DF4"/>
    <w:rsid w:val="32FB3AD4"/>
    <w:rsid w:val="339B5C84"/>
    <w:rsid w:val="33E505BB"/>
    <w:rsid w:val="33F20F2A"/>
    <w:rsid w:val="33F7209D"/>
    <w:rsid w:val="342403A8"/>
    <w:rsid w:val="343F1167"/>
    <w:rsid w:val="346314E0"/>
    <w:rsid w:val="34A2025B"/>
    <w:rsid w:val="34BE4682"/>
    <w:rsid w:val="34BF0E0C"/>
    <w:rsid w:val="351729F7"/>
    <w:rsid w:val="3566572C"/>
    <w:rsid w:val="35B9585C"/>
    <w:rsid w:val="35EF6EE4"/>
    <w:rsid w:val="35F65032"/>
    <w:rsid w:val="361B6516"/>
    <w:rsid w:val="362545F8"/>
    <w:rsid w:val="366652B8"/>
    <w:rsid w:val="366F6FA4"/>
    <w:rsid w:val="3727713D"/>
    <w:rsid w:val="37503F9E"/>
    <w:rsid w:val="37D050DF"/>
    <w:rsid w:val="38041359"/>
    <w:rsid w:val="38543F62"/>
    <w:rsid w:val="386D0B7F"/>
    <w:rsid w:val="387168C2"/>
    <w:rsid w:val="38832151"/>
    <w:rsid w:val="38D95A26"/>
    <w:rsid w:val="38F512A1"/>
    <w:rsid w:val="39033292"/>
    <w:rsid w:val="394C07AA"/>
    <w:rsid w:val="395111E8"/>
    <w:rsid w:val="39693679"/>
    <w:rsid w:val="39810D86"/>
    <w:rsid w:val="399D1DD6"/>
    <w:rsid w:val="39C742BF"/>
    <w:rsid w:val="39EB4452"/>
    <w:rsid w:val="3A1439A9"/>
    <w:rsid w:val="3A575643"/>
    <w:rsid w:val="3A59015E"/>
    <w:rsid w:val="3A9126BD"/>
    <w:rsid w:val="3B337E5E"/>
    <w:rsid w:val="3BE15B0C"/>
    <w:rsid w:val="3BF257CA"/>
    <w:rsid w:val="3C127E96"/>
    <w:rsid w:val="3C5E0B3E"/>
    <w:rsid w:val="3C666012"/>
    <w:rsid w:val="3C7200EF"/>
    <w:rsid w:val="3D2739F3"/>
    <w:rsid w:val="3D483969"/>
    <w:rsid w:val="3D5F13DF"/>
    <w:rsid w:val="3DA54918"/>
    <w:rsid w:val="3DD63C16"/>
    <w:rsid w:val="3DDA05E5"/>
    <w:rsid w:val="3DF53AF1"/>
    <w:rsid w:val="3ECF60F0"/>
    <w:rsid w:val="3EF677E2"/>
    <w:rsid w:val="3F5150F2"/>
    <w:rsid w:val="3F626F64"/>
    <w:rsid w:val="3F7D78FA"/>
    <w:rsid w:val="3F95733A"/>
    <w:rsid w:val="3FA255B3"/>
    <w:rsid w:val="3FFD4EDF"/>
    <w:rsid w:val="40185875"/>
    <w:rsid w:val="40503261"/>
    <w:rsid w:val="40A67324"/>
    <w:rsid w:val="40AA687D"/>
    <w:rsid w:val="40E439A9"/>
    <w:rsid w:val="41163267"/>
    <w:rsid w:val="411E7700"/>
    <w:rsid w:val="41B45A71"/>
    <w:rsid w:val="41CB242A"/>
    <w:rsid w:val="42CC3B2C"/>
    <w:rsid w:val="42DC702D"/>
    <w:rsid w:val="42E67071"/>
    <w:rsid w:val="432E715D"/>
    <w:rsid w:val="43374264"/>
    <w:rsid w:val="43805C0B"/>
    <w:rsid w:val="438D1DAF"/>
    <w:rsid w:val="43DE6DD5"/>
    <w:rsid w:val="44406DAA"/>
    <w:rsid w:val="444C2BC0"/>
    <w:rsid w:val="44CB735A"/>
    <w:rsid w:val="44D677B2"/>
    <w:rsid w:val="45264590"/>
    <w:rsid w:val="45623D63"/>
    <w:rsid w:val="45996EB8"/>
    <w:rsid w:val="461245A8"/>
    <w:rsid w:val="461E795D"/>
    <w:rsid w:val="462E5E6E"/>
    <w:rsid w:val="464E6A92"/>
    <w:rsid w:val="46767799"/>
    <w:rsid w:val="46C73B51"/>
    <w:rsid w:val="46DD5122"/>
    <w:rsid w:val="46F57C53"/>
    <w:rsid w:val="47643C7B"/>
    <w:rsid w:val="482F5E51"/>
    <w:rsid w:val="48455675"/>
    <w:rsid w:val="486874D5"/>
    <w:rsid w:val="48743864"/>
    <w:rsid w:val="48A56114"/>
    <w:rsid w:val="48FE5479"/>
    <w:rsid w:val="492E435B"/>
    <w:rsid w:val="49764365"/>
    <w:rsid w:val="49CC0FB2"/>
    <w:rsid w:val="49E95DD2"/>
    <w:rsid w:val="49F92273"/>
    <w:rsid w:val="4B35552D"/>
    <w:rsid w:val="4B375749"/>
    <w:rsid w:val="4B7F5343"/>
    <w:rsid w:val="4B906C07"/>
    <w:rsid w:val="4BE33F9B"/>
    <w:rsid w:val="4C123AC0"/>
    <w:rsid w:val="4C2D3C9F"/>
    <w:rsid w:val="4C8A2770"/>
    <w:rsid w:val="4CE64AC4"/>
    <w:rsid w:val="4CF3569F"/>
    <w:rsid w:val="4CF51418"/>
    <w:rsid w:val="4CF669CB"/>
    <w:rsid w:val="4DB52955"/>
    <w:rsid w:val="4DCE3305"/>
    <w:rsid w:val="4E0F6509"/>
    <w:rsid w:val="4E141B5F"/>
    <w:rsid w:val="4E320449"/>
    <w:rsid w:val="4EC56BC8"/>
    <w:rsid w:val="4ECC43FA"/>
    <w:rsid w:val="4EFB6A8D"/>
    <w:rsid w:val="4F8545A9"/>
    <w:rsid w:val="4FD77DC0"/>
    <w:rsid w:val="4FDD63B1"/>
    <w:rsid w:val="50396934"/>
    <w:rsid w:val="5060304C"/>
    <w:rsid w:val="506D5769"/>
    <w:rsid w:val="50E0152B"/>
    <w:rsid w:val="51786173"/>
    <w:rsid w:val="5181771E"/>
    <w:rsid w:val="51A46042"/>
    <w:rsid w:val="51D0115E"/>
    <w:rsid w:val="52302970"/>
    <w:rsid w:val="52595FA5"/>
    <w:rsid w:val="52DF0F1F"/>
    <w:rsid w:val="52FC24BF"/>
    <w:rsid w:val="53051C89"/>
    <w:rsid w:val="53B13BBE"/>
    <w:rsid w:val="54334068"/>
    <w:rsid w:val="543842E0"/>
    <w:rsid w:val="546463D8"/>
    <w:rsid w:val="54C73B0D"/>
    <w:rsid w:val="54CB6F02"/>
    <w:rsid w:val="54D758A7"/>
    <w:rsid w:val="559D0A05"/>
    <w:rsid w:val="55A3573C"/>
    <w:rsid w:val="55CA674D"/>
    <w:rsid w:val="55DD513F"/>
    <w:rsid w:val="55EA0003"/>
    <w:rsid w:val="56204B57"/>
    <w:rsid w:val="562543F0"/>
    <w:rsid w:val="56B37C4E"/>
    <w:rsid w:val="570E0518"/>
    <w:rsid w:val="578B0416"/>
    <w:rsid w:val="57F95B34"/>
    <w:rsid w:val="58207565"/>
    <w:rsid w:val="590A14DD"/>
    <w:rsid w:val="594B7688"/>
    <w:rsid w:val="59894B9F"/>
    <w:rsid w:val="59C3464B"/>
    <w:rsid w:val="59C4289D"/>
    <w:rsid w:val="59CF35C4"/>
    <w:rsid w:val="5A3442E8"/>
    <w:rsid w:val="5A655FE2"/>
    <w:rsid w:val="5A74483E"/>
    <w:rsid w:val="5AA61FA3"/>
    <w:rsid w:val="5AE96334"/>
    <w:rsid w:val="5AFC6067"/>
    <w:rsid w:val="5AFC7E15"/>
    <w:rsid w:val="5B3A2716"/>
    <w:rsid w:val="5B832808"/>
    <w:rsid w:val="5B9A6F48"/>
    <w:rsid w:val="5BEA3E7B"/>
    <w:rsid w:val="5C7210C9"/>
    <w:rsid w:val="5CF402CC"/>
    <w:rsid w:val="5D691C96"/>
    <w:rsid w:val="5DAB2539"/>
    <w:rsid w:val="5DB1138B"/>
    <w:rsid w:val="5DC170F4"/>
    <w:rsid w:val="5E6A32E8"/>
    <w:rsid w:val="5F553840"/>
    <w:rsid w:val="5F874378"/>
    <w:rsid w:val="5F922AF6"/>
    <w:rsid w:val="5F9A4E71"/>
    <w:rsid w:val="5FA52946"/>
    <w:rsid w:val="5FB32A6C"/>
    <w:rsid w:val="5FCA4645"/>
    <w:rsid w:val="5FCA6734"/>
    <w:rsid w:val="5FFA037E"/>
    <w:rsid w:val="6085265B"/>
    <w:rsid w:val="61375910"/>
    <w:rsid w:val="61457E1B"/>
    <w:rsid w:val="6166423A"/>
    <w:rsid w:val="61B70C1F"/>
    <w:rsid w:val="61BA27D8"/>
    <w:rsid w:val="61CA2A1B"/>
    <w:rsid w:val="61CB0541"/>
    <w:rsid w:val="628506F0"/>
    <w:rsid w:val="62C51434"/>
    <w:rsid w:val="62D6504E"/>
    <w:rsid w:val="62F728DD"/>
    <w:rsid w:val="62FB4E56"/>
    <w:rsid w:val="63557541"/>
    <w:rsid w:val="63974B7F"/>
    <w:rsid w:val="63B7355E"/>
    <w:rsid w:val="63DC4C88"/>
    <w:rsid w:val="63EA57DA"/>
    <w:rsid w:val="64031FD2"/>
    <w:rsid w:val="64065150"/>
    <w:rsid w:val="64151F48"/>
    <w:rsid w:val="64161DA3"/>
    <w:rsid w:val="644F0FB6"/>
    <w:rsid w:val="649D35AC"/>
    <w:rsid w:val="64A4784A"/>
    <w:rsid w:val="64BB489D"/>
    <w:rsid w:val="64CF659A"/>
    <w:rsid w:val="64D771FD"/>
    <w:rsid w:val="64EF4F26"/>
    <w:rsid w:val="64F46001"/>
    <w:rsid w:val="65A65A24"/>
    <w:rsid w:val="65DA0D53"/>
    <w:rsid w:val="65F75DA9"/>
    <w:rsid w:val="66017845"/>
    <w:rsid w:val="66044022"/>
    <w:rsid w:val="663743F7"/>
    <w:rsid w:val="66680C67"/>
    <w:rsid w:val="668533B4"/>
    <w:rsid w:val="66E85FF5"/>
    <w:rsid w:val="670378F6"/>
    <w:rsid w:val="671D6C79"/>
    <w:rsid w:val="67803B7C"/>
    <w:rsid w:val="67966EFB"/>
    <w:rsid w:val="67C577E1"/>
    <w:rsid w:val="67DF08A2"/>
    <w:rsid w:val="68224C33"/>
    <w:rsid w:val="68684D3A"/>
    <w:rsid w:val="6885769C"/>
    <w:rsid w:val="688650A3"/>
    <w:rsid w:val="68CF26D3"/>
    <w:rsid w:val="68EC0BDC"/>
    <w:rsid w:val="69554FCC"/>
    <w:rsid w:val="696574CD"/>
    <w:rsid w:val="6A273964"/>
    <w:rsid w:val="6A2D7FEB"/>
    <w:rsid w:val="6A794FDE"/>
    <w:rsid w:val="6A8E035E"/>
    <w:rsid w:val="6AA61B4B"/>
    <w:rsid w:val="6B252A70"/>
    <w:rsid w:val="6B5B4159"/>
    <w:rsid w:val="6BC14A92"/>
    <w:rsid w:val="6C077E75"/>
    <w:rsid w:val="6C1C0317"/>
    <w:rsid w:val="6CA1081C"/>
    <w:rsid w:val="6CAB3449"/>
    <w:rsid w:val="6CBF6EF4"/>
    <w:rsid w:val="6CFB08C4"/>
    <w:rsid w:val="6D317DF2"/>
    <w:rsid w:val="6D4573FA"/>
    <w:rsid w:val="6DDB5FB0"/>
    <w:rsid w:val="6DFA1AA7"/>
    <w:rsid w:val="6E4C0C5C"/>
    <w:rsid w:val="6E9F2B3A"/>
    <w:rsid w:val="6EC627BC"/>
    <w:rsid w:val="6F35524C"/>
    <w:rsid w:val="6F3E6B90"/>
    <w:rsid w:val="6F8B07EA"/>
    <w:rsid w:val="6FC54822"/>
    <w:rsid w:val="70027824"/>
    <w:rsid w:val="705D1091"/>
    <w:rsid w:val="705D2F4A"/>
    <w:rsid w:val="70622071"/>
    <w:rsid w:val="710B6BAC"/>
    <w:rsid w:val="71662034"/>
    <w:rsid w:val="71D13952"/>
    <w:rsid w:val="72141A90"/>
    <w:rsid w:val="72233A82"/>
    <w:rsid w:val="7238577F"/>
    <w:rsid w:val="728A45F4"/>
    <w:rsid w:val="728C1627"/>
    <w:rsid w:val="72C94629"/>
    <w:rsid w:val="72F01BB6"/>
    <w:rsid w:val="72FC1311"/>
    <w:rsid w:val="73274B12"/>
    <w:rsid w:val="73801F1C"/>
    <w:rsid w:val="7386076C"/>
    <w:rsid w:val="73E536E4"/>
    <w:rsid w:val="73E641AE"/>
    <w:rsid w:val="74B03CF2"/>
    <w:rsid w:val="74C925A6"/>
    <w:rsid w:val="75197A63"/>
    <w:rsid w:val="75701C77"/>
    <w:rsid w:val="759C7DD3"/>
    <w:rsid w:val="75B07D22"/>
    <w:rsid w:val="75EB2B08"/>
    <w:rsid w:val="75FD6934"/>
    <w:rsid w:val="76DE7412"/>
    <w:rsid w:val="76FF686B"/>
    <w:rsid w:val="775557EE"/>
    <w:rsid w:val="77994137"/>
    <w:rsid w:val="77E141C3"/>
    <w:rsid w:val="780D28D6"/>
    <w:rsid w:val="7822050D"/>
    <w:rsid w:val="78896E24"/>
    <w:rsid w:val="78CC3CF7"/>
    <w:rsid w:val="78D76B8F"/>
    <w:rsid w:val="78DB6E64"/>
    <w:rsid w:val="79102FB2"/>
    <w:rsid w:val="79C43D9C"/>
    <w:rsid w:val="7A097A01"/>
    <w:rsid w:val="7A342CD0"/>
    <w:rsid w:val="7A817EAD"/>
    <w:rsid w:val="7AB756AF"/>
    <w:rsid w:val="7ADE6B49"/>
    <w:rsid w:val="7B072192"/>
    <w:rsid w:val="7B0A41E6"/>
    <w:rsid w:val="7B2C7E4B"/>
    <w:rsid w:val="7B767318"/>
    <w:rsid w:val="7BA06143"/>
    <w:rsid w:val="7BCC6F38"/>
    <w:rsid w:val="7BE10C35"/>
    <w:rsid w:val="7BE35A96"/>
    <w:rsid w:val="7C240B22"/>
    <w:rsid w:val="7C297A9E"/>
    <w:rsid w:val="7C2D3E7B"/>
    <w:rsid w:val="7C484810"/>
    <w:rsid w:val="7C661E25"/>
    <w:rsid w:val="7CA413CC"/>
    <w:rsid w:val="7CA57EB5"/>
    <w:rsid w:val="7CEE5DFF"/>
    <w:rsid w:val="7CFF06D7"/>
    <w:rsid w:val="7D0A41BC"/>
    <w:rsid w:val="7D504147"/>
    <w:rsid w:val="7D5E522E"/>
    <w:rsid w:val="7D692C90"/>
    <w:rsid w:val="7E3F7E95"/>
    <w:rsid w:val="7E7E6C0F"/>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3920</Words>
  <Characters>4006</Characters>
  <Lines>0</Lines>
  <Paragraphs>0</Paragraphs>
  <TotalTime>1</TotalTime>
  <ScaleCrop>false</ScaleCrop>
  <LinksUpToDate>false</LinksUpToDate>
  <CharactersWithSpaces>4023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2025-08-29T07:20:53Z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