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45B0D6B0">
      <w:pPr>
        <w:spacing w:before="169" w:line="220" w:lineRule="auto"/>
        <w:ind w:left="2107"/>
        <w:jc w:val="left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008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容量管理策略</w:t>
      </w:r>
      <w:bookmarkEnd w:id="0"/>
    </w:p>
    <w:p w14:paraId="4CA4A1DC">
      <w:pPr>
        <w:pStyle w:val="12"/>
        <w:spacing w:line="259" w:lineRule="auto"/>
      </w:pPr>
    </w:p>
    <w:p w14:paraId="066AB00C">
      <w:pPr>
        <w:pStyle w:val="12"/>
        <w:spacing w:line="259" w:lineRule="auto"/>
      </w:pPr>
    </w:p>
    <w:p w14:paraId="230A5184">
      <w:pPr>
        <w:pStyle w:val="12"/>
        <w:spacing w:line="259" w:lineRule="auto"/>
      </w:pPr>
    </w:p>
    <w:p w14:paraId="45724973">
      <w:pPr>
        <w:pStyle w:val="12"/>
        <w:spacing w:line="259" w:lineRule="auto"/>
      </w:pPr>
    </w:p>
    <w:p w14:paraId="27054915">
      <w:pPr>
        <w:pStyle w:val="12"/>
        <w:spacing w:line="259" w:lineRule="auto"/>
      </w:pPr>
    </w:p>
    <w:p w14:paraId="447B08E3">
      <w:pPr>
        <w:pStyle w:val="12"/>
        <w:spacing w:line="260" w:lineRule="auto"/>
      </w:pPr>
    </w:p>
    <w:p w14:paraId="5C966E75">
      <w:pPr>
        <w:pStyle w:val="12"/>
        <w:spacing w:line="260" w:lineRule="auto"/>
      </w:pPr>
    </w:p>
    <w:p w14:paraId="271A2BD8">
      <w:pPr>
        <w:pStyle w:val="12"/>
        <w:spacing w:line="260" w:lineRule="auto"/>
      </w:pPr>
    </w:p>
    <w:p w14:paraId="2D83EEF5">
      <w:pPr>
        <w:spacing w:line="1293" w:lineRule="exact"/>
        <w:ind w:firstLine="1991"/>
        <w:jc w:val="left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12"/>
        <w:spacing w:line="245" w:lineRule="auto"/>
      </w:pPr>
    </w:p>
    <w:p w14:paraId="14D2B701">
      <w:pPr>
        <w:pStyle w:val="12"/>
        <w:spacing w:line="245" w:lineRule="auto"/>
      </w:pPr>
    </w:p>
    <w:p w14:paraId="581B4A53">
      <w:pPr>
        <w:pStyle w:val="12"/>
        <w:spacing w:line="245" w:lineRule="auto"/>
      </w:pPr>
    </w:p>
    <w:p w14:paraId="70139CA8">
      <w:pPr>
        <w:pStyle w:val="12"/>
        <w:spacing w:line="245" w:lineRule="auto"/>
      </w:pPr>
    </w:p>
    <w:p w14:paraId="2485B4A9">
      <w:pPr>
        <w:pStyle w:val="12"/>
        <w:spacing w:line="245" w:lineRule="auto"/>
      </w:pPr>
    </w:p>
    <w:p w14:paraId="2CFFE61E">
      <w:pPr>
        <w:pStyle w:val="12"/>
        <w:spacing w:line="245" w:lineRule="auto"/>
      </w:pPr>
    </w:p>
    <w:p w14:paraId="70E87060">
      <w:pPr>
        <w:pStyle w:val="12"/>
        <w:spacing w:line="246" w:lineRule="auto"/>
      </w:pPr>
    </w:p>
    <w:p w14:paraId="6066BCED">
      <w:pPr>
        <w:spacing w:before="117" w:line="219" w:lineRule="auto"/>
        <w:ind w:left="1661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bidi w:val="0"/>
        <w:jc w:val="center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957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D86CC3E">
      <w:pPr>
        <w:spacing w:line="16" w:lineRule="exact"/>
      </w:pPr>
    </w:p>
    <w:tbl>
      <w:tblPr>
        <w:tblStyle w:val="2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051141CF">
            <w:pPr>
              <w:pStyle w:val="2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27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容量管理策略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RLGL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ADA7B0E">
            <w:pPr>
              <w:pStyle w:val="2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2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FA74CB4">
            <w:pPr>
              <w:pStyle w:val="2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E5078DD">
            <w:pPr>
              <w:pStyle w:val="2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74E5C1E5">
            <w:pPr>
              <w:pStyle w:val="2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2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2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86F38E2">
            <w:pPr>
              <w:pStyle w:val="2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460C4842">
            <w:pPr>
              <w:pStyle w:val="27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1B39E7D5">
            <w:pPr>
              <w:pStyle w:val="2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27"/>
              <w:spacing w:before="134" w:line="220" w:lineRule="auto"/>
              <w:ind w:left="480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  <w:bookmarkStart w:id="17" w:name="_GoBack"/>
            <w:bookmarkEnd w:id="17"/>
          </w:p>
        </w:tc>
        <w:tc>
          <w:tcPr>
            <w:tcW w:w="1953" w:type="dxa"/>
            <w:vAlign w:val="top"/>
          </w:tcPr>
          <w:p w14:paraId="62B7BE55">
            <w:pPr>
              <w:pStyle w:val="2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B0AEF6C">
            <w:pPr>
              <w:pStyle w:val="27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124A3CB">
            <w:pPr>
              <w:pStyle w:val="27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32ABE758">
            <w:pPr>
              <w:pStyle w:val="2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2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2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71E0D2E">
            <w:pPr>
              <w:pStyle w:val="27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B18A293">
            <w:pPr>
              <w:pStyle w:val="27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50E9CC6A">
            <w:pPr>
              <w:pStyle w:val="2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2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2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2C0438F">
            <w:pPr>
              <w:pStyle w:val="27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3E00521A">
            <w:pPr>
              <w:pStyle w:val="27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02D01323">
            <w:pPr>
              <w:pStyle w:val="2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2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2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7087DD98">
      <w:pPr>
        <w:bidi w:val="0"/>
        <w:rPr>
          <w:rFonts w:hint="eastAsia"/>
        </w:rPr>
      </w:pPr>
    </w:p>
    <w:p w14:paraId="6C73290C">
      <w:pPr>
        <w:bidi w:val="0"/>
        <w:spacing w:line="360" w:lineRule="auto"/>
        <w:rPr>
          <w:rFonts w:ascii="宋体" w:hAnsi="宋体"/>
          <w:szCs w:val="21"/>
        </w:rPr>
      </w:pPr>
    </w:p>
    <w:p w14:paraId="3443AC19">
      <w:r>
        <w:br w:type="page"/>
      </w:r>
    </w:p>
    <w:sdt>
      <w:sdtP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id w:val="14746505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DEBF4F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33F47AB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容量管理策略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CF8EC6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3B3BDB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_Toc9941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_Toc9941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2822D5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_Toc20620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_Toc20620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829297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17DE2C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3.1 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7FC13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_Toc26609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3.2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_Toc26609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4AC54D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3.3 项目经理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1CAE1D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 管理流程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52EFA8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_Toc16719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4.1 容量规划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_Toc16719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7910C6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4.2 容量监控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12ADF2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4.3 容量分析和评估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7833F5">
          <w:pPr>
            <w:pStyle w:val="17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_Toc1270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4.4 容量优化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143DF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 管理原则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61E68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_Toc29240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_Toc29240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AB770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 与其他流程的关系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367C3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8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8F276A">
          <w:pPr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8123EF2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17F66B54"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br w:type="page"/>
      </w:r>
    </w:p>
    <w:p w14:paraId="6F19B648">
      <w:pPr>
        <w:pStyle w:val="28"/>
        <w:bidi w:val="0"/>
        <w:rPr>
          <w:rFonts w:hint="default"/>
          <w:lang w:val="en-US" w:eastAsia="zh-CN"/>
        </w:rPr>
      </w:pPr>
      <w:bookmarkStart w:id="2" w:name="_Toc9941"/>
      <w:r>
        <w:rPr>
          <w:rFonts w:hint="default"/>
          <w:lang w:val="en-US" w:eastAsia="zh-CN"/>
        </w:rPr>
        <w:t>目的</w:t>
      </w:r>
      <w:bookmarkEnd w:id="2"/>
    </w:p>
    <w:p w14:paraId="06545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消除客户业务系统容量风险，确保客户业务系统容量能够经济、合理地满足业务需求。</w:t>
      </w:r>
    </w:p>
    <w:p w14:paraId="57E3B59B">
      <w:pPr>
        <w:pStyle w:val="28"/>
        <w:bidi w:val="0"/>
        <w:rPr>
          <w:rFonts w:hint="default"/>
          <w:lang w:val="en-US" w:eastAsia="zh-CN"/>
        </w:rPr>
      </w:pPr>
      <w:bookmarkStart w:id="3" w:name="_Toc20620"/>
      <w:r>
        <w:rPr>
          <w:rFonts w:hint="default"/>
          <w:lang w:val="en-US" w:eastAsia="zh-CN"/>
        </w:rPr>
        <w:t>适用范围</w:t>
      </w:r>
      <w:bookmarkEnd w:id="3"/>
    </w:p>
    <w:p w14:paraId="04690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适用于公司运维服务项目容量管理。</w:t>
      </w:r>
    </w:p>
    <w:p w14:paraId="5D2CE255">
      <w:pPr>
        <w:pStyle w:val="28"/>
        <w:bidi w:val="0"/>
        <w:rPr>
          <w:rFonts w:hint="default"/>
          <w:lang w:val="en-US" w:eastAsia="zh-CN"/>
        </w:rPr>
      </w:pPr>
      <w:bookmarkStart w:id="4" w:name="_Toc18243"/>
      <w:r>
        <w:rPr>
          <w:rFonts w:hint="default"/>
          <w:lang w:val="en-US" w:eastAsia="zh-CN"/>
        </w:rPr>
        <w:t>职责</w:t>
      </w:r>
      <w:bookmarkEnd w:id="4"/>
    </w:p>
    <w:p w14:paraId="712ABFE1">
      <w:pPr>
        <w:pStyle w:val="29"/>
        <w:bidi w:val="0"/>
        <w:rPr>
          <w:rFonts w:hint="default"/>
          <w:lang w:val="en-US" w:eastAsia="zh-CN"/>
        </w:rPr>
      </w:pPr>
      <w:bookmarkStart w:id="5" w:name="_Toc19898"/>
      <w:r>
        <w:rPr>
          <w:rFonts w:hint="eastAsia"/>
          <w:lang w:val="en-US" w:eastAsia="zh-CN"/>
        </w:rPr>
        <w:t>研发中心</w:t>
      </w:r>
      <w:bookmarkEnd w:id="5"/>
    </w:p>
    <w:p w14:paraId="66170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负责从技术层面对项目容量计划、容量优化方案进行审批。</w:t>
      </w:r>
    </w:p>
    <w:p w14:paraId="61305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负责指导项目容量监控与优化工作。</w:t>
      </w:r>
    </w:p>
    <w:p w14:paraId="16D657CD">
      <w:pPr>
        <w:pStyle w:val="29"/>
        <w:bidi w:val="0"/>
        <w:rPr>
          <w:rFonts w:hint="default"/>
          <w:lang w:val="en-US" w:eastAsia="zh-CN"/>
        </w:rPr>
      </w:pPr>
      <w:bookmarkStart w:id="6" w:name="_Toc26609"/>
      <w:r>
        <w:rPr>
          <w:rFonts w:hint="eastAsia"/>
          <w:lang w:val="en-US" w:eastAsia="zh-CN"/>
        </w:rPr>
        <w:t>运维服务部</w:t>
      </w:r>
      <w:bookmarkEnd w:id="6"/>
    </w:p>
    <w:p w14:paraId="07FB4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负责收集客户业务需求，调查业务系统现状，开展项目容量规划相关工作。</w:t>
      </w:r>
    </w:p>
    <w:p w14:paraId="1DE89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按照规划开展项目的容量监控工作，收集客户业务需求、业务系统容量数据、项目资源容量数据，必要情况下采取临时措施应对系统容量不足的风险。</w:t>
      </w:r>
    </w:p>
    <w:p w14:paraId="31AD1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定期开展容量分析和评估工作，判断系统容量趋势和风险，提出并实施项目容量优化方案。</w:t>
      </w:r>
    </w:p>
    <w:p w14:paraId="79DD090F">
      <w:pPr>
        <w:pStyle w:val="29"/>
        <w:bidi w:val="0"/>
        <w:rPr>
          <w:rFonts w:hint="default"/>
          <w:lang w:val="en-US" w:eastAsia="zh-CN"/>
        </w:rPr>
      </w:pPr>
      <w:bookmarkStart w:id="7" w:name="_Toc2093"/>
      <w:r>
        <w:rPr>
          <w:rFonts w:hint="default"/>
          <w:lang w:val="en-US" w:eastAsia="zh-CN"/>
        </w:rPr>
        <w:t>项目经理</w:t>
      </w:r>
      <w:bookmarkEnd w:id="7"/>
    </w:p>
    <w:p w14:paraId="2FF30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负责从业务、成本层面对项目容量计划与优化方案进行审批。</w:t>
      </w:r>
    </w:p>
    <w:p w14:paraId="2F8AF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负责定期对容量管理过程的持续改进工作。</w:t>
      </w:r>
    </w:p>
    <w:p w14:paraId="5CC6F711">
      <w:pPr>
        <w:pStyle w:val="28"/>
        <w:bidi w:val="0"/>
        <w:rPr>
          <w:rFonts w:hint="default"/>
          <w:lang w:val="en-US" w:eastAsia="zh-CN"/>
        </w:rPr>
      </w:pPr>
      <w:bookmarkStart w:id="8" w:name="_Toc13251"/>
      <w:r>
        <w:rPr>
          <w:rFonts w:hint="default"/>
          <w:lang w:val="en-US" w:eastAsia="zh-CN"/>
        </w:rPr>
        <w:t>管理流程</w:t>
      </w:r>
      <w:bookmarkEnd w:id="8"/>
    </w:p>
    <w:p w14:paraId="5630A327">
      <w:pPr>
        <w:pStyle w:val="29"/>
        <w:bidi w:val="0"/>
        <w:rPr>
          <w:rFonts w:hint="default"/>
          <w:lang w:val="en-US" w:eastAsia="zh-CN"/>
        </w:rPr>
      </w:pPr>
      <w:bookmarkStart w:id="9" w:name="_Toc16719"/>
      <w:r>
        <w:rPr>
          <w:rFonts w:hint="default"/>
          <w:lang w:val="en-US" w:eastAsia="zh-CN"/>
        </w:rPr>
        <w:t>容量规划</w:t>
      </w:r>
      <w:bookmarkEnd w:id="9"/>
    </w:p>
    <w:p w14:paraId="63D0F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项目经理在项目签订后根据系统现状、客户业务需求制定项目《系统容量计划》，包含资产接入标准、性能监控标准等方面。</w:t>
      </w:r>
    </w:p>
    <w:p w14:paraId="07658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项目经理协同运维工程师从技术、成本、业务的角度对项目《容量计划》进行评审，确保项目具备足够的容量。</w:t>
      </w:r>
    </w:p>
    <w:p w14:paraId="71602F6F">
      <w:pPr>
        <w:pStyle w:val="29"/>
        <w:bidi w:val="0"/>
        <w:rPr>
          <w:rFonts w:hint="default"/>
          <w:lang w:val="en-US" w:eastAsia="zh-CN"/>
        </w:rPr>
      </w:pPr>
      <w:bookmarkStart w:id="10" w:name="_Toc2098"/>
      <w:r>
        <w:rPr>
          <w:rFonts w:hint="default"/>
          <w:lang w:val="en-US" w:eastAsia="zh-CN"/>
        </w:rPr>
        <w:t>容量监控</w:t>
      </w:r>
      <w:bookmarkEnd w:id="10"/>
    </w:p>
    <w:p w14:paraId="01396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项目《容量计划》评审通过后，项目经理立即按照规划开展容量监控工作，配置相应的资源，安排业务系统容量数据和客户业务需求的收集。</w:t>
      </w:r>
    </w:p>
    <w:p w14:paraId="1C965330">
      <w:pPr>
        <w:pStyle w:val="29"/>
        <w:bidi w:val="0"/>
        <w:rPr>
          <w:rFonts w:hint="default"/>
          <w:lang w:val="en-US" w:eastAsia="zh-CN"/>
        </w:rPr>
      </w:pPr>
      <w:bookmarkStart w:id="11" w:name="_Toc17315"/>
      <w:r>
        <w:rPr>
          <w:rFonts w:hint="default"/>
          <w:lang w:val="en-US" w:eastAsia="zh-CN"/>
        </w:rPr>
        <w:t>容量分析和评估</w:t>
      </w:r>
      <w:bookmarkEnd w:id="11"/>
    </w:p>
    <w:p w14:paraId="1FB6A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项目经理定期对客户业务需求、业务系统容量数据、项目资源容量数据、进行分析和评估，分析容量趋势和变化，识别容量风险。必要情况下采取临时措施应对容量不足的问题。</w:t>
      </w:r>
    </w:p>
    <w:p w14:paraId="19D0ACE6">
      <w:pPr>
        <w:pStyle w:val="29"/>
        <w:bidi w:val="0"/>
        <w:rPr>
          <w:rFonts w:hint="default"/>
          <w:lang w:val="en-US" w:eastAsia="zh-CN"/>
        </w:rPr>
      </w:pPr>
      <w:bookmarkStart w:id="12" w:name="_Toc1270"/>
      <w:r>
        <w:rPr>
          <w:rFonts w:hint="default"/>
          <w:lang w:val="en-US" w:eastAsia="zh-CN"/>
        </w:rPr>
        <w:t>容量优化</w:t>
      </w:r>
      <w:bookmarkEnd w:id="12"/>
    </w:p>
    <w:p w14:paraId="4A422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针对容量风险，项目经理制定相应的《容量优化方案》，明确优化措施和实施计划。</w:t>
      </w:r>
    </w:p>
    <w:p w14:paraId="04426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项目经理协同运维工程师从业务、技术、成本的角度对项目《容量优化方案》进行评审，在可控的成本范围内提升项目容量。必要情况下，客户服务工程师应当在容量优化后重新评估和更新项目《容量计划》。</w:t>
      </w:r>
    </w:p>
    <w:p w14:paraId="0F0940AC">
      <w:pPr>
        <w:pStyle w:val="28"/>
        <w:bidi w:val="0"/>
        <w:rPr>
          <w:rFonts w:hint="default"/>
          <w:lang w:val="en-US" w:eastAsia="zh-CN"/>
        </w:rPr>
      </w:pPr>
      <w:bookmarkStart w:id="13" w:name="_Toc14902"/>
      <w:r>
        <w:rPr>
          <w:rFonts w:hint="default"/>
          <w:lang w:val="en-US" w:eastAsia="zh-CN"/>
        </w:rPr>
        <w:t>管理原则</w:t>
      </w:r>
      <w:bookmarkEnd w:id="13"/>
    </w:p>
    <w:p w14:paraId="7C44DB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1）项目《容量计划》内容应包含核心设备接入指标与阈值、性能关键指标与阈值、系统容量监控计划、工具效能、重要业务节点人员安排等内容。</w:t>
      </w:r>
    </w:p>
    <w:p w14:paraId="6AC6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2）应采取相关工具如监控工具开展系统容量的监控工作，提高容量监控效率。</w:t>
      </w:r>
    </w:p>
    <w:p w14:paraId="46704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3）应至少每半年开展一次项目分析和评估工作。</w:t>
      </w:r>
    </w:p>
    <w:p w14:paraId="68BB4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4）容量的优化方案应符合预期成本范畴，并在客户许可的情况下实施。</w:t>
      </w:r>
    </w:p>
    <w:p w14:paraId="56227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5）当系统容量发生重大调整后，应重新对《容量计划》进行评估和更新。</w:t>
      </w:r>
    </w:p>
    <w:p w14:paraId="0E9D2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6）每年应对容量管理过程进行评估、持续改进。</w:t>
      </w:r>
    </w:p>
    <w:p w14:paraId="4F18975B">
      <w:pPr>
        <w:pStyle w:val="28"/>
        <w:bidi w:val="0"/>
        <w:rPr>
          <w:rFonts w:hint="default"/>
          <w:lang w:val="en-US" w:eastAsia="zh-CN"/>
        </w:rPr>
      </w:pPr>
      <w:bookmarkStart w:id="14" w:name="_Toc29240"/>
      <w:r>
        <w:rPr>
          <w:rFonts w:hint="default"/>
          <w:lang w:val="en-US" w:eastAsia="zh-CN"/>
        </w:rPr>
        <w:t>关键指标</w:t>
      </w:r>
      <w:bookmarkEnd w:id="14"/>
    </w:p>
    <w:tbl>
      <w:tblPr>
        <w:tblStyle w:val="26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6D05F4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03BB4AE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3E25C039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容量时间次数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2CBA4CE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数量:由于容量原因发生的事件数量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3F74704F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季度</w:t>
            </w:r>
          </w:p>
        </w:tc>
      </w:tr>
    </w:tbl>
    <w:p w14:paraId="2F8BF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p w14:paraId="074A9E1A">
      <w:pPr>
        <w:pStyle w:val="28"/>
        <w:bidi w:val="0"/>
        <w:rPr>
          <w:rFonts w:hint="default"/>
          <w:lang w:val="en-US" w:eastAsia="zh-CN"/>
        </w:rPr>
      </w:pPr>
      <w:bookmarkStart w:id="15" w:name="_Toc14493"/>
      <w:r>
        <w:rPr>
          <w:rFonts w:hint="default"/>
          <w:lang w:val="en-US" w:eastAsia="zh-CN"/>
        </w:rPr>
        <w:t>与其他流程的关系</w:t>
      </w:r>
      <w:bookmarkEnd w:id="15"/>
    </w:p>
    <w:p w14:paraId="0935B8C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与事件管理流程的关系：在容量监控活动中，发现业务系统容量不足的情况，通过事件管理流程进行处置。</w:t>
      </w:r>
    </w:p>
    <w:p w14:paraId="4AFD4B9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与问题管理流程的关系：识别出影响系统容量的隐患，可通过问题管理流程进行处置。</w:t>
      </w:r>
    </w:p>
    <w:p w14:paraId="0DE4BC9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与变更、发布管理流程的关系：系统容量优化的实施可通过变更、发布管理流程进行管控。</w:t>
      </w:r>
    </w:p>
    <w:p w14:paraId="1794D3E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与配置管理流程的关系：配置管理数据库为容量管理提供数据范畴。</w:t>
      </w:r>
    </w:p>
    <w:p w14:paraId="05F3AD4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与可用性和连续管理流程的关系：系统容量的提升在一定程度上能够提升业务系统的可用性和连续性。</w:t>
      </w:r>
    </w:p>
    <w:p w14:paraId="2A4E003B">
      <w:pPr>
        <w:pStyle w:val="28"/>
        <w:bidi w:val="0"/>
        <w:rPr>
          <w:rFonts w:hint="default"/>
          <w:lang w:val="en-US" w:eastAsia="zh-CN"/>
        </w:rPr>
      </w:pPr>
      <w:bookmarkStart w:id="16" w:name="_Toc31007"/>
      <w:r>
        <w:rPr>
          <w:rFonts w:hint="default"/>
          <w:lang w:val="en-US" w:eastAsia="zh-CN"/>
        </w:rPr>
        <w:t>相关记录文件</w:t>
      </w:r>
      <w:bookmarkEnd w:id="16"/>
    </w:p>
    <w:p w14:paraId="6A97D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《容量计划》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《容量分析和评估报告》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15"/>
      <w:pBdr>
        <w:bottom w:val="single" w:color="auto" w:sz="4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7931D69"/>
    <w:multiLevelType w:val="singleLevel"/>
    <w:tmpl w:val="17931D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A95AA3"/>
    <w:rsid w:val="01C1789B"/>
    <w:rsid w:val="01F97036"/>
    <w:rsid w:val="0241483D"/>
    <w:rsid w:val="02736A74"/>
    <w:rsid w:val="02FD66B9"/>
    <w:rsid w:val="031E62CB"/>
    <w:rsid w:val="04180F6C"/>
    <w:rsid w:val="04294F58"/>
    <w:rsid w:val="043A35D9"/>
    <w:rsid w:val="045A344D"/>
    <w:rsid w:val="05600041"/>
    <w:rsid w:val="058B39C0"/>
    <w:rsid w:val="06B328AD"/>
    <w:rsid w:val="07133C6D"/>
    <w:rsid w:val="077961C6"/>
    <w:rsid w:val="08460D9C"/>
    <w:rsid w:val="08905771"/>
    <w:rsid w:val="08AE04A4"/>
    <w:rsid w:val="0913249E"/>
    <w:rsid w:val="092F36C4"/>
    <w:rsid w:val="09412D13"/>
    <w:rsid w:val="09842C00"/>
    <w:rsid w:val="09B75AF6"/>
    <w:rsid w:val="0A421857"/>
    <w:rsid w:val="0B0E131B"/>
    <w:rsid w:val="0B896BF3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6F4244"/>
    <w:rsid w:val="0FDE1AE9"/>
    <w:rsid w:val="108D0FCB"/>
    <w:rsid w:val="10974C0A"/>
    <w:rsid w:val="112D7194"/>
    <w:rsid w:val="121D0BF1"/>
    <w:rsid w:val="134E49AB"/>
    <w:rsid w:val="13755966"/>
    <w:rsid w:val="138E05BB"/>
    <w:rsid w:val="13DD7ADC"/>
    <w:rsid w:val="13F86586"/>
    <w:rsid w:val="142A1E56"/>
    <w:rsid w:val="14996A51"/>
    <w:rsid w:val="153E61F1"/>
    <w:rsid w:val="15C0622B"/>
    <w:rsid w:val="15E433A4"/>
    <w:rsid w:val="180C0000"/>
    <w:rsid w:val="18196493"/>
    <w:rsid w:val="18E71B8F"/>
    <w:rsid w:val="191C2E55"/>
    <w:rsid w:val="19946E8F"/>
    <w:rsid w:val="1AAC31E9"/>
    <w:rsid w:val="1AB01AA7"/>
    <w:rsid w:val="1B4A5B25"/>
    <w:rsid w:val="1B7E1BA5"/>
    <w:rsid w:val="1B882A24"/>
    <w:rsid w:val="1B99253B"/>
    <w:rsid w:val="1CBF76DB"/>
    <w:rsid w:val="1CF96B9F"/>
    <w:rsid w:val="1EC41FC5"/>
    <w:rsid w:val="1F4712C6"/>
    <w:rsid w:val="20B00A53"/>
    <w:rsid w:val="21115269"/>
    <w:rsid w:val="214473ED"/>
    <w:rsid w:val="216D06F2"/>
    <w:rsid w:val="21F9443D"/>
    <w:rsid w:val="22630065"/>
    <w:rsid w:val="229D5007"/>
    <w:rsid w:val="22CD6F6E"/>
    <w:rsid w:val="23C210A7"/>
    <w:rsid w:val="24337556"/>
    <w:rsid w:val="24F0352B"/>
    <w:rsid w:val="24FD0A68"/>
    <w:rsid w:val="2522799C"/>
    <w:rsid w:val="252709A9"/>
    <w:rsid w:val="2540611D"/>
    <w:rsid w:val="255B3C04"/>
    <w:rsid w:val="25755DC7"/>
    <w:rsid w:val="258F13C6"/>
    <w:rsid w:val="25A20B86"/>
    <w:rsid w:val="25D55FA5"/>
    <w:rsid w:val="26557F83"/>
    <w:rsid w:val="27083E74"/>
    <w:rsid w:val="272B4E59"/>
    <w:rsid w:val="27821E79"/>
    <w:rsid w:val="286916DB"/>
    <w:rsid w:val="28BC5ABB"/>
    <w:rsid w:val="28CF1C92"/>
    <w:rsid w:val="2A376E1F"/>
    <w:rsid w:val="2A585CB7"/>
    <w:rsid w:val="2AF7727E"/>
    <w:rsid w:val="2B1716CE"/>
    <w:rsid w:val="2BBC0BA2"/>
    <w:rsid w:val="2BDE2AE3"/>
    <w:rsid w:val="2C4B3970"/>
    <w:rsid w:val="2CDC08C3"/>
    <w:rsid w:val="2D0068BE"/>
    <w:rsid w:val="2E185D1A"/>
    <w:rsid w:val="2E4427DA"/>
    <w:rsid w:val="2E53092E"/>
    <w:rsid w:val="2E67471B"/>
    <w:rsid w:val="2ED718A0"/>
    <w:rsid w:val="2F1877C3"/>
    <w:rsid w:val="2F25260C"/>
    <w:rsid w:val="2F642A08"/>
    <w:rsid w:val="2F860BD0"/>
    <w:rsid w:val="2FA03FC4"/>
    <w:rsid w:val="2FC20FDD"/>
    <w:rsid w:val="2FE50B64"/>
    <w:rsid w:val="2FF26EB3"/>
    <w:rsid w:val="30A752A2"/>
    <w:rsid w:val="30C03516"/>
    <w:rsid w:val="313E5C07"/>
    <w:rsid w:val="31682C84"/>
    <w:rsid w:val="317566DD"/>
    <w:rsid w:val="31A87524"/>
    <w:rsid w:val="31D43E75"/>
    <w:rsid w:val="31F44517"/>
    <w:rsid w:val="324E00CB"/>
    <w:rsid w:val="32B92D00"/>
    <w:rsid w:val="32E97DF4"/>
    <w:rsid w:val="33F20F2A"/>
    <w:rsid w:val="33F7209D"/>
    <w:rsid w:val="344A4733"/>
    <w:rsid w:val="34BE4682"/>
    <w:rsid w:val="3566572C"/>
    <w:rsid w:val="35EF6EE4"/>
    <w:rsid w:val="361B6516"/>
    <w:rsid w:val="362545F8"/>
    <w:rsid w:val="366F23BE"/>
    <w:rsid w:val="37503F9E"/>
    <w:rsid w:val="38543F62"/>
    <w:rsid w:val="386D0B7F"/>
    <w:rsid w:val="38F512A1"/>
    <w:rsid w:val="395111E8"/>
    <w:rsid w:val="39693679"/>
    <w:rsid w:val="39EB4452"/>
    <w:rsid w:val="39F252A9"/>
    <w:rsid w:val="3A1439A9"/>
    <w:rsid w:val="3A59015E"/>
    <w:rsid w:val="3BD75832"/>
    <w:rsid w:val="3BE15B0C"/>
    <w:rsid w:val="3BF257CA"/>
    <w:rsid w:val="3C127E96"/>
    <w:rsid w:val="3C5E0B3E"/>
    <w:rsid w:val="3C7200EF"/>
    <w:rsid w:val="3CCF005B"/>
    <w:rsid w:val="3D2739F3"/>
    <w:rsid w:val="3DD63C16"/>
    <w:rsid w:val="3DDA05E5"/>
    <w:rsid w:val="3F5150F2"/>
    <w:rsid w:val="3F7D78FA"/>
    <w:rsid w:val="40185875"/>
    <w:rsid w:val="40503261"/>
    <w:rsid w:val="40786454"/>
    <w:rsid w:val="408D0011"/>
    <w:rsid w:val="40A67324"/>
    <w:rsid w:val="40AA687D"/>
    <w:rsid w:val="411E7700"/>
    <w:rsid w:val="41CB242A"/>
    <w:rsid w:val="42DC702D"/>
    <w:rsid w:val="430F2F5F"/>
    <w:rsid w:val="43805C0B"/>
    <w:rsid w:val="444C2BC0"/>
    <w:rsid w:val="445634B0"/>
    <w:rsid w:val="44CB735A"/>
    <w:rsid w:val="44D677B2"/>
    <w:rsid w:val="45264590"/>
    <w:rsid w:val="461E795D"/>
    <w:rsid w:val="464E6A92"/>
    <w:rsid w:val="467852BF"/>
    <w:rsid w:val="46C73B51"/>
    <w:rsid w:val="47643C7B"/>
    <w:rsid w:val="48A56114"/>
    <w:rsid w:val="4B7F5343"/>
    <w:rsid w:val="4BE33F9B"/>
    <w:rsid w:val="4C123AC0"/>
    <w:rsid w:val="4C8A2770"/>
    <w:rsid w:val="4CF3569F"/>
    <w:rsid w:val="4E141B5F"/>
    <w:rsid w:val="4F8545A9"/>
    <w:rsid w:val="4FDD63B1"/>
    <w:rsid w:val="50396934"/>
    <w:rsid w:val="50E0152B"/>
    <w:rsid w:val="5181771E"/>
    <w:rsid w:val="51D0115E"/>
    <w:rsid w:val="52302970"/>
    <w:rsid w:val="525E7A5F"/>
    <w:rsid w:val="54334068"/>
    <w:rsid w:val="54D758A7"/>
    <w:rsid w:val="559D0A05"/>
    <w:rsid w:val="55CA674D"/>
    <w:rsid w:val="56791160"/>
    <w:rsid w:val="56B37C4E"/>
    <w:rsid w:val="578B0416"/>
    <w:rsid w:val="58207565"/>
    <w:rsid w:val="58672098"/>
    <w:rsid w:val="590A14DD"/>
    <w:rsid w:val="59894B9F"/>
    <w:rsid w:val="59CF35C4"/>
    <w:rsid w:val="5A3442E8"/>
    <w:rsid w:val="5AE96334"/>
    <w:rsid w:val="5AFC6067"/>
    <w:rsid w:val="5B832808"/>
    <w:rsid w:val="5D5D061E"/>
    <w:rsid w:val="5D691C96"/>
    <w:rsid w:val="5DAB2539"/>
    <w:rsid w:val="5DB1138B"/>
    <w:rsid w:val="5E6A32E8"/>
    <w:rsid w:val="5F874378"/>
    <w:rsid w:val="5F922AF6"/>
    <w:rsid w:val="5F9A4E71"/>
    <w:rsid w:val="5FA52946"/>
    <w:rsid w:val="5FB32A6C"/>
    <w:rsid w:val="5FCA4645"/>
    <w:rsid w:val="5FCA6734"/>
    <w:rsid w:val="60A24FBB"/>
    <w:rsid w:val="61375910"/>
    <w:rsid w:val="61457E1B"/>
    <w:rsid w:val="61733AD5"/>
    <w:rsid w:val="61BA27D8"/>
    <w:rsid w:val="61CA2A1B"/>
    <w:rsid w:val="61CB0541"/>
    <w:rsid w:val="623600B0"/>
    <w:rsid w:val="623C4782"/>
    <w:rsid w:val="62C01325"/>
    <w:rsid w:val="62C51434"/>
    <w:rsid w:val="62FB4E56"/>
    <w:rsid w:val="636C76BB"/>
    <w:rsid w:val="63974B7F"/>
    <w:rsid w:val="63B7355E"/>
    <w:rsid w:val="63EA57DA"/>
    <w:rsid w:val="64063037"/>
    <w:rsid w:val="64151F48"/>
    <w:rsid w:val="64161DA3"/>
    <w:rsid w:val="644F0FB6"/>
    <w:rsid w:val="649D35AC"/>
    <w:rsid w:val="64A4784A"/>
    <w:rsid w:val="64CF659A"/>
    <w:rsid w:val="64DE058B"/>
    <w:rsid w:val="655F7CF9"/>
    <w:rsid w:val="65A65A24"/>
    <w:rsid w:val="65F75DA9"/>
    <w:rsid w:val="66017845"/>
    <w:rsid w:val="668533B4"/>
    <w:rsid w:val="66D9725C"/>
    <w:rsid w:val="66E85FF5"/>
    <w:rsid w:val="670378F6"/>
    <w:rsid w:val="671D6C79"/>
    <w:rsid w:val="67803B7C"/>
    <w:rsid w:val="67C577E1"/>
    <w:rsid w:val="68684D3A"/>
    <w:rsid w:val="688650A3"/>
    <w:rsid w:val="696574CD"/>
    <w:rsid w:val="6A273964"/>
    <w:rsid w:val="6A794FDE"/>
    <w:rsid w:val="6A8E035E"/>
    <w:rsid w:val="6AA61B4B"/>
    <w:rsid w:val="6BC14A92"/>
    <w:rsid w:val="6CBF6EF4"/>
    <w:rsid w:val="6D317DF2"/>
    <w:rsid w:val="6D4573FA"/>
    <w:rsid w:val="6DDB5FB0"/>
    <w:rsid w:val="6DFA1AA7"/>
    <w:rsid w:val="6E4C0C5C"/>
    <w:rsid w:val="6E9F2B3A"/>
    <w:rsid w:val="6EC627BC"/>
    <w:rsid w:val="6ED00F45"/>
    <w:rsid w:val="6F5A2F04"/>
    <w:rsid w:val="6F7915DC"/>
    <w:rsid w:val="6F8B07EA"/>
    <w:rsid w:val="71662034"/>
    <w:rsid w:val="717604C9"/>
    <w:rsid w:val="72141A90"/>
    <w:rsid w:val="728A45F4"/>
    <w:rsid w:val="728C1627"/>
    <w:rsid w:val="72C94629"/>
    <w:rsid w:val="72D07765"/>
    <w:rsid w:val="72FC1311"/>
    <w:rsid w:val="73274B12"/>
    <w:rsid w:val="7386076C"/>
    <w:rsid w:val="73E536E4"/>
    <w:rsid w:val="74B03CF2"/>
    <w:rsid w:val="74C925A6"/>
    <w:rsid w:val="75701C77"/>
    <w:rsid w:val="75B07D22"/>
    <w:rsid w:val="75FD6934"/>
    <w:rsid w:val="763E339E"/>
    <w:rsid w:val="765F17B0"/>
    <w:rsid w:val="76DE7412"/>
    <w:rsid w:val="76FF3FDD"/>
    <w:rsid w:val="775557EE"/>
    <w:rsid w:val="77BE04D4"/>
    <w:rsid w:val="782642CC"/>
    <w:rsid w:val="78CC3CF7"/>
    <w:rsid w:val="78D76B8F"/>
    <w:rsid w:val="78DB6E64"/>
    <w:rsid w:val="79C43D9C"/>
    <w:rsid w:val="7A817EAD"/>
    <w:rsid w:val="7AB756AF"/>
    <w:rsid w:val="7ADE6B49"/>
    <w:rsid w:val="7B0A41E6"/>
    <w:rsid w:val="7BE10C35"/>
    <w:rsid w:val="7BE35A96"/>
    <w:rsid w:val="7BE4685A"/>
    <w:rsid w:val="7C352D2F"/>
    <w:rsid w:val="7C484810"/>
    <w:rsid w:val="7CA413CC"/>
    <w:rsid w:val="7CA57EB5"/>
    <w:rsid w:val="7CFF06D7"/>
    <w:rsid w:val="7D0A41BC"/>
    <w:rsid w:val="7D5E522E"/>
    <w:rsid w:val="7D692C90"/>
    <w:rsid w:val="7E3F7E95"/>
    <w:rsid w:val="7F8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paragraph" w:styleId="23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0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1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1383</Words>
  <Characters>1429</Characters>
  <Lines>0</Lines>
  <Paragraphs>0</Paragraphs>
  <TotalTime>0</TotalTime>
  <ScaleCrop>false</ScaleCrop>
  <LinksUpToDate>false</LinksUpToDate>
  <CharactersWithSpaces>1495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2025-08-29T07:54:48Z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