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BEB3A">
      <w:pPr>
        <w:pStyle w:val="11"/>
        <w:spacing w:line="243" w:lineRule="auto"/>
      </w:pPr>
    </w:p>
    <w:p w14:paraId="0DFE9508">
      <w:pPr>
        <w:pStyle w:val="11"/>
        <w:spacing w:line="243" w:lineRule="auto"/>
      </w:pPr>
    </w:p>
    <w:p w14:paraId="06D7DB7B">
      <w:pPr>
        <w:pStyle w:val="11"/>
        <w:spacing w:line="243" w:lineRule="auto"/>
      </w:pPr>
    </w:p>
    <w:p w14:paraId="3360EE6A">
      <w:pPr>
        <w:pStyle w:val="11"/>
        <w:spacing w:line="243" w:lineRule="auto"/>
      </w:pPr>
    </w:p>
    <w:p w14:paraId="27CF88D8">
      <w:pPr>
        <w:pStyle w:val="11"/>
        <w:spacing w:line="243" w:lineRule="auto"/>
      </w:pPr>
    </w:p>
    <w:p w14:paraId="45A0675B">
      <w:pPr>
        <w:pStyle w:val="11"/>
        <w:spacing w:line="243" w:lineRule="auto"/>
      </w:pPr>
    </w:p>
    <w:p w14:paraId="2801DD63">
      <w:pPr>
        <w:pStyle w:val="11"/>
        <w:spacing w:line="243" w:lineRule="auto"/>
      </w:pPr>
    </w:p>
    <w:p w14:paraId="1634AE72">
      <w:pPr>
        <w:pStyle w:val="11"/>
        <w:spacing w:line="243" w:lineRule="auto"/>
      </w:pPr>
    </w:p>
    <w:p w14:paraId="7F0D7F49">
      <w:pPr>
        <w:pStyle w:val="11"/>
        <w:spacing w:line="244" w:lineRule="auto"/>
      </w:pPr>
    </w:p>
    <w:p w14:paraId="15219DF1">
      <w:pPr>
        <w:spacing w:before="169" w:line="220" w:lineRule="auto"/>
        <w:jc w:val="center"/>
        <w:outlineLvl w:val="0"/>
        <w:rPr>
          <w:rFonts w:ascii="宋体" w:hAnsi="宋体" w:eastAsia="宋体" w:cs="宋体"/>
          <w:b/>
          <w:bCs/>
          <w:spacing w:val="-10"/>
          <w:sz w:val="52"/>
          <w:szCs w:val="52"/>
        </w:rPr>
      </w:pPr>
      <w:bookmarkStart w:id="0" w:name="_Toc6793"/>
      <w:r>
        <w:rPr>
          <w:rFonts w:ascii="宋体" w:hAnsi="宋体" w:eastAsia="宋体" w:cs="宋体"/>
          <w:b/>
          <w:bCs/>
          <w:spacing w:val="-10"/>
          <w:sz w:val="52"/>
          <w:szCs w:val="52"/>
        </w:rPr>
        <w:t>连续性计划</w:t>
      </w:r>
      <w:bookmarkEnd w:id="0"/>
    </w:p>
    <w:p w14:paraId="21CA73F2">
      <w:pPr>
        <w:bidi w:val="0"/>
      </w:pPr>
    </w:p>
    <w:p w14:paraId="0E18D828">
      <w:pPr>
        <w:bidi w:val="0"/>
      </w:pPr>
    </w:p>
    <w:p w14:paraId="048CFF98">
      <w:pPr>
        <w:bidi w:val="0"/>
      </w:pPr>
    </w:p>
    <w:p w14:paraId="7BA2E8C9">
      <w:pPr>
        <w:bidi w:val="0"/>
      </w:pPr>
    </w:p>
    <w:p w14:paraId="1C47669C">
      <w:pPr>
        <w:bidi w:val="0"/>
      </w:pPr>
    </w:p>
    <w:p w14:paraId="27A42B41">
      <w:pPr>
        <w:bidi w:val="0"/>
      </w:pPr>
    </w:p>
    <w:p w14:paraId="466232D8">
      <w:pPr>
        <w:bidi w:val="0"/>
      </w:pPr>
    </w:p>
    <w:p w14:paraId="6A980808">
      <w:pPr>
        <w:bidi w:val="0"/>
      </w:pPr>
    </w:p>
    <w:p w14:paraId="0AF735D7">
      <w:pPr>
        <w:bidi w:val="0"/>
      </w:pPr>
    </w:p>
    <w:p w14:paraId="1563F523">
      <w:pPr>
        <w:bidi w:val="0"/>
      </w:pPr>
    </w:p>
    <w:p w14:paraId="508F7545">
      <w:pPr>
        <w:bidi w:val="0"/>
      </w:pPr>
    </w:p>
    <w:p w14:paraId="59D277BE">
      <w:pPr>
        <w:bidi w:val="0"/>
      </w:pPr>
    </w:p>
    <w:p w14:paraId="773174BF">
      <w:pPr>
        <w:bidi w:val="0"/>
      </w:pPr>
    </w:p>
    <w:p w14:paraId="63B7DA1E">
      <w:pPr>
        <w:bidi w:val="0"/>
      </w:pPr>
    </w:p>
    <w:p w14:paraId="47DC48DC">
      <w:pPr>
        <w:bidi w:val="0"/>
      </w:pPr>
    </w:p>
    <w:p w14:paraId="781E3240">
      <w:pPr>
        <w:bidi w:val="0"/>
        <w:jc w:val="center"/>
      </w:pPr>
      <w:r>
        <w:drawing>
          <wp:inline distT="0" distB="0" distL="0" distR="0">
            <wp:extent cx="2757170" cy="820420"/>
            <wp:effectExtent l="0" t="0" r="1270" b="2540"/>
            <wp:docPr id="1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5C64">
      <w:pPr>
        <w:bidi w:val="0"/>
      </w:pPr>
    </w:p>
    <w:p w14:paraId="02C72CC3">
      <w:pPr>
        <w:bidi w:val="0"/>
      </w:pPr>
    </w:p>
    <w:p w14:paraId="433F65C2">
      <w:pPr>
        <w:bidi w:val="0"/>
      </w:pPr>
    </w:p>
    <w:p w14:paraId="78F17D27">
      <w:pPr>
        <w:bidi w:val="0"/>
      </w:pPr>
    </w:p>
    <w:p w14:paraId="37AA090D">
      <w:pPr>
        <w:bidi w:val="0"/>
      </w:pPr>
    </w:p>
    <w:p w14:paraId="31738B74">
      <w:pPr>
        <w:bidi w:val="0"/>
      </w:pPr>
    </w:p>
    <w:p w14:paraId="350C0760">
      <w:pPr>
        <w:bidi w:val="0"/>
      </w:pPr>
    </w:p>
    <w:p w14:paraId="5E60C3BB">
      <w:pPr>
        <w:bidi w:val="0"/>
      </w:pPr>
    </w:p>
    <w:p w14:paraId="1C4593B3">
      <w:pPr>
        <w:bidi w:val="0"/>
      </w:pPr>
    </w:p>
    <w:p w14:paraId="5749DC57">
      <w:pPr>
        <w:bidi w:val="0"/>
      </w:pPr>
    </w:p>
    <w:p w14:paraId="0280F6FE">
      <w:pPr>
        <w:bidi w:val="0"/>
      </w:pPr>
    </w:p>
    <w:p w14:paraId="26C29E52">
      <w:pPr>
        <w:bidi w:val="0"/>
      </w:pPr>
    </w:p>
    <w:p w14:paraId="758F29F5">
      <w:pPr>
        <w:bidi w:val="0"/>
      </w:pPr>
    </w:p>
    <w:p w14:paraId="459ADA3B">
      <w:pPr>
        <w:bidi w:val="0"/>
      </w:pPr>
    </w:p>
    <w:p w14:paraId="1386AB50">
      <w:pPr>
        <w:bidi w:val="0"/>
      </w:pPr>
    </w:p>
    <w:p w14:paraId="13A56FF5">
      <w:pPr>
        <w:bidi w:val="0"/>
      </w:pPr>
    </w:p>
    <w:p w14:paraId="0C60DF69">
      <w:pPr>
        <w:spacing w:before="117" w:line="219" w:lineRule="auto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C0E3D7B">
      <w:pPr>
        <w:spacing w:before="275"/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</w:t>
      </w:r>
      <w:r>
        <w:rPr>
          <w:rFonts w:hint="eastAsia" w:ascii="宋体" w:hAnsi="宋体" w:eastAsia="宋体" w:cs="宋体"/>
          <w:spacing w:val="-2"/>
          <w:sz w:val="36"/>
          <w:szCs w:val="36"/>
          <w:lang w:val="en-US" w:eastAsia="zh-CN"/>
        </w:rPr>
        <w:t>1</w:t>
      </w:r>
      <w:r>
        <w:rPr>
          <w:rFonts w:ascii="宋体" w:hAnsi="宋体" w:eastAsia="宋体" w:cs="宋体"/>
          <w:spacing w:val="-2"/>
          <w:sz w:val="36"/>
          <w:szCs w:val="36"/>
        </w:rPr>
        <w:t>-</w:t>
      </w:r>
      <w:r>
        <w:rPr>
          <w:rFonts w:hint="eastAsia" w:ascii="宋体" w:hAnsi="宋体" w:eastAsia="宋体" w:cs="宋体"/>
          <w:spacing w:val="-2"/>
          <w:sz w:val="36"/>
          <w:szCs w:val="36"/>
          <w:lang w:val="en-US" w:eastAsia="zh-CN"/>
        </w:rPr>
        <w:t>4</w:t>
      </w:r>
    </w:p>
    <w:p w14:paraId="7F1C823E">
      <w:pPr>
        <w:bidi w:val="0"/>
      </w:pPr>
    </w:p>
    <w:p w14:paraId="4120E9C9">
      <w:pPr>
        <w:rPr>
          <w:rFonts w:ascii="宋体" w:hAnsi="宋体" w:eastAsia="宋体" w:cs="宋体"/>
          <w:b/>
          <w:bCs/>
          <w:spacing w:val="-10"/>
          <w:sz w:val="52"/>
          <w:szCs w:val="52"/>
        </w:rPr>
      </w:pPr>
      <w:r>
        <w:rPr>
          <w:rFonts w:ascii="宋体" w:hAnsi="宋体" w:eastAsia="宋体" w:cs="宋体"/>
          <w:b/>
          <w:bCs/>
          <w:spacing w:val="-10"/>
          <w:sz w:val="52"/>
          <w:szCs w:val="52"/>
        </w:rPr>
        <w:br w:type="page"/>
      </w:r>
    </w:p>
    <w:p w14:paraId="7A6BB3EF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25046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10C76F80">
      <w:pPr>
        <w:spacing w:line="16" w:lineRule="exact"/>
      </w:pPr>
    </w:p>
    <w:tbl>
      <w:tblPr>
        <w:tblStyle w:val="18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727D45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27881B7B">
            <w:pPr>
              <w:pStyle w:val="19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36C689BA">
            <w:pPr>
              <w:pStyle w:val="19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连续性计划</w:t>
            </w:r>
            <w:r>
              <w:rPr>
                <w:spacing w:val="-1"/>
              </w:rPr>
              <w:t>（HHLC-ITSS-</w:t>
            </w:r>
            <w:r>
              <w:rPr>
                <w:rFonts w:hint="eastAsia" w:eastAsia="宋体"/>
                <w:spacing w:val="-1"/>
                <w:lang w:val="en-US" w:eastAsia="zh-CN"/>
              </w:rPr>
              <w:t>LXXJH</w:t>
            </w:r>
            <w:r>
              <w:rPr>
                <w:spacing w:val="-1"/>
              </w:rPr>
              <w:t>）</w:t>
            </w:r>
          </w:p>
        </w:tc>
      </w:tr>
      <w:tr w14:paraId="1E0E20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3615769">
            <w:pPr>
              <w:pStyle w:val="19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02563DE7">
            <w:pPr>
              <w:pStyle w:val="19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F5425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81883D0">
            <w:pPr>
              <w:pStyle w:val="19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2E38265A">
            <w:pPr>
              <w:pStyle w:val="19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2A09C73F">
            <w:pPr>
              <w:pStyle w:val="19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649ABBC">
            <w:pPr>
              <w:pStyle w:val="19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644A38AD">
            <w:pPr>
              <w:pStyle w:val="19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4FBEB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6F6D724B">
            <w:pPr>
              <w:pStyle w:val="19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36BC817E">
            <w:pPr>
              <w:pStyle w:val="19"/>
              <w:spacing w:before="163"/>
              <w:ind w:left="361"/>
              <w:rPr>
                <w:rFonts w:hint="eastAsia" w:eastAsia="宋体"/>
                <w:lang w:val="en-US" w:eastAsia="zh-CN"/>
              </w:rPr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</w:t>
            </w:r>
            <w:r>
              <w:rPr>
                <w:rFonts w:hint="eastAsia" w:eastAsia="宋体"/>
                <w:spacing w:val="-2"/>
                <w:lang w:val="en-US" w:eastAsia="zh-CN"/>
              </w:rPr>
              <w:t>1</w:t>
            </w:r>
            <w:r>
              <w:rPr>
                <w:spacing w:val="-2"/>
              </w:rPr>
              <w:t>-</w:t>
            </w:r>
            <w:r>
              <w:rPr>
                <w:rFonts w:hint="eastAsia" w:eastAsia="宋体"/>
                <w:spacing w:val="-2"/>
                <w:lang w:val="en-US" w:eastAsia="zh-CN"/>
              </w:rPr>
              <w:t>4</w:t>
            </w:r>
          </w:p>
        </w:tc>
        <w:tc>
          <w:tcPr>
            <w:tcW w:w="2302" w:type="dxa"/>
            <w:vAlign w:val="top"/>
          </w:tcPr>
          <w:p w14:paraId="3F169EE9">
            <w:pPr>
              <w:pStyle w:val="19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41107F9F">
            <w:pPr>
              <w:pStyle w:val="19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4B6CF0E8">
            <w:pPr>
              <w:pStyle w:val="19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1F6273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BCD4D9A">
            <w:pPr>
              <w:pStyle w:val="19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0D6CAEED">
            <w:pPr>
              <w:pStyle w:val="19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28F7B695">
            <w:pPr>
              <w:pStyle w:val="19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7F53F258">
            <w:pPr>
              <w:pStyle w:val="19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4B0608E">
            <w:pPr>
              <w:pStyle w:val="19"/>
              <w:spacing w:before="134" w:line="220" w:lineRule="auto"/>
              <w:ind w:left="672"/>
            </w:pPr>
          </w:p>
        </w:tc>
      </w:tr>
      <w:tr w14:paraId="354AE2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866B92A">
            <w:pPr>
              <w:pStyle w:val="19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062081F">
            <w:pPr>
              <w:pStyle w:val="19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60D8574A">
            <w:pPr>
              <w:pStyle w:val="19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5751A681">
            <w:pPr>
              <w:pStyle w:val="19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054D523">
            <w:pPr>
              <w:pStyle w:val="19"/>
              <w:spacing w:before="135" w:line="220" w:lineRule="auto"/>
              <w:ind w:left="672"/>
            </w:pPr>
          </w:p>
        </w:tc>
      </w:tr>
      <w:tr w14:paraId="20C4D7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290A639">
            <w:pPr>
              <w:pStyle w:val="19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2C19250">
            <w:pPr>
              <w:pStyle w:val="19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58E6110C">
            <w:pPr>
              <w:pStyle w:val="19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6F89A49">
            <w:pPr>
              <w:pStyle w:val="19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70CAE7F1">
            <w:pPr>
              <w:pStyle w:val="19"/>
              <w:spacing w:before="136" w:line="220" w:lineRule="auto"/>
              <w:ind w:left="672"/>
            </w:pPr>
          </w:p>
        </w:tc>
      </w:tr>
      <w:tr w14:paraId="05FE5F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69FE44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2502CE3B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23FF35B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A366011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0AB55F55">
            <w:pPr>
              <w:rPr>
                <w:rFonts w:ascii="Arial"/>
                <w:sz w:val="21"/>
              </w:rPr>
            </w:pPr>
          </w:p>
        </w:tc>
      </w:tr>
    </w:tbl>
    <w:p w14:paraId="7732E43D">
      <w:pPr>
        <w:pStyle w:val="11"/>
        <w:spacing w:line="247" w:lineRule="auto"/>
      </w:pPr>
    </w:p>
    <w:p w14:paraId="41ECAAE7">
      <w:pPr>
        <w:pStyle w:val="11"/>
        <w:spacing w:line="247" w:lineRule="auto"/>
      </w:pPr>
    </w:p>
    <w:p w14:paraId="4DBB1048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3851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0DFB18D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AC8D03C">
          <w:pPr>
            <w:pStyle w:val="14"/>
            <w:tabs>
              <w:tab w:val="right" w:leader="dot" w:pos="912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_Toc6793 </w:instrText>
          </w:r>
          <w:r>
            <w:fldChar w:fldCharType="separate"/>
          </w:r>
          <w:r>
            <w:rPr>
              <w:rFonts w:ascii="宋体" w:hAnsi="宋体" w:eastAsia="宋体" w:cs="宋体"/>
              <w:bCs/>
              <w:spacing w:val="-10"/>
              <w:szCs w:val="52"/>
            </w:rPr>
            <w:t>连续性计划</w:t>
          </w:r>
          <w:r>
            <w:tab/>
          </w:r>
          <w:r>
            <w:fldChar w:fldCharType="begin"/>
          </w:r>
          <w:r>
            <w:instrText xml:space="preserve"> PAGEREF _Toc6793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70E3BD4">
          <w:pPr>
            <w:pStyle w:val="14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_Toc25046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Cs w:val="21"/>
            </w:rPr>
            <w:t>文档信息</w:t>
          </w:r>
          <w:r>
            <w:tab/>
          </w:r>
          <w:r>
            <w:fldChar w:fldCharType="begin"/>
          </w:r>
          <w:r>
            <w:instrText xml:space="preserve"> PAGEREF _Toc25046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5432D01">
          <w:pPr>
            <w:pStyle w:val="14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_Toc1440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_Toc1440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193B1DE">
          <w:pPr>
            <w:pStyle w:val="14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_Toc21924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t>适用范围</w:t>
          </w:r>
          <w:r>
            <w:tab/>
          </w:r>
          <w:r>
            <w:fldChar w:fldCharType="begin"/>
          </w:r>
          <w:r>
            <w:instrText xml:space="preserve"> PAGEREF _Toc21924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544AB77">
          <w:pPr>
            <w:pStyle w:val="14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_Toc31264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t>连续性计划</w:t>
          </w:r>
          <w:r>
            <w:tab/>
          </w:r>
          <w:r>
            <w:fldChar w:fldCharType="begin"/>
          </w:r>
          <w:r>
            <w:instrText xml:space="preserve"> PAGEREF _Toc31264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57C23BF">
          <w:pPr>
            <w:pStyle w:val="15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_Toc15102 </w:instrText>
          </w:r>
          <w:r>
            <w:fldChar w:fldCharType="separate"/>
          </w:r>
          <w:r>
            <w:rPr>
              <w:rFonts w:hint="default"/>
            </w:rPr>
            <w:t xml:space="preserve">3.1. </w:t>
          </w:r>
          <w:r>
            <w:t>计划的执行</w:t>
          </w:r>
          <w:r>
            <w:tab/>
          </w:r>
          <w:r>
            <w:fldChar w:fldCharType="begin"/>
          </w:r>
          <w:r>
            <w:instrText xml:space="preserve"> PAGEREF _Toc15102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A7CF430">
          <w:pPr>
            <w:pStyle w:val="12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_Toc27041 </w:instrText>
          </w:r>
          <w:r>
            <w:fldChar w:fldCharType="separate"/>
          </w:r>
          <w:r>
            <w:rPr>
              <w:rFonts w:hint="default"/>
            </w:rPr>
            <w:t xml:space="preserve">3.1.1. </w:t>
          </w:r>
          <w:r>
            <w:t>启动恢复计划</w:t>
          </w:r>
          <w:r>
            <w:tab/>
          </w:r>
          <w:r>
            <w:fldChar w:fldCharType="begin"/>
          </w:r>
          <w:r>
            <w:instrText xml:space="preserve"> PAGEREF _Toc27041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3C41387">
          <w:pPr>
            <w:pStyle w:val="12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_Toc21874 </w:instrText>
          </w:r>
          <w:r>
            <w:fldChar w:fldCharType="separate"/>
          </w:r>
          <w:r>
            <w:rPr>
              <w:rFonts w:hint="default"/>
            </w:rPr>
            <w:t xml:space="preserve">3.1.2. </w:t>
          </w:r>
          <w:r>
            <w:t>执行过程</w:t>
          </w:r>
          <w:r>
            <w:tab/>
          </w:r>
          <w:r>
            <w:fldChar w:fldCharType="begin"/>
          </w:r>
          <w:r>
            <w:instrText xml:space="preserve"> PAGEREF _Toc21874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194AE00">
          <w:pPr>
            <w:pStyle w:val="12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_Toc2172 </w:instrText>
          </w:r>
          <w:r>
            <w:fldChar w:fldCharType="separate"/>
          </w:r>
          <w:r>
            <w:rPr>
              <w:rFonts w:hint="default"/>
            </w:rPr>
            <w:t xml:space="preserve">3.1.3. </w:t>
          </w:r>
          <w:r>
            <w:t>灾难恢复计划表</w:t>
          </w:r>
          <w:r>
            <w:tab/>
          </w:r>
          <w:r>
            <w:fldChar w:fldCharType="begin"/>
          </w:r>
          <w:r>
            <w:instrText xml:space="preserve"> PAGEREF _Toc2172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EC4A8BF">
          <w:pPr>
            <w:pStyle w:val="15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_Toc13016 </w:instrText>
          </w:r>
          <w:r>
            <w:fldChar w:fldCharType="separate"/>
          </w:r>
          <w:r>
            <w:rPr>
              <w:rFonts w:hint="default"/>
            </w:rPr>
            <w:t xml:space="preserve">3.2. </w:t>
          </w:r>
          <w:r>
            <w:t>连续性维护内容</w:t>
          </w:r>
          <w:r>
            <w:tab/>
          </w:r>
          <w:r>
            <w:fldChar w:fldCharType="begin"/>
          </w:r>
          <w:r>
            <w:instrText xml:space="preserve"> PAGEREF _Toc13016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6AB9A42">
          <w:pPr>
            <w:pStyle w:val="12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_Toc13448 </w:instrText>
          </w:r>
          <w:r>
            <w:fldChar w:fldCharType="separate"/>
          </w:r>
          <w:r>
            <w:rPr>
              <w:rFonts w:hint="default"/>
            </w:rPr>
            <w:t xml:space="preserve">3.2.1. </w:t>
          </w:r>
          <w:r>
            <w:t>日常维护</w:t>
          </w:r>
          <w:r>
            <w:tab/>
          </w:r>
          <w:r>
            <w:fldChar w:fldCharType="begin"/>
          </w:r>
          <w:r>
            <w:instrText xml:space="preserve"> PAGEREF _Toc13448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A0C020F">
          <w:pPr>
            <w:pStyle w:val="12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_Toc2970 </w:instrText>
          </w:r>
          <w:r>
            <w:fldChar w:fldCharType="separate"/>
          </w:r>
          <w:r>
            <w:rPr>
              <w:rFonts w:hint="default"/>
            </w:rPr>
            <w:t xml:space="preserve">3.2.2. </w:t>
          </w:r>
          <w:r>
            <w:t>人员后备计划</w:t>
          </w:r>
          <w:r>
            <w:tab/>
          </w:r>
          <w:r>
            <w:fldChar w:fldCharType="begin"/>
          </w:r>
          <w:r>
            <w:instrText xml:space="preserve"> PAGEREF _Toc2970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016857F5">
          <w:pPr>
            <w:pStyle w:val="12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_Toc5808 </w:instrText>
          </w:r>
          <w:r>
            <w:fldChar w:fldCharType="separate"/>
          </w:r>
          <w:r>
            <w:rPr>
              <w:rFonts w:hint="default"/>
            </w:rPr>
            <w:t xml:space="preserve">3.2.3. </w:t>
          </w:r>
          <w:r>
            <w:t>备用数据</w:t>
          </w:r>
          <w:r>
            <w:tab/>
          </w:r>
          <w:r>
            <w:fldChar w:fldCharType="begin"/>
          </w:r>
          <w:r>
            <w:instrText xml:space="preserve"> PAGEREF _Toc5808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962000C">
          <w:pPr>
            <w:pStyle w:val="12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_Toc5754 </w:instrText>
          </w:r>
          <w:r>
            <w:fldChar w:fldCharType="separate"/>
          </w:r>
          <w:r>
            <w:rPr>
              <w:rFonts w:hint="default"/>
            </w:rPr>
            <w:t xml:space="preserve">3.2.4. </w:t>
          </w:r>
          <w:r>
            <w:t>计划测试</w:t>
          </w:r>
          <w:r>
            <w:tab/>
          </w:r>
          <w:r>
            <w:fldChar w:fldCharType="begin"/>
          </w:r>
          <w:r>
            <w:instrText xml:space="preserve"> PAGEREF _Toc5754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B48A90F">
          <w:pPr>
            <w:pStyle w:val="12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_Toc32295 </w:instrText>
          </w:r>
          <w:r>
            <w:fldChar w:fldCharType="separate"/>
          </w:r>
          <w:r>
            <w:rPr>
              <w:rFonts w:hint="default"/>
            </w:rPr>
            <w:t xml:space="preserve">3.2.5. </w:t>
          </w:r>
          <w:r>
            <w:t>计划的培训</w:t>
          </w:r>
          <w:r>
            <w:tab/>
          </w:r>
          <w:r>
            <w:fldChar w:fldCharType="begin"/>
          </w:r>
          <w:r>
            <w:instrText xml:space="preserve"> PAGEREF _Toc32295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709FAAF">
          <w:pPr>
            <w:pStyle w:val="11"/>
            <w:spacing w:line="248" w:lineRule="auto"/>
            <w:rPr>
              <w:rFonts w:ascii="Arial" w:hAnsi="Arial" w:eastAsia="Arial" w:cs="Arial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</w:pPr>
          <w:r>
            <w:fldChar w:fldCharType="end"/>
          </w:r>
        </w:p>
      </w:sdtContent>
    </w:sdt>
    <w:p w14:paraId="14EA3D06">
      <w:pPr>
        <w:pStyle w:val="11"/>
        <w:spacing w:line="248" w:lineRule="auto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</w:p>
    <w:p w14:paraId="6E6C4760">
      <w:r>
        <w:br w:type="page"/>
      </w:r>
    </w:p>
    <w:p w14:paraId="2A1D9A97">
      <w:pPr>
        <w:pStyle w:val="11"/>
        <w:spacing w:line="248" w:lineRule="auto"/>
      </w:pPr>
    </w:p>
    <w:p w14:paraId="6A68DB4C">
      <w:pPr>
        <w:pStyle w:val="20"/>
        <w:bidi w:val="0"/>
      </w:pPr>
      <w:bookmarkStart w:id="2" w:name="_Toc1440"/>
      <w:r>
        <w:t>目的</w:t>
      </w:r>
      <w:bookmarkEnd w:id="2"/>
    </w:p>
    <w:p w14:paraId="6DE6E583">
      <w:pPr>
        <w:spacing w:before="175" w:line="380" w:lineRule="auto"/>
        <w:ind w:left="120" w:right="112" w:firstLine="420"/>
        <w:rPr>
          <w:rFonts w:ascii="宋体" w:hAnsi="宋体" w:eastAsia="宋体" w:cs="宋体"/>
          <w:spacing w:val="13"/>
          <w:sz w:val="24"/>
          <w:szCs w:val="24"/>
        </w:rPr>
      </w:pPr>
      <w:r>
        <w:rPr>
          <w:rFonts w:ascii="宋体" w:hAnsi="宋体" w:eastAsia="宋体" w:cs="宋体"/>
          <w:spacing w:val="13"/>
          <w:sz w:val="24"/>
          <w:szCs w:val="24"/>
        </w:rPr>
        <w:t>确保运维服务遭受灾难事故后能尽快恢复， 以保障</w:t>
      </w: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市民服务中心智能化运维服务项目(第一包)</w:t>
      </w:r>
      <w:r>
        <w:rPr>
          <w:rFonts w:ascii="宋体" w:hAnsi="宋体" w:eastAsia="宋体" w:cs="宋体"/>
          <w:spacing w:val="13"/>
          <w:sz w:val="24"/>
          <w:szCs w:val="24"/>
        </w:rPr>
        <w:t>运维服务活动的连续性。</w:t>
      </w:r>
    </w:p>
    <w:p w14:paraId="27A9BF52">
      <w:pPr>
        <w:pStyle w:val="20"/>
        <w:bidi w:val="0"/>
      </w:pPr>
      <w:bookmarkStart w:id="3" w:name="_Toc21924"/>
      <w:r>
        <w:t>适用范围</w:t>
      </w:r>
      <w:bookmarkEnd w:id="3"/>
    </w:p>
    <w:p w14:paraId="1D5BAA53">
      <w:pPr>
        <w:spacing w:before="175" w:line="380" w:lineRule="auto"/>
        <w:ind w:left="120" w:right="112" w:firstLine="420"/>
        <w:rPr>
          <w:rFonts w:ascii="宋体" w:hAnsi="宋体" w:eastAsia="宋体" w:cs="宋体"/>
          <w:spacing w:val="13"/>
          <w:sz w:val="24"/>
          <w:szCs w:val="24"/>
        </w:rPr>
      </w:pPr>
      <w:r>
        <w:rPr>
          <w:rFonts w:ascii="宋体" w:hAnsi="宋体" w:eastAsia="宋体" w:cs="宋体"/>
          <w:spacing w:val="13"/>
          <w:sz w:val="24"/>
          <w:szCs w:val="24"/>
        </w:rPr>
        <w:t>适用运维服务遭受灾难事故后的处理。</w:t>
      </w:r>
    </w:p>
    <w:p w14:paraId="7F132956">
      <w:pPr>
        <w:pStyle w:val="20"/>
        <w:bidi w:val="0"/>
      </w:pPr>
      <w:bookmarkStart w:id="4" w:name="_Toc31264"/>
      <w:r>
        <w:t>连续性计划</w:t>
      </w:r>
      <w:bookmarkEnd w:id="4"/>
    </w:p>
    <w:p w14:paraId="202FF60C">
      <w:pPr>
        <w:pStyle w:val="21"/>
        <w:bidi w:val="0"/>
      </w:pPr>
      <w:bookmarkStart w:id="5" w:name="_Toc15102"/>
      <w:r>
        <w:t>计划的执行</w:t>
      </w:r>
      <w:bookmarkEnd w:id="5"/>
    </w:p>
    <w:p w14:paraId="458E6628">
      <w:pPr>
        <w:pStyle w:val="22"/>
        <w:bidi w:val="0"/>
      </w:pPr>
      <w:bookmarkStart w:id="6" w:name="_Toc27041"/>
      <w:r>
        <w:t>启动恢复计划</w:t>
      </w:r>
      <w:bookmarkEnd w:id="6"/>
    </w:p>
    <w:p w14:paraId="001F1241">
      <w:pPr>
        <w:spacing w:before="63" w:line="228" w:lineRule="auto"/>
        <w:ind w:left="247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"/>
          <w:sz w:val="19"/>
          <w:szCs w:val="19"/>
        </w:rPr>
        <w:t>事</w:t>
      </w:r>
      <w:r>
        <w:rPr>
          <w:rFonts w:ascii="宋体" w:hAnsi="宋体" w:eastAsia="宋体" w:cs="宋体"/>
          <w:spacing w:val="2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1"/>
          <w:sz w:val="19"/>
          <w:szCs w:val="19"/>
        </w:rPr>
        <w:t>件</w:t>
      </w:r>
    </w:p>
    <w:p w14:paraId="1CFB1255">
      <w:pPr>
        <w:pStyle w:val="11"/>
        <w:spacing w:line="283" w:lineRule="auto"/>
      </w:pPr>
    </w:p>
    <w:p w14:paraId="603D5959">
      <w:pPr>
        <w:pStyle w:val="11"/>
        <w:spacing w:line="283" w:lineRule="auto"/>
      </w:pPr>
    </w:p>
    <w:p w14:paraId="111890E6">
      <w:pPr>
        <w:pStyle w:val="11"/>
        <w:spacing w:before="55" w:line="203" w:lineRule="auto"/>
        <w:ind w:left="4231"/>
        <w:rPr>
          <w:sz w:val="19"/>
          <w:szCs w:val="19"/>
        </w:rPr>
      </w:pPr>
      <w:r>
        <w:rPr>
          <w:sz w:val="19"/>
          <w:szCs w:val="19"/>
        </w:rPr>
        <w:t>N</w:t>
      </w:r>
    </w:p>
    <w:p w14:paraId="39704C16">
      <w:pPr>
        <w:spacing w:before="86" w:line="229" w:lineRule="auto"/>
        <w:ind w:left="1941"/>
        <w:rPr>
          <w:rFonts w:ascii="宋体" w:hAnsi="宋体" w:eastAsia="宋体" w:cs="宋体"/>
          <w:sz w:val="19"/>
          <w:szCs w:val="19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-737235</wp:posOffset>
            </wp:positionV>
            <wp:extent cx="3437890" cy="208915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2089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o:spt="202" type="#_x0000_t202" style="position:absolute;left:0pt;margin-left:261.2pt;margin-top:3.75pt;height:13.75pt;width:61.6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659A4E7">
                  <w:pPr>
                    <w:spacing w:before="20" w:line="228" w:lineRule="auto"/>
                    <w:ind w:left="20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8"/>
                      <w:sz w:val="19"/>
                      <w:szCs w:val="19"/>
                    </w:rPr>
                    <w:t>事件处理程序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pacing w:val="7"/>
          <w:sz w:val="19"/>
          <w:szCs w:val="19"/>
        </w:rPr>
        <w:t>属于应急事故？</w:t>
      </w:r>
    </w:p>
    <w:p w14:paraId="79CE1380">
      <w:pPr>
        <w:pStyle w:val="11"/>
        <w:spacing w:line="287" w:lineRule="auto"/>
      </w:pPr>
    </w:p>
    <w:p w14:paraId="7B724466">
      <w:pPr>
        <w:pStyle w:val="11"/>
        <w:spacing w:line="288" w:lineRule="auto"/>
      </w:pPr>
    </w:p>
    <w:p w14:paraId="539DCFCD">
      <w:pPr>
        <w:pStyle w:val="11"/>
        <w:spacing w:before="55" w:line="203" w:lineRule="auto"/>
        <w:ind w:left="1932"/>
        <w:rPr>
          <w:sz w:val="19"/>
          <w:szCs w:val="19"/>
        </w:rPr>
      </w:pPr>
      <w:r>
        <w:rPr>
          <w:spacing w:val="5"/>
          <w:sz w:val="19"/>
          <w:szCs w:val="19"/>
        </w:rPr>
        <w:t>Y</w:t>
      </w:r>
    </w:p>
    <w:p w14:paraId="7D2E55C4">
      <w:pPr>
        <w:pStyle w:val="11"/>
        <w:spacing w:line="315" w:lineRule="auto"/>
      </w:pPr>
    </w:p>
    <w:p w14:paraId="0CB88A04">
      <w:pPr>
        <w:spacing w:before="62" w:line="229" w:lineRule="auto"/>
        <w:ind w:left="203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8"/>
          <w:sz w:val="19"/>
          <w:szCs w:val="19"/>
        </w:rPr>
        <w:t>启动连续性计划</w:t>
      </w:r>
    </w:p>
    <w:p w14:paraId="4AF4E2E9">
      <w:pPr>
        <w:pStyle w:val="11"/>
        <w:spacing w:line="276" w:lineRule="auto"/>
      </w:pPr>
    </w:p>
    <w:p w14:paraId="7DACC727">
      <w:pPr>
        <w:pStyle w:val="11"/>
        <w:spacing w:line="276" w:lineRule="auto"/>
      </w:pPr>
    </w:p>
    <w:p w14:paraId="60479992">
      <w:pPr>
        <w:pStyle w:val="11"/>
        <w:spacing w:line="276" w:lineRule="auto"/>
      </w:pPr>
    </w:p>
    <w:p w14:paraId="45D3E4B6">
      <w:pPr>
        <w:pStyle w:val="22"/>
        <w:bidi w:val="0"/>
      </w:pPr>
      <w:bookmarkStart w:id="7" w:name="_Toc21874"/>
      <w:r>
        <w:t>执行过程</w:t>
      </w:r>
      <w:bookmarkEnd w:id="7"/>
    </w:p>
    <w:p w14:paraId="5393E39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1) 成立应急小组确定应急总指挥和小组成员；</w:t>
      </w:r>
    </w:p>
    <w:p w14:paraId="2D8D657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2) 判断应急类型,不同类型有针对性处置；</w:t>
      </w:r>
    </w:p>
    <w:p w14:paraId="5886403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3) 基础设施问题,及时进行更换；</w:t>
      </w:r>
    </w:p>
    <w:p w14:paraId="1E5AB0D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default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4) 硬件问题及时从备品备件库进行更换,网络压力问题及时调优</w:t>
      </w:r>
    </w:p>
    <w:p w14:paraId="4BBEA5E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5) 软件数据问题及时进行数据恢复,用备份数据进行恢复</w:t>
      </w:r>
    </w:p>
    <w:p w14:paraId="7486560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6) 重启系统测试</w:t>
      </w:r>
    </w:p>
    <w:p w14:paraId="36D960FF">
      <w:pP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br w:type="page"/>
      </w:r>
    </w:p>
    <w:p w14:paraId="28C9EF8D">
      <w:pPr>
        <w:pStyle w:val="22"/>
        <w:bidi w:val="0"/>
      </w:pPr>
      <w:bookmarkStart w:id="8" w:name="_Toc2172"/>
      <w:r>
        <w:t>灾难恢复计划表</w:t>
      </w:r>
      <w:bookmarkEnd w:id="8"/>
    </w:p>
    <w:tbl>
      <w:tblPr>
        <w:tblStyle w:val="18"/>
        <w:tblW w:w="911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7"/>
        <w:gridCol w:w="5838"/>
        <w:gridCol w:w="1444"/>
      </w:tblGrid>
      <w:tr w14:paraId="5283B1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37" w:type="dxa"/>
            <w:vAlign w:val="top"/>
          </w:tcPr>
          <w:p w14:paraId="60108039">
            <w:pPr>
              <w:spacing w:before="38" w:line="210" w:lineRule="auto"/>
              <w:ind w:left="6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3"/>
                <w:sz w:val="24"/>
                <w:szCs w:val="24"/>
              </w:rPr>
              <w:t>时间</w:t>
            </w:r>
          </w:p>
        </w:tc>
        <w:tc>
          <w:tcPr>
            <w:tcW w:w="5838" w:type="dxa"/>
            <w:vAlign w:val="top"/>
          </w:tcPr>
          <w:p w14:paraId="1E146FAC">
            <w:pPr>
              <w:spacing w:before="38" w:line="210" w:lineRule="auto"/>
              <w:ind w:left="24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执行内容</w:t>
            </w:r>
          </w:p>
        </w:tc>
        <w:tc>
          <w:tcPr>
            <w:tcW w:w="1444" w:type="dxa"/>
            <w:vAlign w:val="top"/>
          </w:tcPr>
          <w:p w14:paraId="2F76929B">
            <w:pPr>
              <w:spacing w:before="38" w:line="210" w:lineRule="auto"/>
              <w:ind w:left="3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负责人</w:t>
            </w:r>
          </w:p>
        </w:tc>
      </w:tr>
      <w:tr w14:paraId="517DD14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837" w:type="dxa"/>
            <w:vAlign w:val="top"/>
          </w:tcPr>
          <w:p w14:paraId="697F1D4E">
            <w:pPr>
              <w:spacing w:before="34" w:line="20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60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分钟</w:t>
            </w:r>
          </w:p>
        </w:tc>
        <w:tc>
          <w:tcPr>
            <w:tcW w:w="5838" w:type="dxa"/>
            <w:vAlign w:val="top"/>
          </w:tcPr>
          <w:p w14:paraId="692D9758">
            <w:pPr>
              <w:spacing w:before="54" w:line="227" w:lineRule="auto"/>
              <w:ind w:left="11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发生并报告应急事件，准备有关配置文档</w:t>
            </w:r>
          </w:p>
        </w:tc>
        <w:tc>
          <w:tcPr>
            <w:tcW w:w="1444" w:type="dxa"/>
            <w:vAlign w:val="top"/>
          </w:tcPr>
          <w:p w14:paraId="0D29B867">
            <w:pPr>
              <w:spacing w:before="54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650BB4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837" w:type="dxa"/>
            <w:vAlign w:val="top"/>
          </w:tcPr>
          <w:p w14:paraId="301F1FA6">
            <w:pPr>
              <w:spacing w:before="140" w:line="219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62231AF8">
            <w:pPr>
              <w:spacing w:before="32" w:line="234" w:lineRule="auto"/>
              <w:ind w:left="119" w:right="95" w:hanging="8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11"/>
                <w:sz w:val="19"/>
                <w:szCs w:val="19"/>
              </w:rPr>
              <w:t>评估恢复所需时间、业务影响方案，并以最快的速度通</w:t>
            </w:r>
            <w:r>
              <w:rPr>
                <w:rFonts w:ascii="宋体" w:hAnsi="宋体" w:eastAsia="宋体" w:cs="宋体"/>
                <w:spacing w:val="10"/>
                <w:sz w:val="19"/>
                <w:szCs w:val="19"/>
              </w:rPr>
              <w:t>知相关人</w:t>
            </w:r>
            <w:r>
              <w:rPr>
                <w:rFonts w:ascii="宋体" w:hAnsi="宋体" w:eastAsia="宋体" w:cs="宋体"/>
                <w:sz w:val="19"/>
                <w:szCs w:val="19"/>
              </w:rPr>
              <w:t>员</w:t>
            </w:r>
          </w:p>
        </w:tc>
        <w:tc>
          <w:tcPr>
            <w:tcW w:w="1444" w:type="dxa"/>
            <w:vAlign w:val="top"/>
          </w:tcPr>
          <w:p w14:paraId="0E0FB496">
            <w:pPr>
              <w:spacing w:before="161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6437B6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837" w:type="dxa"/>
            <w:vAlign w:val="top"/>
          </w:tcPr>
          <w:p w14:paraId="2032DD72">
            <w:pPr>
              <w:spacing w:before="35" w:line="208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5697A81E">
            <w:pPr>
              <w:spacing w:before="56" w:line="228" w:lineRule="auto"/>
              <w:ind w:left="115"/>
              <w:rPr>
                <w:rFonts w:hint="default" w:ascii="宋体" w:hAnsi="宋体" w:eastAsia="宋体" w:cs="宋体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spacing w:val="9"/>
                <w:sz w:val="19"/>
                <w:szCs w:val="19"/>
                <w:lang w:val="en-US" w:eastAsia="zh-CN"/>
              </w:rPr>
              <w:t>UPS、空调等基础设施问题及时进行维修、更换</w:t>
            </w:r>
          </w:p>
        </w:tc>
        <w:tc>
          <w:tcPr>
            <w:tcW w:w="1444" w:type="dxa"/>
            <w:vAlign w:val="top"/>
          </w:tcPr>
          <w:p w14:paraId="6B306EFF">
            <w:pPr>
              <w:spacing w:before="56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1953E1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837" w:type="dxa"/>
            <w:vAlign w:val="top"/>
          </w:tcPr>
          <w:p w14:paraId="5F6E2F8F">
            <w:pPr>
              <w:spacing w:before="36" w:line="207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19017E4B">
            <w:pPr>
              <w:spacing w:before="59" w:line="229" w:lineRule="auto"/>
              <w:ind w:left="113"/>
              <w:rPr>
                <w:rFonts w:hint="default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交换机、路由器、网络等硬件设备问题及时从备品库获取并更换</w:t>
            </w:r>
          </w:p>
        </w:tc>
        <w:tc>
          <w:tcPr>
            <w:tcW w:w="1444" w:type="dxa"/>
            <w:vAlign w:val="top"/>
          </w:tcPr>
          <w:p w14:paraId="06AE5A5C">
            <w:pPr>
              <w:spacing w:before="59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7F5216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837" w:type="dxa"/>
            <w:vAlign w:val="top"/>
          </w:tcPr>
          <w:p w14:paraId="7F3A82A6">
            <w:pPr>
              <w:spacing w:before="40" w:line="206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36BB9BDE">
            <w:pPr>
              <w:spacing w:before="60" w:line="228" w:lineRule="auto"/>
              <w:ind w:left="113"/>
              <w:rPr>
                <w:rFonts w:hint="default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软件数据问题及时通过备份进行数据恢复</w:t>
            </w:r>
          </w:p>
        </w:tc>
        <w:tc>
          <w:tcPr>
            <w:tcW w:w="1444" w:type="dxa"/>
            <w:vAlign w:val="top"/>
          </w:tcPr>
          <w:p w14:paraId="53B74109">
            <w:pPr>
              <w:spacing w:before="60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71DBA38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37" w:type="dxa"/>
            <w:vAlign w:val="top"/>
          </w:tcPr>
          <w:p w14:paraId="1BAE5412">
            <w:pPr>
              <w:spacing w:before="38" w:line="20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22083D0E">
            <w:pPr>
              <w:spacing w:before="59" w:line="228" w:lineRule="auto"/>
              <w:rPr>
                <w:rFonts w:hint="default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重启系统测试</w:t>
            </w:r>
          </w:p>
        </w:tc>
        <w:tc>
          <w:tcPr>
            <w:tcW w:w="1444" w:type="dxa"/>
            <w:vAlign w:val="top"/>
          </w:tcPr>
          <w:p w14:paraId="6F4A1509">
            <w:pPr>
              <w:spacing w:before="59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</w:tbl>
    <w:p w14:paraId="0D808745">
      <w:pPr>
        <w:pStyle w:val="21"/>
        <w:bidi w:val="0"/>
      </w:pPr>
      <w:bookmarkStart w:id="9" w:name="_Toc13016"/>
      <w:r>
        <w:t>连续性维护内容</w:t>
      </w:r>
      <w:bookmarkEnd w:id="9"/>
    </w:p>
    <w:p w14:paraId="14D66220">
      <w:pPr>
        <w:pStyle w:val="22"/>
        <w:bidi w:val="0"/>
      </w:pPr>
      <w:bookmarkStart w:id="10" w:name="_Toc13448"/>
      <w:r>
        <w:t>日常维护</w:t>
      </w:r>
      <w:bookmarkEnd w:id="10"/>
    </w:p>
    <w:p w14:paraId="6D2B047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1) 操作系统和数据库运行环境必须与主机环境保持兼容；</w:t>
      </w:r>
    </w:p>
    <w:p w14:paraId="00156D4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2) 操作系统和应用软件的清理维护。</w:t>
      </w:r>
    </w:p>
    <w:p w14:paraId="37BA6C6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3) 服务器的清理。</w:t>
      </w:r>
    </w:p>
    <w:p w14:paraId="6CAD453F">
      <w:pPr>
        <w:pStyle w:val="22"/>
        <w:bidi w:val="0"/>
      </w:pPr>
      <w:bookmarkStart w:id="11" w:name="_Toc2970"/>
      <w:r>
        <w:t>人员后备计划</w:t>
      </w:r>
      <w:bookmarkEnd w:id="11"/>
    </w:p>
    <w:p w14:paraId="66CFDF9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《配置项清单》，关键业务系统以及主要业务系统运维人员配备必须大于等于 1 人，否则，参照《人力资源管理程序》执行人员招聘。</w:t>
      </w:r>
    </w:p>
    <w:tbl>
      <w:tblPr>
        <w:tblStyle w:val="18"/>
        <w:tblW w:w="911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1"/>
        <w:gridCol w:w="1991"/>
        <w:gridCol w:w="1791"/>
        <w:gridCol w:w="1746"/>
      </w:tblGrid>
      <w:tr w14:paraId="358674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591" w:type="dxa"/>
            <w:vAlign w:val="top"/>
          </w:tcPr>
          <w:p w14:paraId="2C13CF7D">
            <w:pPr>
              <w:spacing w:before="38" w:line="208" w:lineRule="auto"/>
              <w:ind w:left="7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关键、主要系统名称</w:t>
            </w:r>
          </w:p>
        </w:tc>
        <w:tc>
          <w:tcPr>
            <w:tcW w:w="1991" w:type="dxa"/>
            <w:vAlign w:val="top"/>
          </w:tcPr>
          <w:p w14:paraId="591F515B">
            <w:pPr>
              <w:spacing w:before="38" w:line="208" w:lineRule="auto"/>
              <w:ind w:left="3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第一负责人</w:t>
            </w:r>
          </w:p>
        </w:tc>
        <w:tc>
          <w:tcPr>
            <w:tcW w:w="1791" w:type="dxa"/>
            <w:vAlign w:val="top"/>
          </w:tcPr>
          <w:p w14:paraId="02AE6F39">
            <w:pPr>
              <w:spacing w:before="38" w:line="208" w:lineRule="auto"/>
              <w:ind w:lef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第二负责人</w:t>
            </w:r>
          </w:p>
        </w:tc>
        <w:tc>
          <w:tcPr>
            <w:tcW w:w="1746" w:type="dxa"/>
            <w:vAlign w:val="top"/>
          </w:tcPr>
          <w:p w14:paraId="3A7C1A4F">
            <w:pPr>
              <w:spacing w:before="38" w:line="208" w:lineRule="auto"/>
              <w:ind w:left="2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第三负责人</w:t>
            </w:r>
          </w:p>
        </w:tc>
      </w:tr>
      <w:tr w14:paraId="1E8B7C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591" w:type="dxa"/>
            <w:vAlign w:val="top"/>
          </w:tcPr>
          <w:p w14:paraId="123D61BB">
            <w:pPr>
              <w:spacing w:before="120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信息系统</w:t>
            </w:r>
          </w:p>
        </w:tc>
        <w:tc>
          <w:tcPr>
            <w:tcW w:w="1991" w:type="dxa"/>
            <w:vAlign w:val="top"/>
          </w:tcPr>
          <w:p w14:paraId="0460856A">
            <w:pPr>
              <w:spacing w:before="140" w:line="228" w:lineRule="auto"/>
              <w:ind w:left="11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pacing w:val="5"/>
                <w:sz w:val="19"/>
                <w:szCs w:val="19"/>
              </w:rPr>
              <w:t>郑永伟</w:t>
            </w:r>
          </w:p>
        </w:tc>
        <w:tc>
          <w:tcPr>
            <w:tcW w:w="1791" w:type="dxa"/>
            <w:vAlign w:val="top"/>
          </w:tcPr>
          <w:p w14:paraId="20B38ACC">
            <w:pPr>
              <w:spacing w:before="135" w:line="228" w:lineRule="auto"/>
              <w:ind w:left="1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李琳</w:t>
            </w:r>
          </w:p>
        </w:tc>
        <w:tc>
          <w:tcPr>
            <w:tcW w:w="1746" w:type="dxa"/>
            <w:vAlign w:val="top"/>
          </w:tcPr>
          <w:p w14:paraId="47B8994B">
            <w:pPr>
              <w:spacing w:before="140" w:line="230" w:lineRule="auto"/>
              <w:ind w:left="11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pacing w:val="6"/>
                <w:sz w:val="19"/>
                <w:szCs w:val="19"/>
              </w:rPr>
              <w:t>孙人杰</w:t>
            </w:r>
          </w:p>
        </w:tc>
      </w:tr>
      <w:tr w14:paraId="19E9C4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591" w:type="dxa"/>
            <w:vAlign w:val="top"/>
          </w:tcPr>
          <w:p w14:paraId="1AA34066">
            <w:pPr>
              <w:spacing w:before="120" w:line="219" w:lineRule="auto"/>
              <w:ind w:left="117"/>
              <w:rPr>
                <w:rFonts w:hint="default" w:ascii="宋体" w:hAnsi="宋体" w:eastAsia="宋体" w:cs="宋体"/>
                <w:spacing w:val="-3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4"/>
                <w:szCs w:val="24"/>
                <w:lang w:val="en-US" w:eastAsia="zh-CN"/>
              </w:rPr>
              <w:t>基础设施</w:t>
            </w:r>
          </w:p>
        </w:tc>
        <w:tc>
          <w:tcPr>
            <w:tcW w:w="1991" w:type="dxa"/>
            <w:shd w:val="clear" w:color="auto" w:fill="auto"/>
            <w:vAlign w:val="top"/>
          </w:tcPr>
          <w:p w14:paraId="72CF31A9">
            <w:pPr>
              <w:spacing w:before="140" w:line="228" w:lineRule="auto"/>
              <w:ind w:left="114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5"/>
                <w:sz w:val="19"/>
                <w:szCs w:val="19"/>
              </w:rPr>
              <w:t>郑永伟</w:t>
            </w:r>
          </w:p>
        </w:tc>
        <w:tc>
          <w:tcPr>
            <w:tcW w:w="1791" w:type="dxa"/>
            <w:shd w:val="clear" w:color="auto" w:fill="auto"/>
            <w:vAlign w:val="top"/>
          </w:tcPr>
          <w:p w14:paraId="35FEC6E0">
            <w:pPr>
              <w:spacing w:before="135" w:line="228" w:lineRule="auto"/>
              <w:ind w:left="115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李琳</w:t>
            </w:r>
          </w:p>
        </w:tc>
        <w:tc>
          <w:tcPr>
            <w:tcW w:w="1746" w:type="dxa"/>
            <w:shd w:val="clear" w:color="auto" w:fill="auto"/>
            <w:vAlign w:val="top"/>
          </w:tcPr>
          <w:p w14:paraId="585766BF">
            <w:pPr>
              <w:spacing w:before="140" w:line="230" w:lineRule="auto"/>
              <w:ind w:left="117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19"/>
                <w:szCs w:val="19"/>
              </w:rPr>
              <w:t>孙人杰</w:t>
            </w:r>
          </w:p>
        </w:tc>
      </w:tr>
      <w:tr w14:paraId="4DE0C5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591" w:type="dxa"/>
            <w:vAlign w:val="top"/>
          </w:tcPr>
          <w:p w14:paraId="49803A36">
            <w:pPr>
              <w:spacing w:before="120" w:line="219" w:lineRule="auto"/>
              <w:ind w:left="117"/>
              <w:rPr>
                <w:rFonts w:hint="default" w:ascii="宋体" w:hAnsi="宋体" w:eastAsia="宋体" w:cs="宋体"/>
                <w:spacing w:val="-3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4"/>
                <w:szCs w:val="24"/>
                <w:lang w:val="en-US" w:eastAsia="zh-CN"/>
              </w:rPr>
              <w:t>硬件运维</w:t>
            </w:r>
          </w:p>
        </w:tc>
        <w:tc>
          <w:tcPr>
            <w:tcW w:w="1991" w:type="dxa"/>
            <w:shd w:val="clear" w:color="auto" w:fill="auto"/>
            <w:vAlign w:val="top"/>
          </w:tcPr>
          <w:p w14:paraId="2DD2F86F">
            <w:pPr>
              <w:spacing w:before="140" w:line="228" w:lineRule="auto"/>
              <w:ind w:left="114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5"/>
                <w:sz w:val="19"/>
                <w:szCs w:val="19"/>
              </w:rPr>
              <w:t>郑永伟</w:t>
            </w:r>
          </w:p>
        </w:tc>
        <w:tc>
          <w:tcPr>
            <w:tcW w:w="1791" w:type="dxa"/>
            <w:shd w:val="clear" w:color="auto" w:fill="auto"/>
            <w:vAlign w:val="top"/>
          </w:tcPr>
          <w:p w14:paraId="48651007">
            <w:pPr>
              <w:spacing w:before="135" w:line="228" w:lineRule="auto"/>
              <w:ind w:left="115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李琳</w:t>
            </w:r>
          </w:p>
        </w:tc>
        <w:tc>
          <w:tcPr>
            <w:tcW w:w="1746" w:type="dxa"/>
            <w:shd w:val="clear" w:color="auto" w:fill="auto"/>
            <w:vAlign w:val="top"/>
          </w:tcPr>
          <w:p w14:paraId="7127706D">
            <w:pPr>
              <w:spacing w:before="140" w:line="230" w:lineRule="auto"/>
              <w:ind w:left="117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19"/>
                <w:szCs w:val="19"/>
              </w:rPr>
              <w:t>孙人杰</w:t>
            </w:r>
          </w:p>
        </w:tc>
      </w:tr>
    </w:tbl>
    <w:p w14:paraId="4EEB7B2B">
      <w:pPr>
        <w:pStyle w:val="22"/>
        <w:bidi w:val="0"/>
      </w:pPr>
      <w:bookmarkStart w:id="12" w:name="_Toc5808"/>
      <w:r>
        <w:t>备用数据</w:t>
      </w:r>
      <w:bookmarkEnd w:id="12"/>
    </w:p>
    <w:p w14:paraId="16116D0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备用数据进行异地保存，并在发生故障时能够及时取用。备用数据定期进行恢复测试，以保证数据能够正确恢复。</w:t>
      </w:r>
    </w:p>
    <w:p w14:paraId="5557BB4B">
      <w:pPr>
        <w:pStyle w:val="22"/>
        <w:bidi w:val="0"/>
      </w:pPr>
      <w:bookmarkStart w:id="13" w:name="_Toc5754"/>
      <w:r>
        <w:t>计划测试</w:t>
      </w:r>
      <w:bookmarkEnd w:id="13"/>
    </w:p>
    <w:p w14:paraId="1868400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信息系统故障演练每年不少于 1 次，可根据需要增加频次 。每次演练可以选择不同主题（如：资料恢复；主机/主交换机模拟故障；启用应急站点等。 ）演练计划由总经理批准后组织实施，演练结果记录由质量中心经理备案。</w:t>
      </w:r>
    </w:p>
    <w:p w14:paraId="797A5CD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应急站点的日常维护管理的监督由运维服务部</w:t>
      </w:r>
      <w:bookmarkStart w:id="15" w:name="_GoBack"/>
      <w:bookmarkEnd w:id="15"/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对应急站点的主机和网络连接能力进行一次检查。</w:t>
      </w:r>
    </w:p>
    <w:p w14:paraId="2688B38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</w:p>
    <w:p w14:paraId="161806D9">
      <w:pPr>
        <w:pStyle w:val="22"/>
        <w:bidi w:val="0"/>
      </w:pPr>
      <w:bookmarkStart w:id="14" w:name="_Toc32295"/>
      <w:r>
        <w:t>计划的培训</w:t>
      </w:r>
      <w:bookmarkEnd w:id="14"/>
    </w:p>
    <w:p w14:paraId="4018437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532" w:firstLineChars="200"/>
        <w:textAlignment w:val="baseline"/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3"/>
          <w:sz w:val="24"/>
          <w:szCs w:val="24"/>
          <w:lang w:val="en-US" w:eastAsia="zh-CN"/>
        </w:rPr>
        <w:t>本计划必须对全体人员进行培训，计划重大修改、新进入部门的员工必须及时进行培训。</w:t>
      </w:r>
    </w:p>
    <w:sectPr>
      <w:headerReference r:id="rId5" w:type="default"/>
      <w:pgSz w:w="11906" w:h="16838"/>
      <w:pgMar w:top="400" w:right="1304" w:bottom="0" w:left="147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EC2E46">
    <w:pPr>
      <w:pStyle w:val="11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04D6899"/>
    <w:rsid w:val="02781BC8"/>
    <w:rsid w:val="029661E9"/>
    <w:rsid w:val="04425FE9"/>
    <w:rsid w:val="04A71B2E"/>
    <w:rsid w:val="04C335CE"/>
    <w:rsid w:val="084F33CB"/>
    <w:rsid w:val="09600A35"/>
    <w:rsid w:val="09EE686D"/>
    <w:rsid w:val="0B1526A9"/>
    <w:rsid w:val="0C083FBC"/>
    <w:rsid w:val="0CE56BA6"/>
    <w:rsid w:val="0D1424ED"/>
    <w:rsid w:val="10892F46"/>
    <w:rsid w:val="11062B80"/>
    <w:rsid w:val="12F649A5"/>
    <w:rsid w:val="13B30CB1"/>
    <w:rsid w:val="151C35DD"/>
    <w:rsid w:val="15CF16A7"/>
    <w:rsid w:val="168B49D2"/>
    <w:rsid w:val="175400B6"/>
    <w:rsid w:val="176F4EEF"/>
    <w:rsid w:val="17F02536"/>
    <w:rsid w:val="1A0E09F0"/>
    <w:rsid w:val="1AF5395E"/>
    <w:rsid w:val="1BE37A32"/>
    <w:rsid w:val="1FBF278C"/>
    <w:rsid w:val="2080016D"/>
    <w:rsid w:val="21894E00"/>
    <w:rsid w:val="231019BB"/>
    <w:rsid w:val="23740719"/>
    <w:rsid w:val="261C6C23"/>
    <w:rsid w:val="27684462"/>
    <w:rsid w:val="2C466686"/>
    <w:rsid w:val="2CC969F8"/>
    <w:rsid w:val="2D8017AD"/>
    <w:rsid w:val="2F881EC0"/>
    <w:rsid w:val="2FDB716E"/>
    <w:rsid w:val="301306B6"/>
    <w:rsid w:val="31B45EC9"/>
    <w:rsid w:val="32036508"/>
    <w:rsid w:val="33F627C9"/>
    <w:rsid w:val="35B069A7"/>
    <w:rsid w:val="38F372D7"/>
    <w:rsid w:val="3B4E4C98"/>
    <w:rsid w:val="3C2071F5"/>
    <w:rsid w:val="3C241E9D"/>
    <w:rsid w:val="3C9C5ED7"/>
    <w:rsid w:val="3D4E0F7F"/>
    <w:rsid w:val="3DC70D32"/>
    <w:rsid w:val="3E4F1453"/>
    <w:rsid w:val="3EC2309F"/>
    <w:rsid w:val="3F921500"/>
    <w:rsid w:val="408C1715"/>
    <w:rsid w:val="414A56D6"/>
    <w:rsid w:val="424566C9"/>
    <w:rsid w:val="42C34E0B"/>
    <w:rsid w:val="44B30262"/>
    <w:rsid w:val="49214EDD"/>
    <w:rsid w:val="4B7F2C4C"/>
    <w:rsid w:val="4C7B34A5"/>
    <w:rsid w:val="4C8449BE"/>
    <w:rsid w:val="4E296E9F"/>
    <w:rsid w:val="4EC015B1"/>
    <w:rsid w:val="4F8C5937"/>
    <w:rsid w:val="50722D7F"/>
    <w:rsid w:val="52DA0283"/>
    <w:rsid w:val="567F7FA4"/>
    <w:rsid w:val="57F10A2D"/>
    <w:rsid w:val="59821561"/>
    <w:rsid w:val="5A33532D"/>
    <w:rsid w:val="5A93401E"/>
    <w:rsid w:val="5B296730"/>
    <w:rsid w:val="5E875C48"/>
    <w:rsid w:val="60B151FE"/>
    <w:rsid w:val="645E38EF"/>
    <w:rsid w:val="65276252"/>
    <w:rsid w:val="65F8526B"/>
    <w:rsid w:val="70910B15"/>
    <w:rsid w:val="734463A5"/>
    <w:rsid w:val="73C848E1"/>
    <w:rsid w:val="743401C8"/>
    <w:rsid w:val="744A1799"/>
    <w:rsid w:val="74DF6386"/>
    <w:rsid w:val="77754D7F"/>
    <w:rsid w:val="77A25449"/>
    <w:rsid w:val="78280044"/>
    <w:rsid w:val="783E33C3"/>
    <w:rsid w:val="78686CA8"/>
    <w:rsid w:val="7AA6573B"/>
    <w:rsid w:val="7AA8149E"/>
    <w:rsid w:val="7BB63CEF"/>
    <w:rsid w:val="7D494CE4"/>
    <w:rsid w:val="7DDD367E"/>
    <w:rsid w:val="7EDE6FC6"/>
    <w:rsid w:val="7F3839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link w:val="24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character" w:customStyle="1" w:styleId="24">
    <w:name w:val="柴_标题2 Char"/>
    <w:link w:val="21"/>
    <w:qFormat/>
    <w:uiPriority w:val="0"/>
    <w:rPr>
      <w:rFonts w:ascii="Arial" w:hAnsi="Arial" w:eastAsia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1058</Words>
  <Characters>1150</Characters>
  <TotalTime>5</TotalTime>
  <ScaleCrop>false</ScaleCrop>
  <LinksUpToDate>false</LinksUpToDate>
  <CharactersWithSpaces>1232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2025-08-21T06:34:00Z</dcterms:created>
  <dc:creator>18442</dc:creator>
  <cp:lastModifiedBy>郝宇</cp:lastModifiedBy>
  <dcterms:modified xsi:type="dcterms:W3CDTF">2025-08-25T09:40:52Z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2025-08-21T14:29:57Z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EF62900E8A5F4C22A076E4E5A05B6A1E_12</vt:lpwstr>
  </property>
</Properties>
</file>