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73F8F8">
      <w:pPr>
        <w:bidi w:val="0"/>
        <w:spacing w:line="360" w:lineRule="auto"/>
        <w:jc w:val="center"/>
        <w:rPr>
          <w:rFonts w:hint="eastAsia" w:cs="宋体"/>
          <w:b/>
          <w:sz w:val="44"/>
          <w:szCs w:val="44"/>
        </w:rPr>
      </w:pPr>
    </w:p>
    <w:p w14:paraId="02F36C61">
      <w:pPr>
        <w:pStyle w:val="7"/>
        <w:spacing w:line="259" w:lineRule="auto"/>
        <w:jc w:val="center"/>
        <w:rPr>
          <w:rFonts w:hint="default" w:eastAsia="宋体"/>
          <w:lang w:val="en-US" w:eastAsia="zh-CN"/>
        </w:rPr>
      </w:pPr>
      <w:r>
        <w:rPr>
          <w:rFonts w:hint="eastAsia" w:cs="宋体"/>
          <w:b/>
          <w:bCs/>
          <w:spacing w:val="-8"/>
          <w:sz w:val="52"/>
          <w:szCs w:val="52"/>
          <w:lang w:val="en-US" w:eastAsia="zh-CN"/>
        </w:rPr>
        <w:t>过程框架设计方案</w:t>
      </w:r>
    </w:p>
    <w:p w14:paraId="13733E10">
      <w:pPr>
        <w:pStyle w:val="7"/>
        <w:spacing w:line="259" w:lineRule="auto"/>
      </w:pPr>
    </w:p>
    <w:p w14:paraId="6C644DF5">
      <w:pPr>
        <w:pStyle w:val="7"/>
        <w:spacing w:line="259" w:lineRule="auto"/>
      </w:pPr>
    </w:p>
    <w:p w14:paraId="7710FF6B">
      <w:pPr>
        <w:pStyle w:val="7"/>
        <w:spacing w:line="259" w:lineRule="auto"/>
      </w:pPr>
    </w:p>
    <w:p w14:paraId="56764B8C">
      <w:pPr>
        <w:pStyle w:val="7"/>
        <w:spacing w:line="259" w:lineRule="auto"/>
      </w:pPr>
    </w:p>
    <w:p w14:paraId="3D9B4C9D">
      <w:pPr>
        <w:pStyle w:val="7"/>
        <w:spacing w:line="260" w:lineRule="auto"/>
      </w:pPr>
    </w:p>
    <w:p w14:paraId="6CF12C2D">
      <w:pPr>
        <w:pStyle w:val="7"/>
        <w:spacing w:line="260" w:lineRule="auto"/>
      </w:pPr>
    </w:p>
    <w:p w14:paraId="2459B7E1">
      <w:pPr>
        <w:pStyle w:val="7"/>
        <w:spacing w:line="260" w:lineRule="auto"/>
      </w:pPr>
    </w:p>
    <w:p w14:paraId="3A30F7DA">
      <w:pPr>
        <w:spacing w:line="1293" w:lineRule="exact"/>
        <w:ind w:firstLine="1991"/>
      </w:pPr>
      <w:r>
        <w:rPr>
          <w:position w:val="-25"/>
        </w:rPr>
        <w:drawing>
          <wp:inline distT="0" distB="0" distL="0" distR="0">
            <wp:extent cx="2757170" cy="820420"/>
            <wp:effectExtent l="0" t="0" r="0" b="0"/>
            <wp:docPr id="3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A913">
      <w:pPr>
        <w:pStyle w:val="7"/>
        <w:spacing w:line="245" w:lineRule="auto"/>
      </w:pPr>
    </w:p>
    <w:p w14:paraId="5A9865E0">
      <w:pPr>
        <w:pStyle w:val="7"/>
        <w:spacing w:line="245" w:lineRule="auto"/>
      </w:pPr>
    </w:p>
    <w:p w14:paraId="5E014733">
      <w:pPr>
        <w:pStyle w:val="7"/>
        <w:spacing w:line="245" w:lineRule="auto"/>
      </w:pPr>
    </w:p>
    <w:p w14:paraId="05687D2C">
      <w:pPr>
        <w:pStyle w:val="7"/>
        <w:spacing w:line="245" w:lineRule="auto"/>
      </w:pPr>
    </w:p>
    <w:p w14:paraId="06544D5F">
      <w:pPr>
        <w:pStyle w:val="7"/>
        <w:spacing w:line="245" w:lineRule="auto"/>
      </w:pPr>
    </w:p>
    <w:p w14:paraId="721FCCAC">
      <w:pPr>
        <w:pStyle w:val="7"/>
        <w:spacing w:line="245" w:lineRule="auto"/>
      </w:pPr>
    </w:p>
    <w:p w14:paraId="4382F11F">
      <w:pPr>
        <w:pStyle w:val="7"/>
        <w:spacing w:line="245" w:lineRule="auto"/>
      </w:pPr>
    </w:p>
    <w:p w14:paraId="1A3C0CDB">
      <w:pPr>
        <w:pStyle w:val="7"/>
        <w:spacing w:line="245" w:lineRule="auto"/>
      </w:pPr>
    </w:p>
    <w:p w14:paraId="64725EF4">
      <w:pPr>
        <w:pStyle w:val="7"/>
        <w:spacing w:line="245" w:lineRule="auto"/>
      </w:pPr>
    </w:p>
    <w:p w14:paraId="65EDE2EC">
      <w:pPr>
        <w:pStyle w:val="7"/>
        <w:spacing w:line="245" w:lineRule="auto"/>
      </w:pPr>
    </w:p>
    <w:p w14:paraId="4079E5B0">
      <w:pPr>
        <w:pStyle w:val="7"/>
        <w:spacing w:line="245" w:lineRule="auto"/>
      </w:pPr>
    </w:p>
    <w:p w14:paraId="18A7988C">
      <w:pPr>
        <w:pStyle w:val="7"/>
        <w:spacing w:line="245" w:lineRule="auto"/>
      </w:pPr>
    </w:p>
    <w:p w14:paraId="05848564">
      <w:pPr>
        <w:pStyle w:val="7"/>
        <w:spacing w:line="246" w:lineRule="auto"/>
      </w:pPr>
    </w:p>
    <w:p w14:paraId="23DFCEB8">
      <w:pPr>
        <w:pStyle w:val="7"/>
        <w:spacing w:line="246" w:lineRule="auto"/>
      </w:pPr>
    </w:p>
    <w:p w14:paraId="7E480E30">
      <w:pPr>
        <w:pStyle w:val="7"/>
        <w:spacing w:line="246" w:lineRule="auto"/>
      </w:pPr>
    </w:p>
    <w:p w14:paraId="713E18ED">
      <w:pPr>
        <w:pStyle w:val="7"/>
        <w:spacing w:line="246" w:lineRule="auto"/>
      </w:pPr>
    </w:p>
    <w:p w14:paraId="0C60DF69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C0E3D7B">
      <w:pPr>
        <w:spacing w:before="275"/>
        <w:ind w:left="328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-01-04</w:t>
      </w:r>
    </w:p>
    <w:p w14:paraId="52CD78DC">
      <w:pPr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1B99E7FB">
      <w:pPr>
        <w:pStyle w:val="7"/>
        <w:spacing w:line="258" w:lineRule="auto"/>
      </w:pPr>
    </w:p>
    <w:p w14:paraId="7A6BB3EF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</w:p>
    <w:p w14:paraId="10C76F80">
      <w:pPr>
        <w:spacing w:line="16" w:lineRule="exact"/>
      </w:pPr>
    </w:p>
    <w:tbl>
      <w:tblPr>
        <w:tblStyle w:val="18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2302"/>
        <w:gridCol w:w="1557"/>
        <w:gridCol w:w="1953"/>
      </w:tblGrid>
      <w:tr w14:paraId="727D45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27881B7B">
            <w:pPr>
              <w:pStyle w:val="19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36C689BA">
            <w:pPr>
              <w:pStyle w:val="19"/>
              <w:spacing w:before="200" w:line="218" w:lineRule="auto"/>
              <w:ind w:left="108"/>
            </w:pPr>
            <w:r>
              <w:rPr>
                <w:rFonts w:hint="eastAsia" w:eastAsia="宋体"/>
                <w:spacing w:val="-1"/>
                <w:lang w:val="en-US" w:eastAsia="zh-CN"/>
              </w:rPr>
              <w:t>过程框架设计方案</w:t>
            </w:r>
            <w:r>
              <w:rPr>
                <w:spacing w:val="-1"/>
              </w:rPr>
              <w:t>（HHLC-ITSS-</w:t>
            </w:r>
            <w:r>
              <w:rPr>
                <w:rFonts w:hint="eastAsia" w:eastAsia="宋体"/>
                <w:spacing w:val="-1"/>
                <w:lang w:val="en-US" w:eastAsia="zh-CN"/>
              </w:rPr>
              <w:t>GCKJSJ</w:t>
            </w:r>
            <w:r>
              <w:rPr>
                <w:spacing w:val="-1"/>
              </w:rPr>
              <w:t>）</w:t>
            </w:r>
          </w:p>
        </w:tc>
      </w:tr>
      <w:tr w14:paraId="1E0E20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3615769">
            <w:pPr>
              <w:pStyle w:val="19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02563DE7">
            <w:pPr>
              <w:pStyle w:val="19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0F5425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381883D0">
            <w:pPr>
              <w:pStyle w:val="19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2E38265A">
            <w:pPr>
              <w:pStyle w:val="19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2A09C73F">
            <w:pPr>
              <w:pStyle w:val="19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4649ABBC">
            <w:pPr>
              <w:pStyle w:val="19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644A38AD">
            <w:pPr>
              <w:pStyle w:val="19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4FBEBC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6F6D724B">
            <w:pPr>
              <w:pStyle w:val="19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36BC817E">
            <w:pPr>
              <w:pStyle w:val="19"/>
              <w:spacing w:before="163"/>
              <w:ind w:left="361"/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3F169EE9">
            <w:pPr>
              <w:pStyle w:val="19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41107F9F">
            <w:pPr>
              <w:pStyle w:val="19"/>
              <w:spacing w:before="134" w:line="220" w:lineRule="auto"/>
              <w:ind w:left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郑永伟</w:t>
            </w:r>
          </w:p>
        </w:tc>
        <w:tc>
          <w:tcPr>
            <w:tcW w:w="1953" w:type="dxa"/>
            <w:vAlign w:val="top"/>
          </w:tcPr>
          <w:p w14:paraId="4B6CF0E8">
            <w:pPr>
              <w:pStyle w:val="19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1F6273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BCD4D9A">
            <w:pPr>
              <w:pStyle w:val="19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0D6CAEED">
            <w:pPr>
              <w:pStyle w:val="19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28F7B695">
            <w:pPr>
              <w:pStyle w:val="19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7F53F258">
            <w:pPr>
              <w:pStyle w:val="19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4B0608E">
            <w:pPr>
              <w:pStyle w:val="19"/>
              <w:spacing w:before="134" w:line="220" w:lineRule="auto"/>
              <w:ind w:left="672"/>
            </w:pPr>
          </w:p>
        </w:tc>
      </w:tr>
      <w:tr w14:paraId="354AE2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866B92A">
            <w:pPr>
              <w:pStyle w:val="19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062081F">
            <w:pPr>
              <w:pStyle w:val="19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60D8574A">
            <w:pPr>
              <w:pStyle w:val="19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5751A681">
            <w:pPr>
              <w:pStyle w:val="19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054D523">
            <w:pPr>
              <w:pStyle w:val="19"/>
              <w:spacing w:before="135" w:line="220" w:lineRule="auto"/>
              <w:ind w:left="672"/>
            </w:pPr>
          </w:p>
        </w:tc>
      </w:tr>
      <w:tr w14:paraId="20C4D7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290A639">
            <w:pPr>
              <w:pStyle w:val="19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72C19250">
            <w:pPr>
              <w:pStyle w:val="19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58E6110C">
            <w:pPr>
              <w:pStyle w:val="19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6F89A49">
            <w:pPr>
              <w:pStyle w:val="19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70CAE7F1">
            <w:pPr>
              <w:pStyle w:val="19"/>
              <w:spacing w:before="136" w:line="220" w:lineRule="auto"/>
              <w:ind w:left="672"/>
            </w:pPr>
          </w:p>
        </w:tc>
      </w:tr>
      <w:tr w14:paraId="05FE5F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A69FE44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2502CE3B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23FF35B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A366011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0AB55F55">
            <w:pPr>
              <w:rPr>
                <w:rFonts w:ascii="Arial"/>
                <w:sz w:val="21"/>
              </w:rPr>
            </w:pPr>
          </w:p>
        </w:tc>
      </w:tr>
    </w:tbl>
    <w:p w14:paraId="1225C856">
      <w:pPr>
        <w:pStyle w:val="7"/>
      </w:pPr>
    </w:p>
    <w:p w14:paraId="42328329">
      <w:pPr>
        <w:sectPr>
          <w:pgSz w:w="11906" w:h="16839"/>
          <w:pgMar w:top="1431" w:right="1236" w:bottom="0" w:left="1588" w:header="0" w:footer="0" w:gutter="0"/>
          <w:cols w:space="720" w:num="1"/>
        </w:sectPr>
      </w:pPr>
    </w:p>
    <w:p w14:paraId="71659F46">
      <w:pPr>
        <w:rPr>
          <w:rFonts w:hint="default"/>
          <w:sz w:val="24"/>
          <w:lang w:val="en-US" w:eastAsia="zh-CN"/>
        </w:rPr>
      </w:pPr>
    </w:p>
    <w:p w14:paraId="4939FBF7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 概述</w:t>
      </w:r>
    </w:p>
    <w:p w14:paraId="4523B5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为建立公司运维服务过程框架，明确过程之间密切的协作和关联关系，以指导各服务过程的建设和持续完善，提升公司服务管理水平。运维部根据运维相关部门管理需求策划了公司运维服务过程框架，以指导各运维服务过程的建设和持续完善，详细如下：</w:t>
      </w:r>
    </w:p>
    <w:p w14:paraId="06933FCB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 过程框架设计方案</w:t>
      </w:r>
    </w:p>
    <w:p w14:paraId="72522E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2.1. 过程框架概览</w:t>
      </w:r>
    </w:p>
    <w:p w14:paraId="29729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公司运维服务过程框架包含了</w:t>
      </w:r>
      <w:r>
        <w:rPr>
          <w:rFonts w:hint="eastAsia"/>
          <w:sz w:val="24"/>
          <w:lang w:val="en-US" w:eastAsia="zh-CN"/>
        </w:rPr>
        <w:t>服务级别管理、服务报告管理、事件管理、问题管理、变更管理、发布管理、配制管理、服务可用性和连续性管理、肉高亮管理、信息安全管理</w:t>
      </w:r>
      <w:r>
        <w:rPr>
          <w:rFonts w:hint="default"/>
          <w:sz w:val="24"/>
          <w:lang w:val="en-US" w:eastAsia="zh-CN"/>
        </w:rPr>
        <w:t>10大服务过程。各过程以服务级别管理SLA作为指导，以信息安全管理作为信息安全保障手段，以配置管理为服务对象数据基础，以服务报告管理保障交付物的质量，各过程间相互关联、相互支撑，确保服务过程规范化，提升服务管理水平，从而促进 SLA 的达成。公司过程框架设计图如下：</w:t>
      </w:r>
    </w:p>
    <w:p w14:paraId="36C34E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position w:val="-90"/>
        </w:rPr>
      </w:pPr>
      <w:r>
        <w:rPr>
          <w:position w:val="-90"/>
        </w:rPr>
        <w:drawing>
          <wp:inline distT="0" distB="0" distL="0" distR="0">
            <wp:extent cx="5273040" cy="2881630"/>
            <wp:effectExtent l="0" t="0" r="0" b="1397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DA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根据公司各相关部门运维管理需求，运维部对各过程相关应用场景、关键指标、过程间关系进行了详细定义，各运维服务过程应以本定义为原则开展建设、应用和持续改善相关工作，详细如下：</w:t>
      </w:r>
    </w:p>
    <w:tbl>
      <w:tblPr>
        <w:tblStyle w:val="12"/>
        <w:tblW w:w="86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1752"/>
        <w:gridCol w:w="1884"/>
        <w:gridCol w:w="1944"/>
        <w:gridCol w:w="1949"/>
      </w:tblGrid>
      <w:tr w14:paraId="0DDCF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auto"/>
            <w:vAlign w:val="top"/>
          </w:tcPr>
          <w:p w14:paraId="65ADFA62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过程名称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087B6E9D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应用场景</w:t>
            </w:r>
          </w:p>
        </w:tc>
        <w:tc>
          <w:tcPr>
            <w:tcW w:w="1884" w:type="dxa"/>
            <w:shd w:val="clear" w:color="auto" w:fill="auto"/>
            <w:vAlign w:val="top"/>
          </w:tcPr>
          <w:p w14:paraId="0623A155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关键指标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0B141CB7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与其他过程的输入</w:t>
            </w:r>
          </w:p>
        </w:tc>
        <w:tc>
          <w:tcPr>
            <w:tcW w:w="1949" w:type="dxa"/>
            <w:shd w:val="clear" w:color="auto" w:fill="auto"/>
            <w:vAlign w:val="top"/>
          </w:tcPr>
          <w:p w14:paraId="1849D91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对其他过程的输出</w:t>
            </w:r>
          </w:p>
        </w:tc>
      </w:tr>
      <w:tr w14:paraId="53E58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auto"/>
            <w:vAlign w:val="top"/>
          </w:tcPr>
          <w:p w14:paraId="5A4A9E55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服务级别管理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4247CBD7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用于运维服务需求从受理到方案提供、SLA 签订、 SLA 实施与监控的全生命周期管理</w:t>
            </w:r>
          </w:p>
        </w:tc>
        <w:tc>
          <w:tcPr>
            <w:tcW w:w="1884" w:type="dxa"/>
            <w:shd w:val="clear" w:color="auto" w:fill="auto"/>
            <w:vAlign w:val="top"/>
          </w:tcPr>
          <w:p w14:paraId="22F73B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SLA 达成率≥90%</w:t>
            </w:r>
          </w:p>
          <w:p w14:paraId="456C252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计算方式：（满足服务级别事件数/事件总数）*100% 考 核频 次：</w:t>
            </w:r>
            <w:r>
              <w:rPr>
                <w:rFonts w:hint="eastAsia"/>
                <w:lang w:val="en-US" w:eastAsia="zh-CN"/>
              </w:rPr>
              <w:t>季度</w:t>
            </w:r>
            <w:r>
              <w:rPr>
                <w:rFonts w:hint="default"/>
                <w:lang w:val="en-US" w:eastAsia="zh-CN"/>
              </w:rPr>
              <w:t xml:space="preserve"> 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026629C7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从可用性和连续性管理、容量管理、事件管理、信息安全管理获得服务级别协议相关信息</w:t>
            </w:r>
          </w:p>
        </w:tc>
        <w:tc>
          <w:tcPr>
            <w:tcW w:w="1949" w:type="dxa"/>
            <w:shd w:val="clear" w:color="auto" w:fill="auto"/>
            <w:vAlign w:val="top"/>
          </w:tcPr>
          <w:p w14:paraId="78FCC65A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、 向可用性和连续性管理 、 容量管理 、 事件管理、信息安全管理、服务报告管理提供服务级别协议相关信息；2 、向变更管理提供服务级别相关变更请求</w:t>
            </w:r>
          </w:p>
        </w:tc>
      </w:tr>
      <w:tr w14:paraId="7F852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auto"/>
            <w:vAlign w:val="top"/>
          </w:tcPr>
          <w:p w14:paraId="2988A05E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服务报告管理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3F5DF8D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用于管理运维项目中各类服务报告，包含各类方案、阶段性总结报告、验收汇报等</w:t>
            </w:r>
          </w:p>
        </w:tc>
        <w:tc>
          <w:tcPr>
            <w:tcW w:w="1884" w:type="dxa"/>
            <w:shd w:val="clear" w:color="auto" w:fill="auto"/>
            <w:vAlign w:val="top"/>
          </w:tcPr>
          <w:p w14:paraId="7C2790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服务报告及时率 ≥9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%计算方式：及时提交服务报告次数/需提交服务报告总次数</w:t>
            </w:r>
            <w:r>
              <w:rPr>
                <w:rFonts w:hint="eastAsia"/>
                <w:lang w:val="en-US" w:eastAsia="zh-CN"/>
              </w:rPr>
              <w:t>*</w:t>
            </w:r>
            <w:r>
              <w:rPr>
                <w:rFonts w:hint="default"/>
                <w:lang w:val="en-US" w:eastAsia="zh-CN"/>
              </w:rPr>
              <w:t>100%</w:t>
            </w:r>
            <w:r>
              <w:rPr>
                <w:rFonts w:hint="eastAsia"/>
                <w:lang w:val="en-US" w:eastAsia="zh-CN"/>
              </w:rPr>
              <w:t>,频次:月度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51FA373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运维过程中相关报告与记录或其它信息渠道获取</w:t>
            </w:r>
          </w:p>
        </w:tc>
        <w:tc>
          <w:tcPr>
            <w:tcW w:w="1949" w:type="dxa"/>
          </w:tcPr>
          <w:p w14:paraId="6F11E81C"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 w14:paraId="4C3CC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auto"/>
            <w:vAlign w:val="top"/>
          </w:tcPr>
          <w:p w14:paraId="6FD0F8E6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事件管理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43D95541">
            <w:pPr>
              <w:bidi w:val="0"/>
              <w:jc w:val="left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确保业务系统各类事件能在最短的时间内得到解决，满足公司与客户约定的SLA要求</w:t>
            </w:r>
          </w:p>
        </w:tc>
        <w:tc>
          <w:tcPr>
            <w:tcW w:w="1884" w:type="dxa"/>
            <w:shd w:val="clear" w:color="auto" w:fill="auto"/>
            <w:vAlign w:val="top"/>
          </w:tcPr>
          <w:p w14:paraId="2474CE6E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1.事件解决率</w:t>
            </w:r>
            <w:r>
              <w:rPr>
                <w:rFonts w:hint="default"/>
                <w:lang w:val="en-US" w:eastAsia="zh-CN"/>
              </w:rPr>
              <w:t>≥9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%</w:t>
            </w:r>
          </w:p>
          <w:p w14:paraId="55C2FB08"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计算方式：成功解决事件数/已关闭事件总数</w:t>
            </w:r>
            <w:r>
              <w:rPr>
                <w:rFonts w:hint="eastAsia"/>
                <w:lang w:val="en-US" w:eastAsia="zh-CN"/>
              </w:rPr>
              <w:t>*100%</w:t>
            </w:r>
          </w:p>
          <w:p w14:paraId="4CE2A747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考核频次：</w:t>
            </w:r>
            <w:r>
              <w:rPr>
                <w:rFonts w:hint="eastAsia"/>
                <w:lang w:val="en-US" w:eastAsia="zh-CN"/>
              </w:rPr>
              <w:t>按月</w:t>
            </w:r>
          </w:p>
          <w:p w14:paraId="0AC7AC67"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default"/>
                <w:lang w:val="en-US" w:eastAsia="zh-CN"/>
              </w:rPr>
              <w:t>事件</w:t>
            </w:r>
            <w:r>
              <w:rPr>
                <w:rFonts w:hint="eastAsia"/>
                <w:lang w:val="en-US" w:eastAsia="zh-CN"/>
              </w:rPr>
              <w:t>按时</w:t>
            </w:r>
            <w:r>
              <w:rPr>
                <w:rFonts w:hint="default"/>
                <w:lang w:val="en-US" w:eastAsia="zh-CN"/>
              </w:rPr>
              <w:t>解决及时率9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%</w:t>
            </w:r>
          </w:p>
          <w:p w14:paraId="602CB2C4"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计算方式：（按照事件等级规定时间内解决的事件数/已关闭事件总数）*100% 考核频次：</w:t>
            </w:r>
            <w:r>
              <w:rPr>
                <w:rFonts w:hint="eastAsia"/>
                <w:lang w:val="en-US" w:eastAsia="zh-CN"/>
              </w:rPr>
              <w:t>按月</w:t>
            </w:r>
          </w:p>
          <w:p w14:paraId="2318D6F5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default"/>
                <w:lang w:val="en-US" w:eastAsia="zh-CN"/>
              </w:rPr>
              <w:t>事件回访的及时率</w:t>
            </w:r>
            <w:r>
              <w:rPr>
                <w:rFonts w:hint="eastAsia"/>
                <w:lang w:val="en-US" w:eastAsia="zh-CN"/>
              </w:rPr>
              <w:t>95%</w:t>
            </w:r>
          </w:p>
          <w:p w14:paraId="377AD17F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计算方式：</w:t>
            </w:r>
            <w:r>
              <w:rPr>
                <w:rFonts w:hint="default"/>
                <w:lang w:val="en-US" w:eastAsia="zh-CN"/>
              </w:rPr>
              <w:t>按时回访的事件数量/已回访的事</w:t>
            </w:r>
          </w:p>
          <w:p w14:paraId="4F35807C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件总数</w:t>
            </w:r>
            <w:r>
              <w:rPr>
                <w:rFonts w:hint="eastAsia"/>
                <w:lang w:val="en-US" w:eastAsia="zh-CN"/>
              </w:rPr>
              <w:t>*100%</w:t>
            </w:r>
          </w:p>
          <w:p w14:paraId="3341613F">
            <w:pPr>
              <w:bidi w:val="0"/>
              <w:jc w:val="left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考核频次：</w:t>
            </w:r>
            <w:r>
              <w:rPr>
                <w:rFonts w:hint="eastAsia"/>
                <w:lang w:val="en-US" w:eastAsia="zh-CN"/>
              </w:rPr>
              <w:t>按季度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59F45D1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、从服务级别管理获得服务级别协议相关信息；</w:t>
            </w:r>
          </w:p>
          <w:p w14:paraId="6E1950E3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 、从变更管理获得事件 引发变更 的处理 结果；</w:t>
            </w:r>
          </w:p>
          <w:p w14:paraId="4ADD07AA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 、从信息安全管理获得信息安全管理相关信息；</w:t>
            </w:r>
          </w:p>
          <w:p w14:paraId="787D1A9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 、从问题管理获得已知问题、已知错误和解决方案的信息；</w:t>
            </w:r>
          </w:p>
          <w:p w14:paraId="6F400FAA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5 、从配置管理获得配置项信息；</w:t>
            </w:r>
          </w:p>
        </w:tc>
        <w:tc>
          <w:tcPr>
            <w:tcW w:w="1949" w:type="dxa"/>
            <w:shd w:val="clear" w:color="auto" w:fill="auto"/>
            <w:vAlign w:val="top"/>
          </w:tcPr>
          <w:p w14:paraId="7F97A58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、向发布管理提供待发布信息、操作手册、已知错误信息；</w:t>
            </w:r>
          </w:p>
          <w:p w14:paraId="5D34EED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 、向信息安全管理提供安全性突发事件报告和记录等信息，并触发信息安全管理；</w:t>
            </w:r>
          </w:p>
          <w:p w14:paraId="66A4C25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 、向变更管理提供变更请求信息 ， 并触发变更管理；</w:t>
            </w:r>
          </w:p>
          <w:p w14:paraId="5AF9C58A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 、向问题管理提供重大、重复多次等相关事件信息。</w:t>
            </w:r>
          </w:p>
          <w:p w14:paraId="7360B27B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 、向服务报告管理提供事件相关信息</w:t>
            </w:r>
          </w:p>
        </w:tc>
      </w:tr>
      <w:tr w14:paraId="37732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auto"/>
            <w:vAlign w:val="top"/>
          </w:tcPr>
          <w:p w14:paraId="3A7A847C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问题管理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2F2BE624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对重复多次发生的事件、具有重大影响范围等事件进行根源调查、处置，避免事件的再次发</w:t>
            </w:r>
          </w:p>
          <w:p w14:paraId="5CDFE7C6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生，提高系统可用性、连续性和容量</w:t>
            </w:r>
          </w:p>
        </w:tc>
        <w:tc>
          <w:tcPr>
            <w:tcW w:w="1884" w:type="dxa"/>
            <w:shd w:val="clear" w:color="auto" w:fill="auto"/>
            <w:vAlign w:val="top"/>
          </w:tcPr>
          <w:p w14:paraId="46C5F07E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问题解决率≥</w:t>
            </w:r>
            <w:r>
              <w:rPr>
                <w:rFonts w:hint="eastAsia"/>
                <w:lang w:val="en-US" w:eastAsia="zh-CN"/>
              </w:rPr>
              <w:t>85</w:t>
            </w:r>
            <w:r>
              <w:rPr>
                <w:rFonts w:hint="default"/>
                <w:lang w:val="en-US" w:eastAsia="zh-CN"/>
              </w:rPr>
              <w:t>%</w:t>
            </w:r>
          </w:p>
          <w:p w14:paraId="481AD964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计算方式： </w:t>
            </w:r>
            <w:r>
              <w:rPr>
                <w:rFonts w:hint="eastAsia"/>
                <w:lang w:val="en-US" w:eastAsia="zh-CN"/>
              </w:rPr>
              <w:t>成功解决的问题数</w:t>
            </w:r>
            <w:r>
              <w:rPr>
                <w:rFonts w:hint="default"/>
                <w:lang w:val="en-US" w:eastAsia="zh-CN"/>
              </w:rPr>
              <w:t>/问题总数*100%</w:t>
            </w:r>
          </w:p>
          <w:p w14:paraId="2F67FA04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考核频次：季度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2F9EBF50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1、从事件管理获得突发事件报告的相关信息；</w:t>
            </w:r>
          </w:p>
          <w:p w14:paraId="6F812274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2、从变更管理获得问题 引发变更的处理 结果；</w:t>
            </w:r>
          </w:p>
          <w:p w14:paraId="3E4DF620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3、从发布管理获得已知问题、已知错误和解决方案的相关信息；</w:t>
            </w:r>
          </w:p>
          <w:p w14:paraId="2ECF87DA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4、从配置管理获得配置项信息</w:t>
            </w:r>
          </w:p>
        </w:tc>
        <w:tc>
          <w:tcPr>
            <w:tcW w:w="1949" w:type="dxa"/>
            <w:shd w:val="clear" w:color="auto" w:fill="auto"/>
            <w:vAlign w:val="top"/>
          </w:tcPr>
          <w:p w14:paraId="41A090A4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1、向变更管理提交变更请求信息；</w:t>
            </w:r>
          </w:p>
          <w:p w14:paraId="6F285167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2、向事件管理提供已知问题、 已知错误和解决方案的相关信息；</w:t>
            </w:r>
          </w:p>
          <w:p w14:paraId="771DEE13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3、向服务报告管理提供问题相关信息</w:t>
            </w:r>
          </w:p>
        </w:tc>
      </w:tr>
      <w:tr w14:paraId="6FC31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auto"/>
            <w:vAlign w:val="top"/>
          </w:tcPr>
          <w:p w14:paraId="6FEDC8DC"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  <w:p w14:paraId="513F6CA6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变更管理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0410BF11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从业务、技术两个角度管理客户业务系统生产环境变更，尽量降低变更对生产环境带来的影响</w:t>
            </w:r>
          </w:p>
        </w:tc>
        <w:tc>
          <w:tcPr>
            <w:tcW w:w="1884" w:type="dxa"/>
            <w:shd w:val="clear" w:color="auto" w:fill="auto"/>
            <w:vAlign w:val="top"/>
          </w:tcPr>
          <w:p w14:paraId="5F11F34C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变更成功率≥9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%计算方式：1-(回退变更/变更总数)*100%考核频次：季度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700BC5F5"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、从可用性和连续性管理获得可用性计划和连续性计划</w:t>
            </w:r>
            <w:r>
              <w:rPr>
                <w:rFonts w:hint="eastAsia"/>
                <w:lang w:val="en-US" w:eastAsia="zh-CN"/>
              </w:rPr>
              <w:t>;</w:t>
            </w:r>
          </w:p>
          <w:p w14:paraId="7F53002F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 、从配置管理获得变更对业务产生的影响；</w:t>
            </w:r>
          </w:p>
          <w:p w14:paraId="3C88850D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 、从服务级别管理、</w:t>
            </w:r>
          </w:p>
          <w:p w14:paraId="658344E6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信息安全管理、配置管理、事件管理、问题管理获得各过程的变更请求</w:t>
            </w:r>
          </w:p>
        </w:tc>
        <w:tc>
          <w:tcPr>
            <w:tcW w:w="1949" w:type="dxa"/>
            <w:shd w:val="clear" w:color="auto" w:fill="auto"/>
            <w:vAlign w:val="top"/>
          </w:tcPr>
          <w:p w14:paraId="6001260C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、向配置管理提供配置项的更新和修改信息；2 、向发布管理提供变更授权；</w:t>
            </w:r>
          </w:p>
          <w:p w14:paraId="33A27A68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 、向事件管理、问题管理提供变更的处理结果；</w:t>
            </w:r>
          </w:p>
          <w:p w14:paraId="36425991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 、向服务报告管理提供变更信息</w:t>
            </w:r>
          </w:p>
        </w:tc>
      </w:tr>
      <w:tr w14:paraId="5FECE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auto"/>
            <w:vAlign w:val="top"/>
          </w:tcPr>
          <w:p w14:paraId="7991067E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发布管理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289D2E7F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对软硬件导入生产环境的过程进行管理</w:t>
            </w:r>
          </w:p>
        </w:tc>
        <w:tc>
          <w:tcPr>
            <w:tcW w:w="1884" w:type="dxa"/>
            <w:shd w:val="clear" w:color="auto" w:fill="auto"/>
            <w:vAlign w:val="top"/>
          </w:tcPr>
          <w:p w14:paraId="5F7E42A3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发布成功率≥9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%</w:t>
            </w:r>
          </w:p>
          <w:p w14:paraId="08E32F97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计算方式：发布</w:t>
            </w:r>
            <w:r>
              <w:rPr>
                <w:rFonts w:hint="eastAsia"/>
                <w:lang w:val="en-US" w:eastAsia="zh-CN"/>
              </w:rPr>
              <w:t>成功</w:t>
            </w:r>
            <w:r>
              <w:rPr>
                <w:rFonts w:hint="default"/>
                <w:lang w:val="en-US" w:eastAsia="zh-CN"/>
              </w:rPr>
              <w:t>的数量/发布总数量</w:t>
            </w:r>
            <w:r>
              <w:rPr>
                <w:rFonts w:hint="eastAsia"/>
                <w:lang w:val="en-US" w:eastAsia="zh-CN"/>
              </w:rPr>
              <w:t>*</w:t>
            </w:r>
            <w:r>
              <w:rPr>
                <w:rFonts w:hint="default"/>
                <w:lang w:val="en-US" w:eastAsia="zh-CN"/>
              </w:rPr>
              <w:t>100%</w:t>
            </w:r>
          </w:p>
          <w:p w14:paraId="2F669232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考核频次：季度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30304C99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从变更管理获得变更授权</w:t>
            </w:r>
          </w:p>
        </w:tc>
        <w:tc>
          <w:tcPr>
            <w:tcW w:w="1949" w:type="dxa"/>
            <w:shd w:val="clear" w:color="auto" w:fill="auto"/>
            <w:vAlign w:val="top"/>
          </w:tcPr>
          <w:p w14:paraId="4861C2F3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、向配置管理提供配置项的更新和修改信息；</w:t>
            </w:r>
          </w:p>
          <w:p w14:paraId="5C0B2084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 、向变更管理提供对变更记录的更新和修改信息；</w:t>
            </w:r>
          </w:p>
          <w:p w14:paraId="6CD62430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 、向问题管理提供已知错误信息</w:t>
            </w:r>
          </w:p>
          <w:p w14:paraId="3619508F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 、向服务报告管理提供发布信息</w:t>
            </w:r>
          </w:p>
        </w:tc>
      </w:tr>
      <w:tr w14:paraId="3DB85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auto"/>
            <w:vAlign w:val="top"/>
          </w:tcPr>
          <w:p w14:paraId="30348B12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配置管理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24606BC9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确保客户业务系</w:t>
            </w:r>
          </w:p>
          <w:p w14:paraId="766639B0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统生产环境各类</w:t>
            </w:r>
          </w:p>
          <w:p w14:paraId="1D36C6CF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配置项以及关系</w:t>
            </w:r>
          </w:p>
          <w:p w14:paraId="3A92BB6F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能够得到及时地</w:t>
            </w:r>
          </w:p>
          <w:p w14:paraId="3CB5444B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导入和维护 ，从</w:t>
            </w:r>
          </w:p>
          <w:p w14:paraId="13CF9C09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而展示客户业务</w:t>
            </w:r>
          </w:p>
          <w:p w14:paraId="7FD4B45F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系统生产环境实</w:t>
            </w:r>
          </w:p>
          <w:p w14:paraId="66F00F4C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时状态</w:t>
            </w:r>
          </w:p>
        </w:tc>
        <w:tc>
          <w:tcPr>
            <w:tcW w:w="1884" w:type="dxa"/>
            <w:shd w:val="clear" w:color="auto" w:fill="auto"/>
            <w:vAlign w:val="top"/>
          </w:tcPr>
          <w:p w14:paraId="783B5765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配置</w:t>
            </w:r>
            <w:r>
              <w:rPr>
                <w:rFonts w:hint="eastAsia"/>
                <w:lang w:val="en-US" w:eastAsia="zh-CN"/>
              </w:rPr>
              <w:t>准确率</w:t>
            </w:r>
            <w:r>
              <w:rPr>
                <w:rFonts w:hint="default"/>
                <w:lang w:val="en-US" w:eastAsia="zh-CN"/>
              </w:rPr>
              <w:t>≥9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%计算方式：</w:t>
            </w:r>
            <w:r>
              <w:rPr>
                <w:rFonts w:hint="eastAsia"/>
                <w:lang w:val="en-US" w:eastAsia="zh-CN"/>
              </w:rPr>
              <w:t>配置准确数/配置总数*</w:t>
            </w:r>
            <w:r>
              <w:rPr>
                <w:rFonts w:hint="default"/>
                <w:lang w:val="en-US" w:eastAsia="zh-CN"/>
              </w:rPr>
              <w:t>100%</w:t>
            </w:r>
          </w:p>
          <w:p w14:paraId="0EA936A2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考核频次：季度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6DFD65EA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、从变更管理、发布管理获得对配置项的更新和修改信息；</w:t>
            </w:r>
          </w:p>
          <w:p w14:paraId="2CADBDF6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 、从连续性和可用性管理获得可用性计划和连续性计划</w:t>
            </w:r>
          </w:p>
        </w:tc>
        <w:tc>
          <w:tcPr>
            <w:tcW w:w="1949" w:type="dxa"/>
            <w:shd w:val="clear" w:color="auto" w:fill="auto"/>
            <w:vAlign w:val="top"/>
          </w:tcPr>
          <w:p w14:paraId="4F9799F8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向事件管理、 问题管理、变更管理、发布管理、可用性与连续性管理、容量管理、信息安全管理、服务报告管理提供配置项信息及配置项间的关系</w:t>
            </w:r>
          </w:p>
        </w:tc>
      </w:tr>
      <w:tr w14:paraId="049B3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auto"/>
            <w:vAlign w:val="top"/>
          </w:tcPr>
          <w:p w14:paraId="0BD16BB2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可用性和连续性管理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5E9884B4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当客户业务发生中断或重大灾害、意外事件时，公司在符合成本效益和业务快速恢复的原则下，最大化降低客户业务损失</w:t>
            </w:r>
          </w:p>
        </w:tc>
        <w:tc>
          <w:tcPr>
            <w:tcW w:w="1884" w:type="dxa"/>
            <w:shd w:val="clear" w:color="auto" w:fill="auto"/>
            <w:vAlign w:val="top"/>
          </w:tcPr>
          <w:p w14:paraId="0F37C91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1、</w:t>
            </w:r>
            <w:r>
              <w:rPr>
                <w:rFonts w:hint="eastAsia"/>
                <w:lang w:val="en-US" w:eastAsia="zh-CN"/>
              </w:rPr>
              <w:t>业务可用性</w:t>
            </w:r>
            <w:r>
              <w:rPr>
                <w:rFonts w:hint="default"/>
                <w:lang w:val="en-US" w:eastAsia="zh-CN"/>
              </w:rPr>
              <w:t>≥9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%：</w:t>
            </w:r>
          </w:p>
          <w:p w14:paraId="2FC04DE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计算方式:</w:t>
            </w:r>
            <w:r>
              <w:rPr>
                <w:rFonts w:hint="default"/>
                <w:lang w:val="en-US" w:eastAsia="zh-CN"/>
              </w:rPr>
              <w:t>可用时间/</w:t>
            </w:r>
            <w:r>
              <w:rPr>
                <w:rFonts w:hint="eastAsia"/>
                <w:lang w:val="en-US" w:eastAsia="zh-CN"/>
              </w:rPr>
              <w:t>整体运行时间</w:t>
            </w:r>
            <w:r>
              <w:rPr>
                <w:rFonts w:hint="default"/>
                <w:lang w:val="en-US" w:eastAsia="zh-CN"/>
              </w:rPr>
              <w:t xml:space="preserve">*100%（ 考核频次 ： </w:t>
            </w:r>
            <w:r>
              <w:rPr>
                <w:rFonts w:hint="eastAsia"/>
                <w:lang w:val="en-US" w:eastAsia="zh-CN"/>
              </w:rPr>
              <w:t>季度</w:t>
            </w:r>
            <w:r>
              <w:rPr>
                <w:rFonts w:hint="default"/>
                <w:lang w:val="en-US" w:eastAsia="zh-CN"/>
              </w:rPr>
              <w:t>）</w:t>
            </w:r>
          </w:p>
          <w:p w14:paraId="1149C745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2、业务连续性</w:t>
            </w:r>
            <w:r>
              <w:rPr>
                <w:rFonts w:hint="eastAsia"/>
                <w:lang w:val="en-US" w:eastAsia="zh-CN"/>
              </w:rPr>
              <w:t>≤2次</w:t>
            </w:r>
          </w:p>
          <w:p w14:paraId="4BC82C02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eastAsia"/>
                <w:lang w:val="en-US" w:eastAsia="zh-CN"/>
              </w:rPr>
              <w:t>计算方式:突发事件导致中断次数</w:t>
            </w:r>
            <w:r>
              <w:rPr>
                <w:rFonts w:hint="default"/>
                <w:lang w:val="en-US" w:eastAsia="zh-CN"/>
              </w:rPr>
              <w:t>（考核频次：</w:t>
            </w:r>
            <w:r>
              <w:rPr>
                <w:rFonts w:hint="eastAsia"/>
                <w:lang w:val="en-US" w:eastAsia="zh-CN"/>
              </w:rPr>
              <w:t>季度</w:t>
            </w:r>
            <w:r>
              <w:rPr>
                <w:rFonts w:hint="default"/>
                <w:lang w:val="en-US" w:eastAsia="zh-CN"/>
              </w:rPr>
              <w:t>）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4904E8F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1、从服务级别管理获得服务级别协议；</w:t>
            </w:r>
          </w:p>
          <w:p w14:paraId="248BC7B0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2、从配置管理获取配置项信息；</w:t>
            </w:r>
          </w:p>
        </w:tc>
        <w:tc>
          <w:tcPr>
            <w:tcW w:w="1949" w:type="dxa"/>
            <w:shd w:val="clear" w:color="auto" w:fill="auto"/>
            <w:vAlign w:val="top"/>
          </w:tcPr>
          <w:p w14:paraId="2892071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1、向容量管理提供灾难中或恢复阶段的服务容量需求 ， 如人员和资源的配给；</w:t>
            </w:r>
          </w:p>
          <w:p w14:paraId="054E5D8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2、向变更管理提供可用性计划和连续性计划的变更请求；</w:t>
            </w:r>
          </w:p>
          <w:p w14:paraId="589E802E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 、向服务报告管理输出可用性和连续性管理数据</w:t>
            </w:r>
          </w:p>
        </w:tc>
      </w:tr>
      <w:tr w14:paraId="239548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auto"/>
            <w:vAlign w:val="top"/>
          </w:tcPr>
          <w:p w14:paraId="5616E2ED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容量管理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6BCD0006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对业务系统额定容量展开监控和处置，消除客户业务容量风险，确保公司提供的服务满足规 定 的 SLA ，确保客户业务系统的运行满足业务需求</w:t>
            </w:r>
          </w:p>
        </w:tc>
        <w:tc>
          <w:tcPr>
            <w:tcW w:w="1884" w:type="dxa"/>
            <w:shd w:val="clear" w:color="auto" w:fill="auto"/>
            <w:vAlign w:val="top"/>
          </w:tcPr>
          <w:p w14:paraId="4DC1CF40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容量事件次数≤2次</w:t>
            </w:r>
          </w:p>
          <w:p w14:paraId="77F4650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计算方式:由于容量原因发生事件的数量</w:t>
            </w:r>
          </w:p>
          <w:p w14:paraId="0BA425A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（考核频次：</w:t>
            </w:r>
            <w:r>
              <w:rPr>
                <w:rFonts w:hint="eastAsia"/>
                <w:lang w:val="en-US" w:eastAsia="zh-CN"/>
              </w:rPr>
              <w:t>季度</w:t>
            </w:r>
            <w:r>
              <w:rPr>
                <w:rFonts w:hint="default"/>
                <w:lang w:val="en-US" w:eastAsia="zh-CN"/>
              </w:rPr>
              <w:t>）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6812E20D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1、从服务级别管理获得服务级别协议；</w:t>
            </w:r>
          </w:p>
          <w:p w14:paraId="7A196CE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2、从可用性和连续性管理获得容量需求；</w:t>
            </w:r>
          </w:p>
          <w:p w14:paraId="3E238EF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3、向配置管理获取相关配置项信息；</w:t>
            </w:r>
          </w:p>
          <w:p w14:paraId="3DC419E1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4、从事件管理获取因容量问题引发的事件</w:t>
            </w:r>
          </w:p>
        </w:tc>
        <w:tc>
          <w:tcPr>
            <w:tcW w:w="1949" w:type="dxa"/>
            <w:shd w:val="clear" w:color="auto" w:fill="auto"/>
            <w:vAlign w:val="top"/>
          </w:tcPr>
          <w:p w14:paraId="7E11AE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、向变更管理提供容量管理变更请求；</w:t>
            </w:r>
          </w:p>
          <w:p w14:paraId="2C67C96C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2 、向服务报告管理输出容量管理数据</w:t>
            </w:r>
          </w:p>
        </w:tc>
      </w:tr>
      <w:tr w14:paraId="1714E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auto"/>
            <w:vAlign w:val="top"/>
          </w:tcPr>
          <w:p w14:paraId="407FFCE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信息安全</w:t>
            </w:r>
          </w:p>
          <w:p w14:paraId="27F0307B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管理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3BFEEEFB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通过规范的信息</w:t>
            </w:r>
          </w:p>
          <w:p w14:paraId="50B13DF5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安全管理，识别、评估并合理应对运维服务过程中的各类安全风险 ，降低信息安全风险影响</w:t>
            </w:r>
          </w:p>
        </w:tc>
        <w:tc>
          <w:tcPr>
            <w:tcW w:w="1884" w:type="dxa"/>
            <w:shd w:val="clear" w:color="auto" w:fill="auto"/>
            <w:vAlign w:val="top"/>
          </w:tcPr>
          <w:p w14:paraId="6835B61A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信息安全事件数量≤1次</w:t>
            </w:r>
          </w:p>
          <w:p w14:paraId="23D48523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计算方式:</w:t>
            </w:r>
            <w:r>
              <w:rPr>
                <w:rFonts w:hint="default"/>
                <w:lang w:val="en-US" w:eastAsia="zh-CN"/>
              </w:rPr>
              <w:t>我方人员造成信息安全事件的次数</w:t>
            </w:r>
          </w:p>
          <w:p w14:paraId="6CB87FFC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考核频次：</w:t>
            </w:r>
            <w:r>
              <w:rPr>
                <w:rFonts w:hint="eastAsia"/>
                <w:lang w:val="en-US" w:eastAsia="zh-CN"/>
              </w:rPr>
              <w:t>年度</w:t>
            </w:r>
            <w:bookmarkStart w:id="0" w:name="_GoBack"/>
            <w:bookmarkEnd w:id="0"/>
          </w:p>
        </w:tc>
        <w:tc>
          <w:tcPr>
            <w:tcW w:w="1944" w:type="dxa"/>
            <w:shd w:val="clear" w:color="auto" w:fill="auto"/>
            <w:vAlign w:val="top"/>
          </w:tcPr>
          <w:p w14:paraId="2808D5C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1、从服务级别管理获得关于信息安全管理的服务要求、法律法规和合同义务；</w:t>
            </w:r>
          </w:p>
          <w:p w14:paraId="684D2A0E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2、从配置管理获得配置项信息；</w:t>
            </w:r>
          </w:p>
          <w:p w14:paraId="379E18A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3、从变更管理中获得变更请求信息；</w:t>
            </w:r>
          </w:p>
          <w:p w14:paraId="122886F7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4、从事件管理获得信息安全事件信息</w:t>
            </w:r>
          </w:p>
        </w:tc>
        <w:tc>
          <w:tcPr>
            <w:tcW w:w="1949" w:type="dxa"/>
            <w:shd w:val="clear" w:color="auto" w:fill="auto"/>
            <w:vAlign w:val="top"/>
          </w:tcPr>
          <w:p w14:paraId="6FE3A907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1、向变更管理提供信息安全风险及其影响的信息；</w:t>
            </w:r>
          </w:p>
          <w:p w14:paraId="4AF5B0D1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2、向服务报告管理提供信息安全相关信息。</w:t>
            </w:r>
          </w:p>
        </w:tc>
      </w:tr>
    </w:tbl>
    <w:p w14:paraId="631D06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5B054">
    <w:pPr>
      <w:spacing w:line="169" w:lineRule="auto"/>
      <w:ind w:left="5927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pacing w:val="-5"/>
        <w:sz w:val="18"/>
        <w:szCs w:val="18"/>
      </w:rPr>
      <w:t>34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04D73D"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346B"/>
    <w:rsid w:val="01013CDC"/>
    <w:rsid w:val="012651AE"/>
    <w:rsid w:val="01514167"/>
    <w:rsid w:val="01A95AA3"/>
    <w:rsid w:val="01C1789B"/>
    <w:rsid w:val="01F97036"/>
    <w:rsid w:val="02290C40"/>
    <w:rsid w:val="0241483D"/>
    <w:rsid w:val="02736A74"/>
    <w:rsid w:val="02C60B85"/>
    <w:rsid w:val="02FD66B9"/>
    <w:rsid w:val="031E62CB"/>
    <w:rsid w:val="034877EC"/>
    <w:rsid w:val="04180F6C"/>
    <w:rsid w:val="04294F58"/>
    <w:rsid w:val="043A35D9"/>
    <w:rsid w:val="045A344D"/>
    <w:rsid w:val="047835CA"/>
    <w:rsid w:val="05600041"/>
    <w:rsid w:val="058B39C0"/>
    <w:rsid w:val="0659586C"/>
    <w:rsid w:val="06B328AD"/>
    <w:rsid w:val="07133C6D"/>
    <w:rsid w:val="07571DAC"/>
    <w:rsid w:val="08114650"/>
    <w:rsid w:val="08460D9C"/>
    <w:rsid w:val="0857336D"/>
    <w:rsid w:val="08AE04A4"/>
    <w:rsid w:val="08D56107"/>
    <w:rsid w:val="09842C00"/>
    <w:rsid w:val="098944A3"/>
    <w:rsid w:val="09B75AF6"/>
    <w:rsid w:val="09E57A38"/>
    <w:rsid w:val="0A277E94"/>
    <w:rsid w:val="0A421857"/>
    <w:rsid w:val="0A6D7B38"/>
    <w:rsid w:val="0AF703FB"/>
    <w:rsid w:val="0B0E131B"/>
    <w:rsid w:val="0BB96364"/>
    <w:rsid w:val="0BBC6FA9"/>
    <w:rsid w:val="0C1666D9"/>
    <w:rsid w:val="0C27678D"/>
    <w:rsid w:val="0C423591"/>
    <w:rsid w:val="0C4C382C"/>
    <w:rsid w:val="0C5745FC"/>
    <w:rsid w:val="0C976C2D"/>
    <w:rsid w:val="0D9C21C9"/>
    <w:rsid w:val="0E236A3E"/>
    <w:rsid w:val="0E6574A4"/>
    <w:rsid w:val="0EA24254"/>
    <w:rsid w:val="0ED14B39"/>
    <w:rsid w:val="0ED91C40"/>
    <w:rsid w:val="0EE03857"/>
    <w:rsid w:val="0F0071CD"/>
    <w:rsid w:val="0F0071D6"/>
    <w:rsid w:val="0F046CBD"/>
    <w:rsid w:val="0F1C1554"/>
    <w:rsid w:val="0F31382A"/>
    <w:rsid w:val="0F5F3EF3"/>
    <w:rsid w:val="0F750846"/>
    <w:rsid w:val="0FDE1AE9"/>
    <w:rsid w:val="10974C0A"/>
    <w:rsid w:val="11A00544"/>
    <w:rsid w:val="121D0BF1"/>
    <w:rsid w:val="12477E27"/>
    <w:rsid w:val="12993BC0"/>
    <w:rsid w:val="134E49AB"/>
    <w:rsid w:val="13755966"/>
    <w:rsid w:val="138E05BB"/>
    <w:rsid w:val="13BF7656"/>
    <w:rsid w:val="13F86586"/>
    <w:rsid w:val="144D6A10"/>
    <w:rsid w:val="14996A51"/>
    <w:rsid w:val="14B20F69"/>
    <w:rsid w:val="14ED59A9"/>
    <w:rsid w:val="153E61F1"/>
    <w:rsid w:val="15814660"/>
    <w:rsid w:val="15C0622B"/>
    <w:rsid w:val="15C3558F"/>
    <w:rsid w:val="15E433A4"/>
    <w:rsid w:val="16565924"/>
    <w:rsid w:val="17793FC0"/>
    <w:rsid w:val="180C0000"/>
    <w:rsid w:val="18196493"/>
    <w:rsid w:val="18E71B8F"/>
    <w:rsid w:val="19836A30"/>
    <w:rsid w:val="19946E8F"/>
    <w:rsid w:val="19E666B7"/>
    <w:rsid w:val="1AAC31E9"/>
    <w:rsid w:val="1AB01AA7"/>
    <w:rsid w:val="1AF04599"/>
    <w:rsid w:val="1B6531D3"/>
    <w:rsid w:val="1B7E1BA5"/>
    <w:rsid w:val="1B882A24"/>
    <w:rsid w:val="1BA809D0"/>
    <w:rsid w:val="1C1B78F6"/>
    <w:rsid w:val="1C360A6E"/>
    <w:rsid w:val="1CBF76DB"/>
    <w:rsid w:val="1CF96B9F"/>
    <w:rsid w:val="1E4C1AE7"/>
    <w:rsid w:val="1EBA1146"/>
    <w:rsid w:val="1EC41FC5"/>
    <w:rsid w:val="1F4712C6"/>
    <w:rsid w:val="20AF45AF"/>
    <w:rsid w:val="20B00A53"/>
    <w:rsid w:val="21115269"/>
    <w:rsid w:val="216D06F2"/>
    <w:rsid w:val="21843C8D"/>
    <w:rsid w:val="219B3B3D"/>
    <w:rsid w:val="21C83B7A"/>
    <w:rsid w:val="21F9443D"/>
    <w:rsid w:val="22630065"/>
    <w:rsid w:val="229D5007"/>
    <w:rsid w:val="22A0449B"/>
    <w:rsid w:val="22CD6F6E"/>
    <w:rsid w:val="23014331"/>
    <w:rsid w:val="233347FC"/>
    <w:rsid w:val="23767606"/>
    <w:rsid w:val="23B359BE"/>
    <w:rsid w:val="23C210A7"/>
    <w:rsid w:val="23DC56BB"/>
    <w:rsid w:val="242332EA"/>
    <w:rsid w:val="24337556"/>
    <w:rsid w:val="243437FC"/>
    <w:rsid w:val="24A8657A"/>
    <w:rsid w:val="24F0352B"/>
    <w:rsid w:val="24FD0A68"/>
    <w:rsid w:val="25072C0B"/>
    <w:rsid w:val="250A44A9"/>
    <w:rsid w:val="252709A9"/>
    <w:rsid w:val="2540611D"/>
    <w:rsid w:val="254A2AF8"/>
    <w:rsid w:val="255B3C04"/>
    <w:rsid w:val="255F2A47"/>
    <w:rsid w:val="25755DC7"/>
    <w:rsid w:val="25757B75"/>
    <w:rsid w:val="258F13C6"/>
    <w:rsid w:val="25A20B86"/>
    <w:rsid w:val="25CE54D7"/>
    <w:rsid w:val="26141660"/>
    <w:rsid w:val="26245AC7"/>
    <w:rsid w:val="26557F83"/>
    <w:rsid w:val="27083E74"/>
    <w:rsid w:val="271F498F"/>
    <w:rsid w:val="272B4E59"/>
    <w:rsid w:val="27821E79"/>
    <w:rsid w:val="27932534"/>
    <w:rsid w:val="27E92A9C"/>
    <w:rsid w:val="280478D6"/>
    <w:rsid w:val="281D62A2"/>
    <w:rsid w:val="286916DB"/>
    <w:rsid w:val="28BC5ABB"/>
    <w:rsid w:val="28CF1C92"/>
    <w:rsid w:val="28D86574"/>
    <w:rsid w:val="294C6E3F"/>
    <w:rsid w:val="2A3D0E7D"/>
    <w:rsid w:val="2A585CB7"/>
    <w:rsid w:val="2AE17BB5"/>
    <w:rsid w:val="2AF7727E"/>
    <w:rsid w:val="2B004385"/>
    <w:rsid w:val="2B1716CE"/>
    <w:rsid w:val="2BDE2AE3"/>
    <w:rsid w:val="2C701096"/>
    <w:rsid w:val="2CD679D5"/>
    <w:rsid w:val="2CDC08C3"/>
    <w:rsid w:val="2D0068BE"/>
    <w:rsid w:val="2D6A1F89"/>
    <w:rsid w:val="2E185D1A"/>
    <w:rsid w:val="2E53092E"/>
    <w:rsid w:val="2ED718A0"/>
    <w:rsid w:val="2F1877C3"/>
    <w:rsid w:val="2F25260C"/>
    <w:rsid w:val="2F642A08"/>
    <w:rsid w:val="2F860BD0"/>
    <w:rsid w:val="2FA03FC4"/>
    <w:rsid w:val="2FC20FDD"/>
    <w:rsid w:val="2FF26EB3"/>
    <w:rsid w:val="3014442E"/>
    <w:rsid w:val="30A752A2"/>
    <w:rsid w:val="30C03516"/>
    <w:rsid w:val="313E5C07"/>
    <w:rsid w:val="31682C84"/>
    <w:rsid w:val="31A87524"/>
    <w:rsid w:val="31F44517"/>
    <w:rsid w:val="324E00CB"/>
    <w:rsid w:val="32B92D00"/>
    <w:rsid w:val="32BD6FFF"/>
    <w:rsid w:val="32D22697"/>
    <w:rsid w:val="32E074AD"/>
    <w:rsid w:val="32E97DF4"/>
    <w:rsid w:val="3314235B"/>
    <w:rsid w:val="338E6D71"/>
    <w:rsid w:val="33B45D0C"/>
    <w:rsid w:val="33F20F2A"/>
    <w:rsid w:val="33F7209D"/>
    <w:rsid w:val="344A4733"/>
    <w:rsid w:val="34503A45"/>
    <w:rsid w:val="349B6ECC"/>
    <w:rsid w:val="34BE4682"/>
    <w:rsid w:val="3566572C"/>
    <w:rsid w:val="35EF6EE4"/>
    <w:rsid w:val="361B6516"/>
    <w:rsid w:val="362545F8"/>
    <w:rsid w:val="3667350A"/>
    <w:rsid w:val="37503F9E"/>
    <w:rsid w:val="37F7266B"/>
    <w:rsid w:val="383337BA"/>
    <w:rsid w:val="38543F62"/>
    <w:rsid w:val="386D0B7F"/>
    <w:rsid w:val="38F512A1"/>
    <w:rsid w:val="3949339B"/>
    <w:rsid w:val="395111E8"/>
    <w:rsid w:val="39693679"/>
    <w:rsid w:val="39B90520"/>
    <w:rsid w:val="39EB4452"/>
    <w:rsid w:val="39FE3F43"/>
    <w:rsid w:val="3A1439A9"/>
    <w:rsid w:val="3A59015E"/>
    <w:rsid w:val="3A910ED2"/>
    <w:rsid w:val="3AB40CE8"/>
    <w:rsid w:val="3ABB02C8"/>
    <w:rsid w:val="3AD26D10"/>
    <w:rsid w:val="3BB230F9"/>
    <w:rsid w:val="3BE15B0C"/>
    <w:rsid w:val="3BF257CA"/>
    <w:rsid w:val="3C075616"/>
    <w:rsid w:val="3C127E96"/>
    <w:rsid w:val="3C5E0B3E"/>
    <w:rsid w:val="3C7200EF"/>
    <w:rsid w:val="3D2739F3"/>
    <w:rsid w:val="3D344362"/>
    <w:rsid w:val="3D7B789B"/>
    <w:rsid w:val="3DD63C16"/>
    <w:rsid w:val="3DDA05E5"/>
    <w:rsid w:val="3E4C030F"/>
    <w:rsid w:val="3F5150F2"/>
    <w:rsid w:val="3F6A765C"/>
    <w:rsid w:val="3F7D78FA"/>
    <w:rsid w:val="3FB05F21"/>
    <w:rsid w:val="40185875"/>
    <w:rsid w:val="401D732F"/>
    <w:rsid w:val="40451C02"/>
    <w:rsid w:val="40503261"/>
    <w:rsid w:val="40A67324"/>
    <w:rsid w:val="40AA687D"/>
    <w:rsid w:val="411E7700"/>
    <w:rsid w:val="41272213"/>
    <w:rsid w:val="41BD66D4"/>
    <w:rsid w:val="41CB242A"/>
    <w:rsid w:val="41D61543"/>
    <w:rsid w:val="42181B5C"/>
    <w:rsid w:val="42C63A64"/>
    <w:rsid w:val="42DA5063"/>
    <w:rsid w:val="42DC702D"/>
    <w:rsid w:val="431344AA"/>
    <w:rsid w:val="436112E1"/>
    <w:rsid w:val="43805C0B"/>
    <w:rsid w:val="43CA157C"/>
    <w:rsid w:val="43DD12AF"/>
    <w:rsid w:val="43FA1F6F"/>
    <w:rsid w:val="444C2BC0"/>
    <w:rsid w:val="446612A5"/>
    <w:rsid w:val="44CB735A"/>
    <w:rsid w:val="44D677B2"/>
    <w:rsid w:val="44F81C3C"/>
    <w:rsid w:val="45264590"/>
    <w:rsid w:val="45C142B9"/>
    <w:rsid w:val="46040D75"/>
    <w:rsid w:val="461E795D"/>
    <w:rsid w:val="464E6A92"/>
    <w:rsid w:val="46C73B51"/>
    <w:rsid w:val="46DF70EC"/>
    <w:rsid w:val="4756601E"/>
    <w:rsid w:val="47643C7B"/>
    <w:rsid w:val="47864F63"/>
    <w:rsid w:val="47A37D6C"/>
    <w:rsid w:val="484511D1"/>
    <w:rsid w:val="489839F7"/>
    <w:rsid w:val="48A56114"/>
    <w:rsid w:val="4A99572F"/>
    <w:rsid w:val="4AB21A98"/>
    <w:rsid w:val="4AD4683C"/>
    <w:rsid w:val="4B726781"/>
    <w:rsid w:val="4B7D6F06"/>
    <w:rsid w:val="4B7F5343"/>
    <w:rsid w:val="4BDC1E4C"/>
    <w:rsid w:val="4BE33F9B"/>
    <w:rsid w:val="4C123AC0"/>
    <w:rsid w:val="4C8A2770"/>
    <w:rsid w:val="4C910E89"/>
    <w:rsid w:val="4CDB0356"/>
    <w:rsid w:val="4CF3569F"/>
    <w:rsid w:val="4D744294"/>
    <w:rsid w:val="4E141B5F"/>
    <w:rsid w:val="4E7520E4"/>
    <w:rsid w:val="4F132029"/>
    <w:rsid w:val="4F2C7344"/>
    <w:rsid w:val="4F8545A9"/>
    <w:rsid w:val="4FDD63B1"/>
    <w:rsid w:val="50396934"/>
    <w:rsid w:val="50E0152B"/>
    <w:rsid w:val="50F07DF4"/>
    <w:rsid w:val="515661FD"/>
    <w:rsid w:val="5181771E"/>
    <w:rsid w:val="51D0115E"/>
    <w:rsid w:val="520E0886"/>
    <w:rsid w:val="52251F91"/>
    <w:rsid w:val="52302970"/>
    <w:rsid w:val="5345477B"/>
    <w:rsid w:val="538B0583"/>
    <w:rsid w:val="538E7ED0"/>
    <w:rsid w:val="539423C3"/>
    <w:rsid w:val="542E16B3"/>
    <w:rsid w:val="54334068"/>
    <w:rsid w:val="54D758A7"/>
    <w:rsid w:val="559D0A05"/>
    <w:rsid w:val="55CA674D"/>
    <w:rsid w:val="55E71B19"/>
    <w:rsid w:val="564451BE"/>
    <w:rsid w:val="56692FD1"/>
    <w:rsid w:val="56AE3515"/>
    <w:rsid w:val="56B37C4E"/>
    <w:rsid w:val="57511940"/>
    <w:rsid w:val="578B0416"/>
    <w:rsid w:val="57A75A04"/>
    <w:rsid w:val="57CB2C96"/>
    <w:rsid w:val="58207565"/>
    <w:rsid w:val="58767185"/>
    <w:rsid w:val="58A60278"/>
    <w:rsid w:val="58DC348C"/>
    <w:rsid w:val="590A14DD"/>
    <w:rsid w:val="59894B9F"/>
    <w:rsid w:val="59AA4E99"/>
    <w:rsid w:val="59CF35C4"/>
    <w:rsid w:val="59EA607C"/>
    <w:rsid w:val="5A2F1CE1"/>
    <w:rsid w:val="5A3442E8"/>
    <w:rsid w:val="5ACF3815"/>
    <w:rsid w:val="5AE96334"/>
    <w:rsid w:val="5AFC6067"/>
    <w:rsid w:val="5B832808"/>
    <w:rsid w:val="5D192F00"/>
    <w:rsid w:val="5D691C96"/>
    <w:rsid w:val="5DAB2539"/>
    <w:rsid w:val="5DB1138B"/>
    <w:rsid w:val="5DF11787"/>
    <w:rsid w:val="5DFE5C52"/>
    <w:rsid w:val="5E1831B8"/>
    <w:rsid w:val="5E6A32E8"/>
    <w:rsid w:val="5E7B72A3"/>
    <w:rsid w:val="5EB321F2"/>
    <w:rsid w:val="5EE906B0"/>
    <w:rsid w:val="5F874378"/>
    <w:rsid w:val="5F922AF6"/>
    <w:rsid w:val="5F9A4E71"/>
    <w:rsid w:val="5FA52946"/>
    <w:rsid w:val="5FB32A6C"/>
    <w:rsid w:val="5FCA4645"/>
    <w:rsid w:val="5FCA6734"/>
    <w:rsid w:val="5FD6153C"/>
    <w:rsid w:val="608A5EC3"/>
    <w:rsid w:val="61060C10"/>
    <w:rsid w:val="61164A61"/>
    <w:rsid w:val="61375910"/>
    <w:rsid w:val="61435CBB"/>
    <w:rsid w:val="61457E1B"/>
    <w:rsid w:val="61BA27D8"/>
    <w:rsid w:val="61CA2A1B"/>
    <w:rsid w:val="61CB0541"/>
    <w:rsid w:val="61E84C4F"/>
    <w:rsid w:val="62BD432E"/>
    <w:rsid w:val="62C51434"/>
    <w:rsid w:val="62FB4E56"/>
    <w:rsid w:val="634A5052"/>
    <w:rsid w:val="63626BC7"/>
    <w:rsid w:val="63974B7F"/>
    <w:rsid w:val="63B7355E"/>
    <w:rsid w:val="63EA57DA"/>
    <w:rsid w:val="63FE69AC"/>
    <w:rsid w:val="64151F48"/>
    <w:rsid w:val="64161DA3"/>
    <w:rsid w:val="644F0FB6"/>
    <w:rsid w:val="649D35AC"/>
    <w:rsid w:val="64A4784A"/>
    <w:rsid w:val="64CF659A"/>
    <w:rsid w:val="64D450D8"/>
    <w:rsid w:val="655F17D4"/>
    <w:rsid w:val="65A65A24"/>
    <w:rsid w:val="65F75DA9"/>
    <w:rsid w:val="66017845"/>
    <w:rsid w:val="668533B4"/>
    <w:rsid w:val="66E85FF5"/>
    <w:rsid w:val="66F64EC4"/>
    <w:rsid w:val="670378F6"/>
    <w:rsid w:val="671D6C79"/>
    <w:rsid w:val="67544B35"/>
    <w:rsid w:val="67695FB4"/>
    <w:rsid w:val="67803B7C"/>
    <w:rsid w:val="67C577E1"/>
    <w:rsid w:val="68684D3A"/>
    <w:rsid w:val="688650A3"/>
    <w:rsid w:val="68E1689C"/>
    <w:rsid w:val="68F70F0F"/>
    <w:rsid w:val="696574CD"/>
    <w:rsid w:val="69CE0BCF"/>
    <w:rsid w:val="6A273964"/>
    <w:rsid w:val="6A794FDE"/>
    <w:rsid w:val="6A8E035E"/>
    <w:rsid w:val="6AA61B4B"/>
    <w:rsid w:val="6AE837C0"/>
    <w:rsid w:val="6B4E646B"/>
    <w:rsid w:val="6BAF3479"/>
    <w:rsid w:val="6BC14A92"/>
    <w:rsid w:val="6C5669A6"/>
    <w:rsid w:val="6C635F46"/>
    <w:rsid w:val="6CBF6EF4"/>
    <w:rsid w:val="6CC12C6C"/>
    <w:rsid w:val="6D317DF2"/>
    <w:rsid w:val="6D4573FA"/>
    <w:rsid w:val="6D4B0D11"/>
    <w:rsid w:val="6D57712D"/>
    <w:rsid w:val="6D58657C"/>
    <w:rsid w:val="6DDB5FB0"/>
    <w:rsid w:val="6DFA1AA7"/>
    <w:rsid w:val="6E146DCC"/>
    <w:rsid w:val="6E1F5E9D"/>
    <w:rsid w:val="6E4C0C5C"/>
    <w:rsid w:val="6E511F00"/>
    <w:rsid w:val="6E9F2B3A"/>
    <w:rsid w:val="6EA14152"/>
    <w:rsid w:val="6EC627BC"/>
    <w:rsid w:val="6F8B07EA"/>
    <w:rsid w:val="6FAF14A2"/>
    <w:rsid w:val="6FB10D76"/>
    <w:rsid w:val="6FE532F1"/>
    <w:rsid w:val="701B2694"/>
    <w:rsid w:val="70231548"/>
    <w:rsid w:val="71145A61"/>
    <w:rsid w:val="71662034"/>
    <w:rsid w:val="71696298"/>
    <w:rsid w:val="716F4C2B"/>
    <w:rsid w:val="71C56D5B"/>
    <w:rsid w:val="71D74828"/>
    <w:rsid w:val="72141A90"/>
    <w:rsid w:val="728A45F4"/>
    <w:rsid w:val="728C1627"/>
    <w:rsid w:val="72BB498D"/>
    <w:rsid w:val="72C94629"/>
    <w:rsid w:val="72FC1311"/>
    <w:rsid w:val="730A5F6A"/>
    <w:rsid w:val="73274B12"/>
    <w:rsid w:val="7386076C"/>
    <w:rsid w:val="73E536E4"/>
    <w:rsid w:val="74B03CF2"/>
    <w:rsid w:val="74C925A6"/>
    <w:rsid w:val="74E86974"/>
    <w:rsid w:val="75701C77"/>
    <w:rsid w:val="759A22AD"/>
    <w:rsid w:val="75B07D22"/>
    <w:rsid w:val="75CD29B6"/>
    <w:rsid w:val="75FD6934"/>
    <w:rsid w:val="7677698F"/>
    <w:rsid w:val="76C45833"/>
    <w:rsid w:val="76DE7412"/>
    <w:rsid w:val="774B1AB0"/>
    <w:rsid w:val="775557EE"/>
    <w:rsid w:val="78197E01"/>
    <w:rsid w:val="78A438C9"/>
    <w:rsid w:val="78AD22F7"/>
    <w:rsid w:val="78CC3CF7"/>
    <w:rsid w:val="78D76B8F"/>
    <w:rsid w:val="78DB6E64"/>
    <w:rsid w:val="79756248"/>
    <w:rsid w:val="797D4961"/>
    <w:rsid w:val="79A6126A"/>
    <w:rsid w:val="79C43D9C"/>
    <w:rsid w:val="7A744480"/>
    <w:rsid w:val="7A817EAD"/>
    <w:rsid w:val="7AB756AF"/>
    <w:rsid w:val="7ADE6B49"/>
    <w:rsid w:val="7B0A41E6"/>
    <w:rsid w:val="7BC71922"/>
    <w:rsid w:val="7BE10C35"/>
    <w:rsid w:val="7BE35A96"/>
    <w:rsid w:val="7C346788"/>
    <w:rsid w:val="7C484810"/>
    <w:rsid w:val="7C6D071B"/>
    <w:rsid w:val="7CA413CC"/>
    <w:rsid w:val="7CA57EB5"/>
    <w:rsid w:val="7CCC56AB"/>
    <w:rsid w:val="7CFB165D"/>
    <w:rsid w:val="7CFE4B12"/>
    <w:rsid w:val="7CFF06D7"/>
    <w:rsid w:val="7D0A3FA7"/>
    <w:rsid w:val="7D0A41BC"/>
    <w:rsid w:val="7D5E522E"/>
    <w:rsid w:val="7D692C90"/>
    <w:rsid w:val="7DAF266D"/>
    <w:rsid w:val="7DCC1471"/>
    <w:rsid w:val="7E3F7E95"/>
    <w:rsid w:val="7F062761"/>
    <w:rsid w:val="7FA6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99"/>
    <w:pPr>
      <w:ind w:firstLine="420" w:firstLineChars="200"/>
    </w:pPr>
    <w:rPr>
      <w:rFonts w:ascii="Arial" w:hAnsi="Arial"/>
    </w:rPr>
  </w:style>
  <w:style w:type="paragraph" w:styleId="7">
    <w:name w:val="Body Text"/>
    <w:basedOn w:val="1"/>
    <w:semiHidden/>
    <w:qFormat/>
    <w:uiPriority w:val="0"/>
    <w:rPr>
      <w:rFonts w:ascii="宋体" w:hAnsi="宋体" w:eastAsia="宋体" w:cs="宋体"/>
      <w:sz w:val="31"/>
      <w:szCs w:val="31"/>
      <w:lang w:val="en-US" w:eastAsia="en-US" w:bidi="ar-S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Normal (Web)"/>
    <w:basedOn w:val="1"/>
    <w:qFormat/>
    <w:uiPriority w:val="0"/>
    <w:rPr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paragraph" w:styleId="15">
    <w:name w:val="No Spacing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7">
    <w:name w:val="Table Paragraph"/>
    <w:basedOn w:val="1"/>
    <w:qFormat/>
    <w:uiPriority w:val="1"/>
    <w:pPr>
      <w:autoSpaceDE w:val="0"/>
      <w:autoSpaceDN w:val="0"/>
      <w:spacing w:before="81"/>
      <w:ind w:left="108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2706</Words>
  <Characters>2830</Characters>
  <Lines>0</Lines>
  <Paragraphs>0</Paragraphs>
  <TotalTime>0</TotalTime>
  <ScaleCrop>false</ScaleCrop>
  <LinksUpToDate>false</LinksUpToDate>
  <CharactersWithSpaces>2912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2025-08-03T15:18:00Z</dcterms:created>
  <dc:creator>18442</dc:creator>
  <cp:lastModifiedBy>郝宇</cp:lastModifiedBy>
  <dcterms:modified xsi:type="dcterms:W3CDTF">2025-08-29T07:44:33Z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eyJoZGlkIjoiMDY5NmFjMmM4ZTljMGJiZDAxN2JmYTc0NGI0NmFiNDgiLCJ1c2VySWQiOiIxMDc1MzgyOSJ9</vt:lpwstr>
  </property>
  <property fmtid="{D5CDD505-2E9C-101B-9397-08002B2CF9AE}" pid="4" name="ICV">
    <vt:lpwstr>AAD92EDC3E7E46618801A1C013CB6EB4_12</vt:lpwstr>
  </property>
</Properties>
</file>