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E5C5C">
      <w:pPr>
        <w:pStyle w:val="2"/>
        <w:spacing w:line="245" w:lineRule="auto"/>
      </w:pPr>
    </w:p>
    <w:p w14:paraId="7C671F8B">
      <w:pPr>
        <w:pStyle w:val="2"/>
        <w:spacing w:line="245" w:lineRule="auto"/>
      </w:pPr>
    </w:p>
    <w:p w14:paraId="1D51BB3B">
      <w:pPr>
        <w:pStyle w:val="2"/>
        <w:spacing w:line="246" w:lineRule="auto"/>
      </w:pPr>
    </w:p>
    <w:p w14:paraId="42F9159C">
      <w:pPr>
        <w:pStyle w:val="2"/>
        <w:spacing w:line="246" w:lineRule="auto"/>
      </w:pPr>
    </w:p>
    <w:p w14:paraId="4335C1F5">
      <w:pPr>
        <w:pStyle w:val="2"/>
        <w:spacing w:line="246" w:lineRule="auto"/>
      </w:pPr>
    </w:p>
    <w:p w14:paraId="0DE036CE">
      <w:pPr>
        <w:pStyle w:val="2"/>
        <w:spacing w:line="246" w:lineRule="auto"/>
      </w:pPr>
    </w:p>
    <w:p w14:paraId="5B43D0C4">
      <w:pPr>
        <w:pStyle w:val="2"/>
        <w:spacing w:line="246" w:lineRule="auto"/>
      </w:pPr>
    </w:p>
    <w:p w14:paraId="0DE98D90">
      <w:pPr>
        <w:pStyle w:val="2"/>
        <w:spacing w:line="246" w:lineRule="auto"/>
      </w:pPr>
    </w:p>
    <w:p w14:paraId="67F3C0A3">
      <w:pPr>
        <w:spacing w:before="169" w:line="221" w:lineRule="auto"/>
        <w:ind w:left="3775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7706"/>
      <w:r>
        <w:rPr>
          <w:rFonts w:ascii="宋体" w:hAnsi="宋体" w:eastAsia="宋体" w:cs="宋体"/>
          <w:b/>
          <w:bCs/>
          <w:spacing w:val="-10"/>
          <w:sz w:val="52"/>
          <w:szCs w:val="52"/>
        </w:rPr>
        <w:t>可用性计划</w:t>
      </w:r>
      <w:bookmarkEnd w:id="0"/>
    </w:p>
    <w:p w14:paraId="4F69F90B">
      <w:pPr>
        <w:pStyle w:val="2"/>
        <w:spacing w:line="247" w:lineRule="auto"/>
        <w:jc w:val="center"/>
        <w:rPr>
          <w:position w:val="-25"/>
        </w:rPr>
      </w:pPr>
    </w:p>
    <w:p w14:paraId="23A95B7C">
      <w:pPr>
        <w:pStyle w:val="2"/>
        <w:spacing w:line="247" w:lineRule="auto"/>
        <w:jc w:val="center"/>
        <w:rPr>
          <w:position w:val="-25"/>
        </w:rPr>
      </w:pPr>
    </w:p>
    <w:p w14:paraId="339A170C">
      <w:pPr>
        <w:pStyle w:val="2"/>
        <w:spacing w:line="247" w:lineRule="auto"/>
        <w:jc w:val="center"/>
        <w:rPr>
          <w:position w:val="-25"/>
        </w:rPr>
      </w:pPr>
    </w:p>
    <w:p w14:paraId="0502FD32">
      <w:pPr>
        <w:pStyle w:val="2"/>
        <w:spacing w:line="247" w:lineRule="auto"/>
        <w:jc w:val="center"/>
        <w:rPr>
          <w:position w:val="-25"/>
        </w:rPr>
      </w:pPr>
    </w:p>
    <w:p w14:paraId="29C6B386">
      <w:pPr>
        <w:pStyle w:val="2"/>
        <w:spacing w:line="247" w:lineRule="auto"/>
        <w:jc w:val="center"/>
        <w:rPr>
          <w:position w:val="-25"/>
        </w:rPr>
      </w:pPr>
    </w:p>
    <w:p w14:paraId="46D29297">
      <w:pPr>
        <w:pStyle w:val="2"/>
        <w:spacing w:line="247" w:lineRule="auto"/>
        <w:jc w:val="center"/>
        <w:rPr>
          <w:position w:val="-25"/>
        </w:rPr>
      </w:pPr>
    </w:p>
    <w:p w14:paraId="5EEBE303">
      <w:pPr>
        <w:pStyle w:val="2"/>
        <w:spacing w:line="247" w:lineRule="auto"/>
        <w:jc w:val="center"/>
        <w:rPr>
          <w:position w:val="-25"/>
        </w:rPr>
      </w:pPr>
    </w:p>
    <w:p w14:paraId="4DF3B04E">
      <w:pPr>
        <w:pStyle w:val="2"/>
        <w:spacing w:line="247" w:lineRule="auto"/>
        <w:jc w:val="center"/>
        <w:rPr>
          <w:position w:val="-25"/>
        </w:rPr>
      </w:pPr>
    </w:p>
    <w:p w14:paraId="09FCFB01">
      <w:pPr>
        <w:pStyle w:val="2"/>
        <w:spacing w:line="247" w:lineRule="auto"/>
        <w:jc w:val="center"/>
        <w:rPr>
          <w:position w:val="-25"/>
        </w:rPr>
      </w:pPr>
    </w:p>
    <w:p w14:paraId="6C78EDCC">
      <w:pPr>
        <w:pStyle w:val="2"/>
        <w:spacing w:line="247" w:lineRule="auto"/>
        <w:jc w:val="center"/>
        <w:rPr>
          <w:position w:val="-25"/>
        </w:rPr>
      </w:pPr>
    </w:p>
    <w:p w14:paraId="337096F2">
      <w:pPr>
        <w:pStyle w:val="2"/>
        <w:spacing w:line="247" w:lineRule="auto"/>
        <w:jc w:val="center"/>
        <w:rPr>
          <w:position w:val="-25"/>
        </w:rPr>
      </w:pPr>
    </w:p>
    <w:p w14:paraId="5BB93802">
      <w:pPr>
        <w:pStyle w:val="2"/>
        <w:spacing w:line="247" w:lineRule="auto"/>
        <w:jc w:val="center"/>
        <w:rPr>
          <w:position w:val="-25"/>
        </w:rPr>
      </w:pPr>
    </w:p>
    <w:p w14:paraId="0E5AC480">
      <w:pPr>
        <w:pStyle w:val="2"/>
        <w:spacing w:line="247" w:lineRule="auto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3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71C">
      <w:pPr>
        <w:pStyle w:val="2"/>
        <w:spacing w:line="247" w:lineRule="auto"/>
      </w:pPr>
    </w:p>
    <w:p w14:paraId="3EE1E27A">
      <w:pPr>
        <w:pStyle w:val="2"/>
        <w:spacing w:line="247" w:lineRule="auto"/>
      </w:pPr>
    </w:p>
    <w:p w14:paraId="0FC943E9">
      <w:pPr>
        <w:pStyle w:val="2"/>
        <w:spacing w:line="247" w:lineRule="auto"/>
      </w:pPr>
    </w:p>
    <w:p w14:paraId="5C117171">
      <w:pPr>
        <w:pStyle w:val="2"/>
        <w:spacing w:line="247" w:lineRule="auto"/>
      </w:pPr>
    </w:p>
    <w:p w14:paraId="36180138">
      <w:pPr>
        <w:pStyle w:val="2"/>
        <w:spacing w:line="247" w:lineRule="auto"/>
      </w:pPr>
    </w:p>
    <w:p w14:paraId="45EC6778">
      <w:pPr>
        <w:pStyle w:val="2"/>
        <w:spacing w:line="247" w:lineRule="auto"/>
      </w:pPr>
    </w:p>
    <w:p w14:paraId="71B6D64F">
      <w:pPr>
        <w:pStyle w:val="2"/>
        <w:spacing w:line="247" w:lineRule="auto"/>
      </w:pPr>
    </w:p>
    <w:p w14:paraId="71DE7F0B">
      <w:pPr>
        <w:pStyle w:val="2"/>
        <w:spacing w:line="247" w:lineRule="auto"/>
      </w:pPr>
    </w:p>
    <w:p w14:paraId="7285E604">
      <w:pPr>
        <w:pStyle w:val="2"/>
        <w:spacing w:line="247" w:lineRule="auto"/>
      </w:pPr>
    </w:p>
    <w:p w14:paraId="255CDA9D">
      <w:pPr>
        <w:pStyle w:val="2"/>
        <w:spacing w:line="247" w:lineRule="auto"/>
      </w:pPr>
    </w:p>
    <w:p w14:paraId="02D28D8E">
      <w:pPr>
        <w:pStyle w:val="2"/>
        <w:spacing w:line="247" w:lineRule="auto"/>
      </w:pPr>
    </w:p>
    <w:p w14:paraId="1A24B6DE">
      <w:pPr>
        <w:pStyle w:val="2"/>
        <w:spacing w:line="247" w:lineRule="auto"/>
      </w:pPr>
    </w:p>
    <w:p w14:paraId="459B773F">
      <w:pPr>
        <w:pStyle w:val="2"/>
        <w:spacing w:line="247" w:lineRule="auto"/>
      </w:pPr>
    </w:p>
    <w:p w14:paraId="22C4DEF2">
      <w:pPr>
        <w:spacing w:before="117" w:line="219" w:lineRule="auto"/>
        <w:jc w:val="center"/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C0E3D7B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1702F0CE">
      <w:pPr>
        <w:pStyle w:val="2"/>
        <w:spacing w:line="247" w:lineRule="auto"/>
      </w:pPr>
    </w:p>
    <w:p w14:paraId="5FFB2EB5">
      <w:pPr>
        <w:pStyle w:val="2"/>
        <w:spacing w:line="247" w:lineRule="auto"/>
      </w:pPr>
    </w:p>
    <w:p w14:paraId="7DAEF897">
      <w:pPr>
        <w:pStyle w:val="2"/>
        <w:spacing w:line="247" w:lineRule="auto"/>
      </w:pPr>
    </w:p>
    <w:p w14:paraId="04F5A183">
      <w:pPr>
        <w:pStyle w:val="2"/>
        <w:spacing w:line="247" w:lineRule="auto"/>
      </w:pPr>
    </w:p>
    <w:p w14:paraId="74558563">
      <w:r>
        <w:br w:type="page"/>
      </w: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1098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10C76F80">
      <w:pPr>
        <w:spacing w:line="16" w:lineRule="exact"/>
      </w:pPr>
    </w:p>
    <w:tbl>
      <w:tblPr>
        <w:tblStyle w:val="7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8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8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可用性计划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KYXJH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8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8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8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8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8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8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8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8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8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8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8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4B6CF0E8">
            <w:pPr>
              <w:pStyle w:val="8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8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8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8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8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8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8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8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8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8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8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8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8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8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8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8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18E74BC2">
      <w:r>
        <w:br w:type="page"/>
      </w:r>
    </w:p>
    <w:p w14:paraId="5D9B4A69">
      <w:pPr>
        <w:pStyle w:val="2"/>
        <w:spacing w:line="336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254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61B33A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6817020E">
          <w:pPr>
            <w:pStyle w:val="3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可用性计划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FAA24A">
          <w:pPr>
            <w:pStyle w:val="3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D0F9A44">
          <w:pPr>
            <w:pStyle w:val="4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_Toc21953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3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spacing w:val="11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3"/>
              <w:sz w:val="24"/>
              <w:szCs w:val="24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_Toc21953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6C7D8F">
          <w:pPr>
            <w:pStyle w:val="4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_Toc25411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spacing w:val="7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_Toc25411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9F1D43">
          <w:pPr>
            <w:pStyle w:val="4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_Toc27069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spacing w:val="6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可用性需求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_Toc27069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6FFA47">
          <w:pPr>
            <w:pStyle w:val="4"/>
            <w:tabs>
              <w:tab w:val="right" w:leader="dot" w:pos="974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_Toc27456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spacing w:val="7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检测、维护及恢复方案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697DC06">
          <w:pPr>
            <w:pStyle w:val="2"/>
            <w:spacing w:line="337" w:lineRule="auto"/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br w:type="page"/>
          </w:r>
        </w:p>
        <w:p w14:paraId="2CFA9CE0">
          <w:pPr>
            <w:pStyle w:val="2"/>
            <w:spacing w:line="337" w:lineRule="auto"/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</w:p>
      </w:sdtContent>
    </w:sdt>
    <w:p w14:paraId="56438E3F">
      <w:pPr>
        <w:pStyle w:val="2"/>
        <w:spacing w:line="337" w:lineRule="auto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613086EB">
      <w:pPr>
        <w:spacing w:before="78" w:line="222" w:lineRule="auto"/>
        <w:ind w:left="19"/>
        <w:outlineLvl w:val="1"/>
        <w:rPr>
          <w:rFonts w:ascii="宋体" w:hAnsi="宋体" w:eastAsia="宋体" w:cs="宋体"/>
          <w:sz w:val="24"/>
          <w:szCs w:val="24"/>
        </w:rPr>
      </w:pPr>
      <w:bookmarkStart w:id="2" w:name="_Toc21953"/>
      <w:r>
        <w:rPr>
          <w:rFonts w:ascii="宋体" w:hAnsi="宋体" w:eastAsia="宋体" w:cs="宋体"/>
          <w:b/>
          <w:bCs/>
          <w:spacing w:val="-23"/>
          <w:sz w:val="24"/>
          <w:szCs w:val="24"/>
        </w:rPr>
        <w:t>1.</w:t>
      </w:r>
      <w:r>
        <w:rPr>
          <w:rFonts w:ascii="宋体" w:hAnsi="宋体" w:eastAsia="宋体" w:cs="宋体"/>
          <w:spacing w:val="113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3"/>
          <w:sz w:val="24"/>
          <w:szCs w:val="24"/>
        </w:rPr>
        <w:t>目的</w:t>
      </w:r>
      <w:bookmarkEnd w:id="2"/>
    </w:p>
    <w:p w14:paraId="7059D52C">
      <w:pPr>
        <w:spacing w:before="174" w:line="380" w:lineRule="auto"/>
        <w:ind w:right="11" w:firstLine="4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6"/>
          <w:sz w:val="20"/>
          <w:szCs w:val="20"/>
        </w:rPr>
        <w:t>实施可用性计划的目的是提高风险评估报告实施成功率，使整个风险评估报告在关键时候使用有依</w:t>
      </w:r>
      <w:r>
        <w:rPr>
          <w:rFonts w:ascii="宋体" w:hAnsi="宋体" w:eastAsia="宋体" w:cs="宋体"/>
          <w:spacing w:val="7"/>
          <w:sz w:val="20"/>
          <w:szCs w:val="20"/>
        </w:rPr>
        <w:t>据，按照计划实施。</w:t>
      </w:r>
    </w:p>
    <w:p w14:paraId="6DCCE725">
      <w:pPr>
        <w:spacing w:line="220" w:lineRule="auto"/>
        <w:ind w:left="4"/>
        <w:outlineLvl w:val="1"/>
        <w:rPr>
          <w:rFonts w:ascii="宋体" w:hAnsi="宋体" w:eastAsia="宋体" w:cs="宋体"/>
          <w:sz w:val="24"/>
          <w:szCs w:val="24"/>
        </w:rPr>
      </w:pPr>
      <w:bookmarkStart w:id="3" w:name="_Toc25411"/>
      <w:r>
        <w:rPr>
          <w:rFonts w:ascii="宋体" w:hAnsi="宋体" w:eastAsia="宋体" w:cs="宋体"/>
          <w:b/>
          <w:bCs/>
          <w:spacing w:val="-9"/>
          <w:sz w:val="24"/>
          <w:szCs w:val="24"/>
        </w:rPr>
        <w:t>2.</w:t>
      </w:r>
      <w:r>
        <w:rPr>
          <w:rFonts w:ascii="宋体" w:hAnsi="宋体" w:eastAsia="宋体" w:cs="宋体"/>
          <w:spacing w:val="7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24"/>
          <w:szCs w:val="24"/>
        </w:rPr>
        <w:t>范围</w:t>
      </w:r>
      <w:bookmarkEnd w:id="3"/>
    </w:p>
    <w:p w14:paraId="622E0F58">
      <w:pPr>
        <w:spacing w:before="176" w:line="228" w:lineRule="auto"/>
        <w:ind w:left="4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与运维服务工作及运行中需要的设施及系统</w:t>
      </w:r>
    </w:p>
    <w:p w14:paraId="5DE04A8F">
      <w:pPr>
        <w:spacing w:before="168" w:line="220" w:lineRule="auto"/>
        <w:ind w:left="6"/>
        <w:outlineLvl w:val="1"/>
        <w:rPr>
          <w:rFonts w:ascii="宋体" w:hAnsi="宋体" w:eastAsia="宋体" w:cs="宋体"/>
          <w:sz w:val="24"/>
          <w:szCs w:val="24"/>
        </w:rPr>
      </w:pPr>
      <w:bookmarkStart w:id="4" w:name="_Toc27069"/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3.</w:t>
      </w:r>
      <w:r>
        <w:rPr>
          <w:rFonts w:ascii="宋体" w:hAnsi="宋体" w:eastAsia="宋体" w:cs="宋体"/>
          <w:spacing w:val="69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可用性需求</w:t>
      </w:r>
      <w:bookmarkEnd w:id="4"/>
    </w:p>
    <w:p w14:paraId="39ACAF81">
      <w:pPr>
        <w:spacing w:before="177" w:line="228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根据业务需求提出客户的可用性需求，包括系统运行需求和客户服务：</w:t>
      </w:r>
    </w:p>
    <w:p w14:paraId="3FD9FC43">
      <w:pPr>
        <w:spacing w:before="164" w:line="229" w:lineRule="auto"/>
        <w:ind w:left="4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1) 可用时间：7*24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小时</w:t>
      </w:r>
    </w:p>
    <w:p w14:paraId="32FC1EFC">
      <w:pPr>
        <w:spacing w:before="159" w:line="227" w:lineRule="auto"/>
        <w:ind w:left="40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2) 宕机时间：服务器维修升级期间，停止服务器需</w:t>
      </w:r>
      <w:r>
        <w:rPr>
          <w:rFonts w:ascii="宋体" w:hAnsi="宋体" w:eastAsia="宋体" w:cs="宋体"/>
          <w:spacing w:val="8"/>
          <w:sz w:val="20"/>
          <w:szCs w:val="20"/>
        </w:rPr>
        <w:t>提前通知用户</w:t>
      </w:r>
    </w:p>
    <w:p w14:paraId="751C51E8">
      <w:pPr>
        <w:spacing w:before="165" w:line="227" w:lineRule="auto"/>
        <w:ind w:left="40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3) 最低绩效：停机检修安排避开高峰期，一般安排在晚上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7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点，维修时间尽量在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12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小时完成。</w:t>
      </w:r>
    </w:p>
    <w:p w14:paraId="0F8C4962">
      <w:pPr>
        <w:spacing w:before="165" w:line="226" w:lineRule="auto"/>
        <w:ind w:left="4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4) 可用性报告以及报告的频率：可用性负责人编写可用性报告，报告</w:t>
      </w:r>
      <w:r>
        <w:rPr>
          <w:rFonts w:ascii="宋体" w:hAnsi="宋体" w:eastAsia="宋体" w:cs="宋体"/>
          <w:spacing w:val="8"/>
          <w:sz w:val="20"/>
          <w:szCs w:val="20"/>
        </w:rPr>
        <w:t>频率定在  每年一次。</w:t>
      </w:r>
    </w:p>
    <w:p w14:paraId="2AD4F5A6">
      <w:pPr>
        <w:spacing w:before="163" w:line="226" w:lineRule="auto"/>
        <w:ind w:left="40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5) 有升级服务发生即要产生可用性报告提交给部门领导。</w:t>
      </w:r>
    </w:p>
    <w:p w14:paraId="4931EB5F">
      <w:pPr>
        <w:spacing w:before="170" w:line="219" w:lineRule="auto"/>
        <w:ind w:left="1"/>
        <w:outlineLvl w:val="1"/>
        <w:rPr>
          <w:rFonts w:ascii="宋体" w:hAnsi="宋体" w:eastAsia="宋体" w:cs="宋体"/>
          <w:sz w:val="24"/>
          <w:szCs w:val="24"/>
        </w:rPr>
      </w:pPr>
      <w:bookmarkStart w:id="5" w:name="_Toc27456"/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4.</w:t>
      </w:r>
      <w:r>
        <w:rPr>
          <w:rFonts w:ascii="宋体" w:hAnsi="宋体" w:eastAsia="宋体" w:cs="宋体"/>
          <w:spacing w:val="7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检测、维护及恢复方案</w:t>
      </w:r>
      <w:bookmarkEnd w:id="5"/>
    </w:p>
    <w:p w14:paraId="3DE419CD">
      <w:pPr>
        <w:spacing w:before="179" w:line="228" w:lineRule="auto"/>
        <w:ind w:left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描述实施可用性计划的日常维护方案及系统恢复方案。</w:t>
      </w:r>
    </w:p>
    <w:p w14:paraId="0C04453D">
      <w:pPr>
        <w:spacing w:before="160" w:line="227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所需资源：安排维护人员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1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名，笔记本电脑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1</w:t>
      </w:r>
      <w:r>
        <w:rPr>
          <w:rFonts w:ascii="宋体" w:hAnsi="宋体" w:eastAsia="宋体" w:cs="宋体"/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台，维护记录本，</w:t>
      </w:r>
      <w:r>
        <w:rPr>
          <w:rFonts w:ascii="宋体" w:hAnsi="宋体" w:eastAsia="宋体" w:cs="宋体"/>
          <w:spacing w:val="6"/>
          <w:sz w:val="20"/>
          <w:szCs w:val="20"/>
        </w:rPr>
        <w:t>维护工具等工具。</w:t>
      </w:r>
    </w:p>
    <w:p w14:paraId="749A6EC3">
      <w:pPr>
        <w:spacing w:before="164" w:line="378" w:lineRule="auto"/>
        <w:ind w:right="9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根据合同要求，发生故障后服务工程师须在</w:t>
      </w:r>
      <w:r>
        <w:rPr>
          <w:rFonts w:ascii="宋体" w:hAnsi="宋体" w:eastAsia="宋体" w:cs="宋体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4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小时内到现场，24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小时内修复。为保证修复质量，配置</w:t>
      </w:r>
      <w:r>
        <w:rPr>
          <w:rFonts w:ascii="宋体" w:hAnsi="宋体" w:eastAsia="宋体" w:cs="宋体"/>
          <w:spacing w:val="8"/>
          <w:sz w:val="20"/>
          <w:szCs w:val="20"/>
        </w:rPr>
        <w:t>全套维修工具，满足客户需求。</w:t>
      </w:r>
    </w:p>
    <w:p w14:paraId="0C8F621D">
      <w:pPr>
        <w:spacing w:before="1" w:line="227" w:lineRule="auto"/>
        <w:ind w:left="4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监视方法：通过定期巡检、系统监控来监视设备运行状况</w:t>
      </w:r>
    </w:p>
    <w:p w14:paraId="232F1B9B">
      <w:pPr>
        <w:spacing w:before="163" w:line="228" w:lineRule="auto"/>
        <w:ind w:left="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与系统相关的管理需求涉及对下列任务的有效</w:t>
      </w:r>
      <w:r>
        <w:rPr>
          <w:rFonts w:ascii="宋体" w:hAnsi="宋体" w:eastAsia="宋体" w:cs="宋体"/>
          <w:spacing w:val="8"/>
          <w:sz w:val="20"/>
          <w:szCs w:val="20"/>
        </w:rPr>
        <w:t>处理：</w:t>
      </w:r>
    </w:p>
    <w:p w14:paraId="4ECCA027">
      <w:pPr>
        <w:spacing w:before="164" w:line="228" w:lineRule="auto"/>
        <w:ind w:left="4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1) 人工巡检：每月巡检一次，填写《巡检记录表》。</w:t>
      </w:r>
    </w:p>
    <w:p w14:paraId="77FEC57B">
      <w:pPr>
        <w:spacing w:before="162" w:line="303" w:lineRule="auto"/>
        <w:ind w:left="426" w:hanging="2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4"/>
          <w:sz w:val="20"/>
          <w:szCs w:val="20"/>
        </w:rPr>
        <w:t>a. 检查硬件设备的温度、运行状态，包括对所有设备做保养维护、性能测试工作，对系统进行优化</w:t>
      </w:r>
      <w:r>
        <w:rPr>
          <w:rFonts w:ascii="宋体" w:hAnsi="宋体" w:eastAsia="宋体" w:cs="宋体"/>
          <w:spacing w:val="-1"/>
          <w:sz w:val="20"/>
          <w:szCs w:val="20"/>
        </w:rPr>
        <w:t>等。</w:t>
      </w:r>
      <w:bookmarkStart w:id="6" w:name="_GoBack"/>
      <w:bookmarkEnd w:id="6"/>
    </w:p>
    <w:p w14:paraId="2D5BE977">
      <w:pPr>
        <w:spacing w:before="161" w:line="228" w:lineRule="auto"/>
        <w:ind w:left="39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b. 检查软件系统的运行情况，包括数据库状态，后台日志和数据备</w:t>
      </w:r>
      <w:r>
        <w:rPr>
          <w:rFonts w:ascii="宋体" w:hAnsi="宋体" w:eastAsia="宋体" w:cs="宋体"/>
          <w:spacing w:val="8"/>
          <w:sz w:val="20"/>
          <w:szCs w:val="20"/>
        </w:rPr>
        <w:t>份情况等。</w:t>
      </w:r>
    </w:p>
    <w:p w14:paraId="54EC74F1">
      <w:pPr>
        <w:spacing w:before="163" w:line="227" w:lineRule="auto"/>
        <w:ind w:left="40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c. 全部检查完之后去维护记录本里登记。</w:t>
      </w:r>
    </w:p>
    <w:p w14:paraId="2B4CBE9C">
      <w:pPr>
        <w:spacing w:before="165" w:line="228" w:lineRule="auto"/>
        <w:ind w:left="40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2) 软件监控：客户监理通过监控系统监控视频设备的运行状况、资源使用情况、系统运行状况等。</w:t>
      </w:r>
    </w:p>
    <w:p w14:paraId="3F762297">
      <w:pPr>
        <w:spacing w:before="161" w:line="228" w:lineRule="auto"/>
        <w:ind w:left="40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a. 密码维护：</w:t>
      </w:r>
      <w:r>
        <w:rPr>
          <w:rFonts w:ascii="宋体" w:hAnsi="宋体" w:eastAsia="宋体" w:cs="宋体"/>
          <w:spacing w:val="-4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由专人维护。</w:t>
      </w:r>
    </w:p>
    <w:p w14:paraId="09254B6A">
      <w:pPr>
        <w:spacing w:before="163" w:line="228" w:lineRule="auto"/>
        <w:ind w:left="39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b. 应急修补方法。</w:t>
      </w:r>
    </w:p>
    <w:p w14:paraId="54D36AAA">
      <w:pPr>
        <w:spacing w:before="163" w:line="228" w:lineRule="auto"/>
        <w:ind w:left="40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c. 操作、监控和诊断技能。</w:t>
      </w:r>
    </w:p>
    <w:p w14:paraId="5696AD47">
      <w:pPr>
        <w:spacing w:before="161" w:line="228" w:lineRule="auto"/>
        <w:ind w:left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可用性计划每</w:t>
      </w:r>
      <w:r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  <w:t>季度</w:t>
      </w:r>
      <w:r>
        <w:rPr>
          <w:rFonts w:ascii="宋体" w:hAnsi="宋体" w:eastAsia="宋体" w:cs="宋体"/>
          <w:spacing w:val="7"/>
          <w:sz w:val="20"/>
          <w:szCs w:val="20"/>
        </w:rPr>
        <w:t>评审一次，</w:t>
      </w:r>
      <w:r>
        <w:rPr>
          <w:rFonts w:ascii="宋体" w:hAnsi="宋体" w:eastAsia="宋体" w:cs="宋体"/>
          <w:spacing w:val="-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以确保计划的可行性。</w:t>
      </w:r>
    </w:p>
    <w:sectPr>
      <w:pgSz w:w="11906" w:h="16838"/>
      <w:pgMar w:top="1431" w:right="1076" w:bottom="0" w:left="10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096F7B"/>
    <w:rsid w:val="09225B1E"/>
    <w:rsid w:val="0E1529C0"/>
    <w:rsid w:val="0E2B1AF1"/>
    <w:rsid w:val="123A0C48"/>
    <w:rsid w:val="13511DA5"/>
    <w:rsid w:val="2F5E167A"/>
    <w:rsid w:val="30C16364"/>
    <w:rsid w:val="37C64260"/>
    <w:rsid w:val="45A312C2"/>
    <w:rsid w:val="49DC123B"/>
    <w:rsid w:val="506568B4"/>
    <w:rsid w:val="516721B8"/>
    <w:rsid w:val="52DD7B03"/>
    <w:rsid w:val="54D9517B"/>
    <w:rsid w:val="55967510"/>
    <w:rsid w:val="55AA2FBB"/>
    <w:rsid w:val="5A1D0200"/>
    <w:rsid w:val="5BA87F9D"/>
    <w:rsid w:val="5DE74DAC"/>
    <w:rsid w:val="605F4176"/>
    <w:rsid w:val="64E738E4"/>
    <w:rsid w:val="69532927"/>
    <w:rsid w:val="75E76DDB"/>
    <w:rsid w:val="75F03DEB"/>
    <w:rsid w:val="76AA651F"/>
    <w:rsid w:val="77894387"/>
    <w:rsid w:val="7A160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795</Words>
  <Characters>866</Characters>
  <TotalTime>0</TotalTime>
  <ScaleCrop>false</ScaleCrop>
  <LinksUpToDate>false</LinksUpToDate>
  <CharactersWithSpaces>909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2025-08-21T09:28:00Z</dcterms:created>
  <dc:creator>18442</dc:creator>
  <cp:lastModifiedBy>郝宇</cp:lastModifiedBy>
  <dcterms:modified xsi:type="dcterms:W3CDTF">2025-08-21T09:58:00Z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03FC1D43EDCA4F5BBA17BEC7C57D6B1F_12</vt:lpwstr>
  </property>
</Properties>
</file>