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BEB3A">
      <w:pPr>
        <w:pStyle w:val="11"/>
        <w:spacing w:line="243" w:lineRule="auto"/>
      </w:pPr>
    </w:p>
    <w:p w14:paraId="0DFE9508">
      <w:pPr>
        <w:pStyle w:val="11"/>
        <w:spacing w:line="243" w:lineRule="auto"/>
      </w:pPr>
    </w:p>
    <w:p w14:paraId="06D7DB7B">
      <w:pPr>
        <w:pStyle w:val="11"/>
        <w:spacing w:line="243" w:lineRule="auto"/>
      </w:pPr>
    </w:p>
    <w:p w14:paraId="3360EE6A">
      <w:pPr>
        <w:pStyle w:val="11"/>
        <w:spacing w:line="243" w:lineRule="auto"/>
      </w:pPr>
    </w:p>
    <w:p w14:paraId="27CF88D8">
      <w:pPr>
        <w:pStyle w:val="11"/>
        <w:spacing w:line="243" w:lineRule="auto"/>
      </w:pPr>
    </w:p>
    <w:p w14:paraId="45A0675B">
      <w:pPr>
        <w:pStyle w:val="11"/>
        <w:spacing w:line="243" w:lineRule="auto"/>
      </w:pPr>
    </w:p>
    <w:p w14:paraId="2801DD63">
      <w:pPr>
        <w:pStyle w:val="11"/>
        <w:spacing w:line="243" w:lineRule="auto"/>
      </w:pPr>
    </w:p>
    <w:p w14:paraId="1634AE72">
      <w:pPr>
        <w:pStyle w:val="11"/>
        <w:spacing w:line="243" w:lineRule="auto"/>
      </w:pPr>
    </w:p>
    <w:p w14:paraId="7F0D7F49">
      <w:pPr>
        <w:pStyle w:val="11"/>
        <w:spacing w:line="244" w:lineRule="auto"/>
      </w:pPr>
    </w:p>
    <w:p w14:paraId="15219DF1">
      <w:pPr>
        <w:spacing w:before="169" w:line="220" w:lineRule="auto"/>
        <w:jc w:val="center"/>
        <w:outlineLvl w:val="0"/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bookmarkStart w:id="0" w:name="_Toc6793"/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连续性计划</w:t>
      </w:r>
      <w:bookmarkEnd w:id="0"/>
    </w:p>
    <w:p w14:paraId="21CA73F2">
      <w:pPr>
        <w:bidi w:val="0"/>
      </w:pPr>
    </w:p>
    <w:p w14:paraId="0E18D828">
      <w:pPr>
        <w:bidi w:val="0"/>
      </w:pPr>
    </w:p>
    <w:p w14:paraId="048CFF98">
      <w:pPr>
        <w:bidi w:val="0"/>
      </w:pPr>
    </w:p>
    <w:p w14:paraId="7BA2E8C9">
      <w:pPr>
        <w:bidi w:val="0"/>
      </w:pPr>
    </w:p>
    <w:p w14:paraId="1C47669C">
      <w:pPr>
        <w:bidi w:val="0"/>
      </w:pPr>
    </w:p>
    <w:p w14:paraId="27A42B41">
      <w:pPr>
        <w:bidi w:val="0"/>
      </w:pPr>
    </w:p>
    <w:p w14:paraId="466232D8">
      <w:pPr>
        <w:bidi w:val="0"/>
      </w:pPr>
    </w:p>
    <w:p w14:paraId="6A980808">
      <w:pPr>
        <w:bidi w:val="0"/>
      </w:pPr>
    </w:p>
    <w:p w14:paraId="0AF735D7">
      <w:pPr>
        <w:bidi w:val="0"/>
      </w:pPr>
    </w:p>
    <w:p w14:paraId="1563F523">
      <w:pPr>
        <w:bidi w:val="0"/>
      </w:pPr>
    </w:p>
    <w:p w14:paraId="508F7545">
      <w:pPr>
        <w:bidi w:val="0"/>
      </w:pPr>
    </w:p>
    <w:p w14:paraId="59D277BE">
      <w:pPr>
        <w:bidi w:val="0"/>
      </w:pPr>
    </w:p>
    <w:p w14:paraId="773174BF">
      <w:pPr>
        <w:bidi w:val="0"/>
      </w:pPr>
    </w:p>
    <w:p w14:paraId="63B7DA1E">
      <w:pPr>
        <w:bidi w:val="0"/>
      </w:pPr>
    </w:p>
    <w:p w14:paraId="47DC48DC">
      <w:pPr>
        <w:bidi w:val="0"/>
      </w:pPr>
    </w:p>
    <w:p w14:paraId="781E3240">
      <w:pPr>
        <w:bidi w:val="0"/>
        <w:jc w:val="center"/>
      </w:pPr>
      <w:r>
        <w:drawing>
          <wp:inline distT="0" distB="0" distL="0" distR="0">
            <wp:extent cx="2757170" cy="820420"/>
            <wp:effectExtent l="0" t="0" r="127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C64">
      <w:pPr>
        <w:bidi w:val="0"/>
      </w:pPr>
    </w:p>
    <w:p w14:paraId="02C72CC3">
      <w:pPr>
        <w:bidi w:val="0"/>
      </w:pPr>
    </w:p>
    <w:p w14:paraId="433F65C2">
      <w:pPr>
        <w:bidi w:val="0"/>
      </w:pPr>
    </w:p>
    <w:p w14:paraId="78F17D27">
      <w:pPr>
        <w:bidi w:val="0"/>
      </w:pPr>
    </w:p>
    <w:p w14:paraId="37AA090D">
      <w:pPr>
        <w:bidi w:val="0"/>
      </w:pPr>
    </w:p>
    <w:p w14:paraId="31738B74">
      <w:pPr>
        <w:bidi w:val="0"/>
      </w:pPr>
    </w:p>
    <w:p w14:paraId="350C0760">
      <w:pPr>
        <w:bidi w:val="0"/>
      </w:pPr>
    </w:p>
    <w:p w14:paraId="5E60C3BB">
      <w:pPr>
        <w:bidi w:val="0"/>
      </w:pPr>
    </w:p>
    <w:p w14:paraId="1C4593B3">
      <w:pPr>
        <w:bidi w:val="0"/>
      </w:pPr>
    </w:p>
    <w:p w14:paraId="5749DC57">
      <w:pPr>
        <w:bidi w:val="0"/>
      </w:pPr>
    </w:p>
    <w:p w14:paraId="0280F6FE">
      <w:pPr>
        <w:bidi w:val="0"/>
      </w:pPr>
    </w:p>
    <w:p w14:paraId="26C29E52">
      <w:pPr>
        <w:bidi w:val="0"/>
      </w:pPr>
    </w:p>
    <w:p w14:paraId="758F29F5">
      <w:pPr>
        <w:bidi w:val="0"/>
      </w:pPr>
    </w:p>
    <w:p w14:paraId="459ADA3B">
      <w:pPr>
        <w:bidi w:val="0"/>
      </w:pPr>
    </w:p>
    <w:p w14:paraId="1386AB50">
      <w:pPr>
        <w:bidi w:val="0"/>
      </w:pPr>
    </w:p>
    <w:p w14:paraId="13A56FF5">
      <w:pPr>
        <w:bidi w:val="0"/>
      </w:pPr>
    </w:p>
    <w:p w14:paraId="0C60DF69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1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4</w:t>
      </w:r>
    </w:p>
    <w:p w14:paraId="7F1C823E">
      <w:pPr>
        <w:bidi w:val="0"/>
      </w:pPr>
    </w:p>
    <w:p w14:paraId="4120E9C9">
      <w:pPr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0"/>
          <w:sz w:val="52"/>
          <w:szCs w:val="52"/>
        </w:rPr>
        <w:br w:type="page"/>
      </w: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25046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10C76F80">
      <w:pPr>
        <w:spacing w:line="16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19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19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连续性计划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LXXJH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19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19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19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19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19"/>
              <w:spacing w:before="163"/>
              <w:ind w:left="361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19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19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19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19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19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19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19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19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19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19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19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19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19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19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19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19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19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19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7732E43D">
      <w:pPr>
        <w:pStyle w:val="11"/>
        <w:spacing w:line="247" w:lineRule="auto"/>
      </w:pPr>
    </w:p>
    <w:p w14:paraId="41ECAAE7">
      <w:pPr>
        <w:pStyle w:val="11"/>
        <w:spacing w:line="247" w:lineRule="auto"/>
      </w:pPr>
    </w:p>
    <w:p w14:paraId="4DBB1048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3851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DFB18D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AC8D03C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_Toc6793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52"/>
            </w:rPr>
            <w:t>连续性计划</w:t>
          </w:r>
          <w:r>
            <w:tab/>
          </w:r>
          <w:r>
            <w:fldChar w:fldCharType="begin"/>
          </w:r>
          <w:r>
            <w:instrText xml:space="preserve"> PAGEREF _Toc6793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70E3BD4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_Toc25046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Cs w:val="21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_Toc25046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5432D01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_Toc1440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193B1DE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_Toc21924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_Toc21924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44AB77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_Toc31264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t>连续性计划</w:t>
          </w:r>
          <w:r>
            <w:tab/>
          </w:r>
          <w:r>
            <w:fldChar w:fldCharType="begin"/>
          </w:r>
          <w:r>
            <w:instrText xml:space="preserve"> PAGEREF _Toc31264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57C23BF">
          <w:pPr>
            <w:pStyle w:val="15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_Toc15102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t>计划的执行</w:t>
          </w:r>
          <w:r>
            <w:tab/>
          </w:r>
          <w:r>
            <w:fldChar w:fldCharType="begin"/>
          </w:r>
          <w:r>
            <w:instrText xml:space="preserve"> PAGEREF _Toc15102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7CF430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_Toc27041 </w:instrText>
          </w:r>
          <w:r>
            <w:fldChar w:fldCharType="separate"/>
          </w:r>
          <w:r>
            <w:rPr>
              <w:rFonts w:hint="default"/>
            </w:rPr>
            <w:t xml:space="preserve">3.1.1. </w:t>
          </w:r>
          <w:r>
            <w:t>启动恢复计划</w:t>
          </w:r>
          <w:r>
            <w:tab/>
          </w:r>
          <w:r>
            <w:fldChar w:fldCharType="begin"/>
          </w:r>
          <w:r>
            <w:instrText xml:space="preserve"> PAGEREF _Toc27041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C41387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_Toc21874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t>执行过程</w:t>
          </w:r>
          <w:r>
            <w:tab/>
          </w:r>
          <w:r>
            <w:fldChar w:fldCharType="begin"/>
          </w:r>
          <w:r>
            <w:instrText xml:space="preserve"> PAGEREF _Toc21874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94AE00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_Toc2172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t>灾难恢复计划表</w:t>
          </w:r>
          <w:r>
            <w:tab/>
          </w:r>
          <w:r>
            <w:fldChar w:fldCharType="begin"/>
          </w:r>
          <w:r>
            <w:instrText xml:space="preserve"> PAGEREF _Toc2172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C4A8BF">
          <w:pPr>
            <w:pStyle w:val="15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_Toc13016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t>连续性维护内容</w:t>
          </w:r>
          <w:r>
            <w:tab/>
          </w:r>
          <w:r>
            <w:fldChar w:fldCharType="begin"/>
          </w:r>
          <w:r>
            <w:instrText xml:space="preserve"> PAGEREF _Toc13016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AB9A42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_Toc13448 </w:instrText>
          </w:r>
          <w:r>
            <w:fldChar w:fldCharType="separate"/>
          </w:r>
          <w:r>
            <w:rPr>
              <w:rFonts w:hint="default"/>
            </w:rPr>
            <w:t xml:space="preserve">3.2.1. </w:t>
          </w:r>
          <w:r>
            <w:t>日常维护</w:t>
          </w:r>
          <w:r>
            <w:tab/>
          </w:r>
          <w:r>
            <w:fldChar w:fldCharType="begin"/>
          </w:r>
          <w:r>
            <w:instrText xml:space="preserve"> PAGEREF _Toc13448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0C020F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_Toc2970 </w:instrText>
          </w:r>
          <w:r>
            <w:fldChar w:fldCharType="separate"/>
          </w:r>
          <w:r>
            <w:rPr>
              <w:rFonts w:hint="default"/>
            </w:rPr>
            <w:t xml:space="preserve">3.2.2. </w:t>
          </w:r>
          <w:r>
            <w:t>人员后备计划</w:t>
          </w:r>
          <w:r>
            <w:tab/>
          </w:r>
          <w:r>
            <w:fldChar w:fldCharType="begin"/>
          </w:r>
          <w:r>
            <w:instrText xml:space="preserve"> PAGEREF _Toc2970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16857F5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_Toc5808 </w:instrText>
          </w:r>
          <w:r>
            <w:fldChar w:fldCharType="separate"/>
          </w:r>
          <w:r>
            <w:rPr>
              <w:rFonts w:hint="default"/>
            </w:rPr>
            <w:t xml:space="preserve">3.2.3. </w:t>
          </w:r>
          <w:r>
            <w:t>备用数据</w:t>
          </w:r>
          <w:r>
            <w:tab/>
          </w:r>
          <w:r>
            <w:fldChar w:fldCharType="begin"/>
          </w:r>
          <w:r>
            <w:instrText xml:space="preserve"> PAGEREF _Toc5808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962000C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_Toc5754 </w:instrText>
          </w:r>
          <w:r>
            <w:fldChar w:fldCharType="separate"/>
          </w:r>
          <w:r>
            <w:rPr>
              <w:rFonts w:hint="default"/>
            </w:rPr>
            <w:t xml:space="preserve">3.2.4. </w:t>
          </w:r>
          <w:r>
            <w:t>计划测试</w:t>
          </w:r>
          <w:r>
            <w:tab/>
          </w:r>
          <w:r>
            <w:fldChar w:fldCharType="begin"/>
          </w:r>
          <w:r>
            <w:instrText xml:space="preserve"> PAGEREF _Toc5754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B48A90F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_Toc32295 </w:instrText>
          </w:r>
          <w:r>
            <w:fldChar w:fldCharType="separate"/>
          </w:r>
          <w:r>
            <w:rPr>
              <w:rFonts w:hint="default"/>
            </w:rPr>
            <w:t xml:space="preserve">3.2.5. </w:t>
          </w:r>
          <w:r>
            <w:t>计划的培训</w:t>
          </w:r>
          <w:r>
            <w:tab/>
          </w:r>
          <w:r>
            <w:fldChar w:fldCharType="begin"/>
          </w:r>
          <w:r>
            <w:instrText xml:space="preserve"> PAGEREF _Toc32295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709FAAF">
          <w:pPr>
            <w:pStyle w:val="11"/>
            <w:spacing w:line="248" w:lineRule="auto"/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14EA3D06">
      <w:pPr>
        <w:pStyle w:val="11"/>
        <w:spacing w:line="248" w:lineRule="auto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6E6C4760">
      <w:r>
        <w:br w:type="page"/>
      </w:r>
    </w:p>
    <w:p w14:paraId="2A1D9A97">
      <w:pPr>
        <w:pStyle w:val="11"/>
        <w:spacing w:line="248" w:lineRule="auto"/>
      </w:pPr>
    </w:p>
    <w:p w14:paraId="6A68DB4C">
      <w:pPr>
        <w:pStyle w:val="20"/>
        <w:bidi w:val="0"/>
      </w:pPr>
      <w:bookmarkStart w:id="2" w:name="_Toc1440"/>
      <w:r>
        <w:t>目的</w:t>
      </w:r>
      <w:bookmarkEnd w:id="2"/>
    </w:p>
    <w:p w14:paraId="6DE6E583">
      <w:pPr>
        <w:spacing w:before="175" w:line="380" w:lineRule="auto"/>
        <w:ind w:left="120" w:right="112" w:firstLine="420"/>
        <w:rPr>
          <w:rFonts w:ascii="宋体" w:hAnsi="宋体" w:eastAsia="宋体" w:cs="宋体"/>
          <w:spacing w:val="13"/>
          <w:sz w:val="24"/>
          <w:szCs w:val="24"/>
        </w:rPr>
      </w:pPr>
      <w:r>
        <w:rPr>
          <w:rFonts w:ascii="宋体" w:hAnsi="宋体" w:eastAsia="宋体" w:cs="宋体"/>
          <w:spacing w:val="13"/>
          <w:sz w:val="24"/>
          <w:szCs w:val="24"/>
        </w:rPr>
        <w:t>确保运维服务遭受灾难事故后能尽快恢复， 以保障</w:t>
      </w: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市民服务中心智能化运维服务项目(第一包)</w:t>
      </w:r>
      <w:r>
        <w:rPr>
          <w:rFonts w:ascii="宋体" w:hAnsi="宋体" w:eastAsia="宋体" w:cs="宋体"/>
          <w:spacing w:val="13"/>
          <w:sz w:val="24"/>
          <w:szCs w:val="24"/>
        </w:rPr>
        <w:t>运维服务活动的连续性。</w:t>
      </w:r>
    </w:p>
    <w:p w14:paraId="27A9BF52">
      <w:pPr>
        <w:pStyle w:val="20"/>
        <w:bidi w:val="0"/>
      </w:pPr>
      <w:bookmarkStart w:id="3" w:name="_Toc21924"/>
      <w:r>
        <w:t>适用范围</w:t>
      </w:r>
      <w:bookmarkEnd w:id="3"/>
    </w:p>
    <w:p w14:paraId="1D5BAA53">
      <w:pPr>
        <w:spacing w:before="175" w:line="380" w:lineRule="auto"/>
        <w:ind w:left="120" w:right="112" w:firstLine="420"/>
        <w:rPr>
          <w:rFonts w:ascii="宋体" w:hAnsi="宋体" w:eastAsia="宋体" w:cs="宋体"/>
          <w:spacing w:val="13"/>
          <w:sz w:val="24"/>
          <w:szCs w:val="24"/>
        </w:rPr>
      </w:pPr>
      <w:r>
        <w:rPr>
          <w:rFonts w:ascii="宋体" w:hAnsi="宋体" w:eastAsia="宋体" w:cs="宋体"/>
          <w:spacing w:val="13"/>
          <w:sz w:val="24"/>
          <w:szCs w:val="24"/>
        </w:rPr>
        <w:t>适用运维服务遭受灾难事故后的处理。</w:t>
      </w:r>
    </w:p>
    <w:p w14:paraId="7F132956">
      <w:pPr>
        <w:pStyle w:val="20"/>
        <w:bidi w:val="0"/>
      </w:pPr>
      <w:bookmarkStart w:id="4" w:name="_Toc31264"/>
      <w:r>
        <w:t>连续性计划</w:t>
      </w:r>
      <w:bookmarkEnd w:id="4"/>
    </w:p>
    <w:p w14:paraId="202FF60C">
      <w:pPr>
        <w:pStyle w:val="21"/>
        <w:bidi w:val="0"/>
      </w:pPr>
      <w:bookmarkStart w:id="5" w:name="_Toc15102"/>
      <w:r>
        <w:t>计划的执行</w:t>
      </w:r>
      <w:bookmarkEnd w:id="5"/>
    </w:p>
    <w:p w14:paraId="458E6628">
      <w:pPr>
        <w:pStyle w:val="22"/>
        <w:bidi w:val="0"/>
      </w:pPr>
      <w:bookmarkStart w:id="6" w:name="_Toc27041"/>
      <w:r>
        <w:t>启动恢复计划</w:t>
      </w:r>
      <w:bookmarkEnd w:id="6"/>
    </w:p>
    <w:p w14:paraId="001F1241">
      <w:pPr>
        <w:spacing w:before="63" w:line="228" w:lineRule="auto"/>
        <w:ind w:left="247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9"/>
          <w:szCs w:val="19"/>
        </w:rPr>
        <w:t>事</w:t>
      </w:r>
      <w:r>
        <w:rPr>
          <w:rFonts w:ascii="宋体" w:hAnsi="宋体" w:eastAsia="宋体" w:cs="宋体"/>
          <w:spacing w:val="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"/>
          <w:sz w:val="19"/>
          <w:szCs w:val="19"/>
        </w:rPr>
        <w:t>件</w:t>
      </w:r>
    </w:p>
    <w:p w14:paraId="1CFB1255">
      <w:pPr>
        <w:pStyle w:val="11"/>
        <w:spacing w:line="283" w:lineRule="auto"/>
      </w:pPr>
    </w:p>
    <w:p w14:paraId="603D5959">
      <w:pPr>
        <w:pStyle w:val="11"/>
        <w:spacing w:line="283" w:lineRule="auto"/>
      </w:pPr>
    </w:p>
    <w:p w14:paraId="111890E6">
      <w:pPr>
        <w:pStyle w:val="11"/>
        <w:spacing w:before="55" w:line="203" w:lineRule="auto"/>
        <w:ind w:left="4231"/>
        <w:rPr>
          <w:sz w:val="19"/>
          <w:szCs w:val="19"/>
        </w:rPr>
      </w:pPr>
      <w:r>
        <w:rPr>
          <w:sz w:val="19"/>
          <w:szCs w:val="19"/>
        </w:rPr>
        <w:t>N</w:t>
      </w:r>
    </w:p>
    <w:p w14:paraId="39704C16">
      <w:pPr>
        <w:spacing w:before="86" w:line="229" w:lineRule="auto"/>
        <w:ind w:left="1941"/>
        <w:rPr>
          <w:rFonts w:ascii="宋体" w:hAnsi="宋体" w:eastAsia="宋体" w:cs="宋体"/>
          <w:sz w:val="19"/>
          <w:szCs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-737235</wp:posOffset>
            </wp:positionV>
            <wp:extent cx="3437890" cy="20891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261.2pt;margin-top:3.75pt;height:13.75pt;width:61.6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59A4E7">
                  <w:pPr>
                    <w:spacing w:before="20" w:line="228" w:lineRule="auto"/>
                    <w:ind w:lef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8"/>
                      <w:sz w:val="19"/>
                      <w:szCs w:val="19"/>
                    </w:rPr>
                    <w:t>事件处理程序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7"/>
          <w:sz w:val="19"/>
          <w:szCs w:val="19"/>
        </w:rPr>
        <w:t>属于应急事故？</w:t>
      </w:r>
    </w:p>
    <w:p w14:paraId="79CE1380">
      <w:pPr>
        <w:pStyle w:val="11"/>
        <w:spacing w:line="287" w:lineRule="auto"/>
      </w:pPr>
    </w:p>
    <w:p w14:paraId="7B724466">
      <w:pPr>
        <w:pStyle w:val="11"/>
        <w:spacing w:line="288" w:lineRule="auto"/>
      </w:pPr>
    </w:p>
    <w:p w14:paraId="539DCFCD">
      <w:pPr>
        <w:pStyle w:val="11"/>
        <w:spacing w:before="55" w:line="203" w:lineRule="auto"/>
        <w:ind w:left="1932"/>
        <w:rPr>
          <w:sz w:val="19"/>
          <w:szCs w:val="19"/>
        </w:rPr>
      </w:pPr>
      <w:r>
        <w:rPr>
          <w:spacing w:val="5"/>
          <w:sz w:val="19"/>
          <w:szCs w:val="19"/>
        </w:rPr>
        <w:t>Y</w:t>
      </w:r>
    </w:p>
    <w:p w14:paraId="7D2E55C4">
      <w:pPr>
        <w:pStyle w:val="11"/>
        <w:spacing w:line="315" w:lineRule="auto"/>
      </w:pPr>
    </w:p>
    <w:p w14:paraId="0CB88A04">
      <w:pPr>
        <w:spacing w:before="62" w:line="229" w:lineRule="auto"/>
        <w:ind w:left="203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启动连续性计划</w:t>
      </w:r>
    </w:p>
    <w:p w14:paraId="4AF4E2E9">
      <w:pPr>
        <w:pStyle w:val="11"/>
        <w:spacing w:line="276" w:lineRule="auto"/>
      </w:pPr>
    </w:p>
    <w:p w14:paraId="7DACC727">
      <w:pPr>
        <w:pStyle w:val="11"/>
        <w:spacing w:line="276" w:lineRule="auto"/>
      </w:pPr>
    </w:p>
    <w:p w14:paraId="60479992">
      <w:pPr>
        <w:pStyle w:val="11"/>
        <w:spacing w:line="276" w:lineRule="auto"/>
      </w:pPr>
    </w:p>
    <w:p w14:paraId="45D3E4B6">
      <w:pPr>
        <w:pStyle w:val="22"/>
        <w:bidi w:val="0"/>
      </w:pPr>
      <w:bookmarkStart w:id="7" w:name="_Toc21874"/>
      <w:r>
        <w:t>执行过程</w:t>
      </w:r>
      <w:bookmarkEnd w:id="7"/>
    </w:p>
    <w:p w14:paraId="5393E39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1) 成立应急小组确定应急总指挥和小组成员；</w:t>
      </w:r>
    </w:p>
    <w:p w14:paraId="2D8D65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2) 判断应急类型,不同类型有针对性处置；</w:t>
      </w:r>
    </w:p>
    <w:p w14:paraId="588640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3) 基础设施问题,及时进行更换；</w:t>
      </w:r>
    </w:p>
    <w:p w14:paraId="1E5AB0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default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4) 硬件问题及时从备品备件库进行更换,网络压力问题及时调优</w:t>
      </w:r>
    </w:p>
    <w:p w14:paraId="4BBEA5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5) 软件数据问题及时进行数据恢复,用备份数据进行恢复</w:t>
      </w:r>
    </w:p>
    <w:p w14:paraId="748656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6) 重启系统测试</w:t>
      </w:r>
    </w:p>
    <w:p w14:paraId="36D960FF">
      <w:pP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br w:type="page"/>
      </w:r>
    </w:p>
    <w:p w14:paraId="28C9EF8D">
      <w:pPr>
        <w:pStyle w:val="22"/>
        <w:bidi w:val="0"/>
      </w:pPr>
      <w:bookmarkStart w:id="8" w:name="_Toc2172"/>
      <w:r>
        <w:t>灾难恢复计划表</w:t>
      </w:r>
      <w:bookmarkEnd w:id="8"/>
    </w:p>
    <w:tbl>
      <w:tblPr>
        <w:tblStyle w:val="18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5838"/>
        <w:gridCol w:w="1444"/>
      </w:tblGrid>
      <w:tr w14:paraId="5283B1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37" w:type="dxa"/>
            <w:vAlign w:val="top"/>
          </w:tcPr>
          <w:p w14:paraId="60108039">
            <w:pPr>
              <w:spacing w:before="38" w:line="210" w:lineRule="auto"/>
              <w:ind w:left="6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5838" w:type="dxa"/>
            <w:vAlign w:val="top"/>
          </w:tcPr>
          <w:p w14:paraId="1E146FAC">
            <w:pPr>
              <w:spacing w:before="38" w:line="210" w:lineRule="auto"/>
              <w:ind w:left="24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执行内容</w:t>
            </w:r>
          </w:p>
        </w:tc>
        <w:tc>
          <w:tcPr>
            <w:tcW w:w="1444" w:type="dxa"/>
            <w:vAlign w:val="top"/>
          </w:tcPr>
          <w:p w14:paraId="2F76929B">
            <w:pPr>
              <w:spacing w:before="38" w:line="210" w:lineRule="auto"/>
              <w:ind w:left="3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负责人</w:t>
            </w:r>
          </w:p>
        </w:tc>
      </w:tr>
      <w:tr w14:paraId="517DD1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697F1D4E">
            <w:pPr>
              <w:spacing w:before="34" w:line="20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60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分钟</w:t>
            </w:r>
          </w:p>
        </w:tc>
        <w:tc>
          <w:tcPr>
            <w:tcW w:w="5838" w:type="dxa"/>
            <w:vAlign w:val="top"/>
          </w:tcPr>
          <w:p w14:paraId="692D9758">
            <w:pPr>
              <w:spacing w:before="54" w:line="227" w:lineRule="auto"/>
              <w:ind w:left="1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发生并报告应急事件，准备有关配置文档</w:t>
            </w:r>
          </w:p>
        </w:tc>
        <w:tc>
          <w:tcPr>
            <w:tcW w:w="1444" w:type="dxa"/>
            <w:vAlign w:val="top"/>
          </w:tcPr>
          <w:p w14:paraId="0D29B867">
            <w:pPr>
              <w:spacing w:before="54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50BB4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37" w:type="dxa"/>
            <w:vAlign w:val="top"/>
          </w:tcPr>
          <w:p w14:paraId="301F1FA6">
            <w:pPr>
              <w:spacing w:before="140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62231AF8">
            <w:pPr>
              <w:spacing w:before="32" w:line="234" w:lineRule="auto"/>
              <w:ind w:left="119" w:right="95" w:hanging="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评估恢复所需时间、业务影响方案，并以最快的速度通</w:t>
            </w:r>
            <w:r>
              <w:rPr>
                <w:rFonts w:ascii="宋体" w:hAnsi="宋体" w:eastAsia="宋体" w:cs="宋体"/>
                <w:spacing w:val="10"/>
                <w:sz w:val="19"/>
                <w:szCs w:val="19"/>
              </w:rPr>
              <w:t>知相关人</w:t>
            </w:r>
            <w:r>
              <w:rPr>
                <w:rFonts w:ascii="宋体" w:hAnsi="宋体" w:eastAsia="宋体" w:cs="宋体"/>
                <w:sz w:val="19"/>
                <w:szCs w:val="19"/>
              </w:rPr>
              <w:t>员</w:t>
            </w:r>
          </w:p>
        </w:tc>
        <w:tc>
          <w:tcPr>
            <w:tcW w:w="1444" w:type="dxa"/>
            <w:vAlign w:val="top"/>
          </w:tcPr>
          <w:p w14:paraId="0E0FB496">
            <w:pPr>
              <w:spacing w:before="161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437B6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2032DD72">
            <w:pPr>
              <w:spacing w:before="35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5697A81E">
            <w:pPr>
              <w:spacing w:before="56" w:line="228" w:lineRule="auto"/>
              <w:ind w:left="115"/>
              <w:rPr>
                <w:rFonts w:hint="default" w:ascii="宋体" w:hAnsi="宋体" w:eastAsia="宋体" w:cs="宋体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val="en-US" w:eastAsia="zh-CN"/>
              </w:rPr>
              <w:t>UPS、空调等基础设施问题及时进行维修、更换</w:t>
            </w:r>
          </w:p>
        </w:tc>
        <w:tc>
          <w:tcPr>
            <w:tcW w:w="1444" w:type="dxa"/>
            <w:vAlign w:val="top"/>
          </w:tcPr>
          <w:p w14:paraId="6B306EFF">
            <w:pPr>
              <w:spacing w:before="56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1953E1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5F6E2F8F">
            <w:pPr>
              <w:spacing w:before="36" w:line="207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19017E4B">
            <w:pPr>
              <w:spacing w:before="59" w:line="229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交换机、路由器、网络等硬件设备问题及时从备品库获取并更换</w:t>
            </w:r>
          </w:p>
        </w:tc>
        <w:tc>
          <w:tcPr>
            <w:tcW w:w="1444" w:type="dxa"/>
            <w:vAlign w:val="top"/>
          </w:tcPr>
          <w:p w14:paraId="06AE5A5C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F5216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837" w:type="dxa"/>
            <w:vAlign w:val="top"/>
          </w:tcPr>
          <w:p w14:paraId="7F3A82A6">
            <w:pPr>
              <w:spacing w:before="40" w:line="206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36BB9BDE">
            <w:pPr>
              <w:spacing w:before="60" w:line="228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软件数据问题及时通过备份进行数据恢复</w:t>
            </w:r>
          </w:p>
        </w:tc>
        <w:tc>
          <w:tcPr>
            <w:tcW w:w="1444" w:type="dxa"/>
            <w:vAlign w:val="top"/>
          </w:tcPr>
          <w:p w14:paraId="53B74109">
            <w:pPr>
              <w:spacing w:before="60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1DBA3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7" w:type="dxa"/>
            <w:vAlign w:val="top"/>
          </w:tcPr>
          <w:p w14:paraId="1BAE5412">
            <w:pPr>
              <w:spacing w:before="38" w:line="20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22083D0E">
            <w:pPr>
              <w:spacing w:before="59" w:line="228" w:lineRule="auto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重启系统测试</w:t>
            </w:r>
          </w:p>
        </w:tc>
        <w:tc>
          <w:tcPr>
            <w:tcW w:w="1444" w:type="dxa"/>
            <w:vAlign w:val="top"/>
          </w:tcPr>
          <w:p w14:paraId="6F4A1509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</w:tbl>
    <w:p w14:paraId="0D808745">
      <w:pPr>
        <w:pStyle w:val="21"/>
        <w:bidi w:val="0"/>
      </w:pPr>
      <w:bookmarkStart w:id="9" w:name="_Toc13016"/>
      <w:r>
        <w:t>连续性维护内容</w:t>
      </w:r>
      <w:bookmarkEnd w:id="9"/>
    </w:p>
    <w:p w14:paraId="14D66220">
      <w:pPr>
        <w:pStyle w:val="22"/>
        <w:bidi w:val="0"/>
      </w:pPr>
      <w:bookmarkStart w:id="10" w:name="_Toc13448"/>
      <w:r>
        <w:t>日常维护</w:t>
      </w:r>
      <w:bookmarkEnd w:id="10"/>
    </w:p>
    <w:p w14:paraId="6D2B04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1) 操作系统和数据库运行环境必须与主机环境保持兼容；</w:t>
      </w:r>
    </w:p>
    <w:p w14:paraId="00156D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2) 操作系统和应用软件的清理维护。</w:t>
      </w:r>
    </w:p>
    <w:p w14:paraId="37BA6C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3) 服务器的清理。</w:t>
      </w:r>
    </w:p>
    <w:p w14:paraId="6CAD453F">
      <w:pPr>
        <w:pStyle w:val="22"/>
        <w:bidi w:val="0"/>
      </w:pPr>
      <w:bookmarkStart w:id="11" w:name="_Toc2970"/>
      <w:r>
        <w:t>人员</w:t>
      </w:r>
      <w:r>
        <w:rPr>
          <w:rFonts w:hint="eastAsia"/>
          <w:lang w:val="en-US" w:eastAsia="zh-CN"/>
        </w:rPr>
        <w:t>储备</w:t>
      </w:r>
      <w:r>
        <w:t>计划</w:t>
      </w:r>
      <w:bookmarkEnd w:id="11"/>
    </w:p>
    <w:p w14:paraId="66CFDF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《配置项清单》，关键业务系统以及主要业务系统运维人员配备必须大于等于 1 人，否则，参照《人力资源管理程序》执行人员招聘。</w:t>
      </w:r>
    </w:p>
    <w:tbl>
      <w:tblPr>
        <w:tblStyle w:val="18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1"/>
        <w:gridCol w:w="1991"/>
        <w:gridCol w:w="1791"/>
        <w:gridCol w:w="1746"/>
      </w:tblGrid>
      <w:tr w14:paraId="358674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591" w:type="dxa"/>
            <w:vAlign w:val="top"/>
          </w:tcPr>
          <w:p w14:paraId="2C13CF7D">
            <w:pPr>
              <w:spacing w:before="38" w:line="208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关键、主要系统名称</w:t>
            </w:r>
          </w:p>
        </w:tc>
        <w:tc>
          <w:tcPr>
            <w:tcW w:w="1991" w:type="dxa"/>
            <w:vAlign w:val="top"/>
          </w:tcPr>
          <w:p w14:paraId="591F515B">
            <w:pPr>
              <w:spacing w:before="38" w:line="208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第一负责人</w:t>
            </w:r>
          </w:p>
        </w:tc>
        <w:tc>
          <w:tcPr>
            <w:tcW w:w="1791" w:type="dxa"/>
            <w:vAlign w:val="top"/>
          </w:tcPr>
          <w:p w14:paraId="02AE6F39">
            <w:pPr>
              <w:spacing w:before="38" w:line="208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第二负责人</w:t>
            </w:r>
          </w:p>
        </w:tc>
        <w:tc>
          <w:tcPr>
            <w:tcW w:w="1746" w:type="dxa"/>
            <w:vAlign w:val="top"/>
          </w:tcPr>
          <w:p w14:paraId="3A7C1A4F">
            <w:pPr>
              <w:spacing w:before="38" w:line="208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第三负责人</w:t>
            </w:r>
          </w:p>
        </w:tc>
      </w:tr>
      <w:tr w14:paraId="1E8B7C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23D61BB">
            <w:pPr>
              <w:spacing w:before="120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信息系统</w:t>
            </w:r>
          </w:p>
        </w:tc>
        <w:tc>
          <w:tcPr>
            <w:tcW w:w="1991" w:type="dxa"/>
            <w:vAlign w:val="top"/>
          </w:tcPr>
          <w:p w14:paraId="0460856A">
            <w:pPr>
              <w:spacing w:before="140" w:line="228" w:lineRule="auto"/>
              <w:ind w:left="11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vAlign w:val="top"/>
          </w:tcPr>
          <w:p w14:paraId="20B38ACC">
            <w:pPr>
              <w:spacing w:before="13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vAlign w:val="top"/>
          </w:tcPr>
          <w:p w14:paraId="47B8994B">
            <w:pPr>
              <w:spacing w:before="140" w:line="230" w:lineRule="auto"/>
              <w:ind w:left="11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19E9C4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AA3406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基础设施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72CF31A9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35FEC6E0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585766BF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4DE0C5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49803A3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硬件运维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2DD2F86F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48651007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7127706D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</w:tbl>
    <w:p w14:paraId="4EEB7B2B">
      <w:pPr>
        <w:pStyle w:val="22"/>
        <w:bidi w:val="0"/>
      </w:pPr>
      <w:bookmarkStart w:id="12" w:name="_Toc5808"/>
      <w:r>
        <w:t>备用数据</w:t>
      </w:r>
      <w:bookmarkEnd w:id="12"/>
    </w:p>
    <w:p w14:paraId="16116D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备用数据进行异地保存，并在发生故障时能够及时取用。备用数据定期进行恢复测试，以保证数据能够正确恢复。</w:t>
      </w:r>
    </w:p>
    <w:p w14:paraId="5557BB4B">
      <w:pPr>
        <w:pStyle w:val="22"/>
        <w:bidi w:val="0"/>
      </w:pPr>
      <w:bookmarkStart w:id="13" w:name="_Toc5754"/>
      <w:r>
        <w:t>计划测试</w:t>
      </w:r>
      <w:bookmarkEnd w:id="13"/>
    </w:p>
    <w:p w14:paraId="186840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信息系统故障演练每年不少于 1 次，可根据需要增加频次 。每次演练可以选择不同主题（如：资料恢复；主机/主交换机模拟故障；启用应急站点等。 ）演练计划由总经理批准后组织实施，演练结果记录由质量中心经理备案。</w:t>
      </w:r>
    </w:p>
    <w:p w14:paraId="797A5CD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应急站点的日常维护管理的监督由</w:t>
      </w:r>
      <w:bookmarkStart w:id="15" w:name="_GoBack"/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运维服务部</w:t>
      </w:r>
      <w:bookmarkEnd w:id="15"/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对应急站点的主机和网络连接能力进行一次检查。</w:t>
      </w:r>
    </w:p>
    <w:p w14:paraId="2688B3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</w:p>
    <w:p w14:paraId="161806D9">
      <w:pPr>
        <w:pStyle w:val="22"/>
        <w:bidi w:val="0"/>
      </w:pPr>
      <w:bookmarkStart w:id="14" w:name="_Toc32295"/>
      <w:r>
        <w:t>计划的培训</w:t>
      </w:r>
      <w:bookmarkEnd w:id="14"/>
    </w:p>
    <w:p w14:paraId="401843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本计划必须对全体人员进行培训，计划重大修改、新进入部门的员工必须及时进行培训。</w:t>
      </w:r>
    </w:p>
    <w:sectPr>
      <w:headerReference r:id="rId5" w:type="default"/>
      <w:pgSz w:w="11906" w:h="16838"/>
      <w:pgMar w:top="400" w:right="1304" w:bottom="0" w:left="147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EC2E46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4D6899"/>
    <w:rsid w:val="02781BC8"/>
    <w:rsid w:val="029661E9"/>
    <w:rsid w:val="04425FE9"/>
    <w:rsid w:val="04A71B2E"/>
    <w:rsid w:val="04C335CE"/>
    <w:rsid w:val="084F33CB"/>
    <w:rsid w:val="09600A35"/>
    <w:rsid w:val="09EE686D"/>
    <w:rsid w:val="0B1526A9"/>
    <w:rsid w:val="0C083FBC"/>
    <w:rsid w:val="0CE56BA6"/>
    <w:rsid w:val="0D1424ED"/>
    <w:rsid w:val="10892F46"/>
    <w:rsid w:val="11062B80"/>
    <w:rsid w:val="12F649A5"/>
    <w:rsid w:val="13B30CB1"/>
    <w:rsid w:val="151C35DD"/>
    <w:rsid w:val="15CF16A7"/>
    <w:rsid w:val="168B49D2"/>
    <w:rsid w:val="175400B6"/>
    <w:rsid w:val="176F4EEF"/>
    <w:rsid w:val="17F02536"/>
    <w:rsid w:val="1A0E09F0"/>
    <w:rsid w:val="1AF5395E"/>
    <w:rsid w:val="1BE37A32"/>
    <w:rsid w:val="1FBF278C"/>
    <w:rsid w:val="2080016D"/>
    <w:rsid w:val="21894E00"/>
    <w:rsid w:val="231019BB"/>
    <w:rsid w:val="23740719"/>
    <w:rsid w:val="261C6C23"/>
    <w:rsid w:val="27684462"/>
    <w:rsid w:val="2C466686"/>
    <w:rsid w:val="2CC969F8"/>
    <w:rsid w:val="2D8017AD"/>
    <w:rsid w:val="2F881EC0"/>
    <w:rsid w:val="2FDB716E"/>
    <w:rsid w:val="301306B6"/>
    <w:rsid w:val="31B45EC9"/>
    <w:rsid w:val="32036508"/>
    <w:rsid w:val="33F627C9"/>
    <w:rsid w:val="35B069A7"/>
    <w:rsid w:val="38F372D7"/>
    <w:rsid w:val="3B4E4C98"/>
    <w:rsid w:val="3C2071F5"/>
    <w:rsid w:val="3C241E9D"/>
    <w:rsid w:val="3C9C5ED7"/>
    <w:rsid w:val="3D4E0F7F"/>
    <w:rsid w:val="3DC70D32"/>
    <w:rsid w:val="3E4F1453"/>
    <w:rsid w:val="3EC2309F"/>
    <w:rsid w:val="3F921500"/>
    <w:rsid w:val="408C1715"/>
    <w:rsid w:val="414A56D6"/>
    <w:rsid w:val="424566C9"/>
    <w:rsid w:val="42C34E0B"/>
    <w:rsid w:val="44B30262"/>
    <w:rsid w:val="49214EDD"/>
    <w:rsid w:val="4B7F2C4C"/>
    <w:rsid w:val="4C7B34A5"/>
    <w:rsid w:val="4C8449BE"/>
    <w:rsid w:val="4E296E9F"/>
    <w:rsid w:val="4EC015B1"/>
    <w:rsid w:val="4F8C5937"/>
    <w:rsid w:val="50722D7F"/>
    <w:rsid w:val="52DA0283"/>
    <w:rsid w:val="567F7FA4"/>
    <w:rsid w:val="57B071DC"/>
    <w:rsid w:val="57F10A2D"/>
    <w:rsid w:val="59821561"/>
    <w:rsid w:val="5A33532D"/>
    <w:rsid w:val="5A93401E"/>
    <w:rsid w:val="5B296730"/>
    <w:rsid w:val="5E875C48"/>
    <w:rsid w:val="60B151FE"/>
    <w:rsid w:val="645E38EF"/>
    <w:rsid w:val="65276252"/>
    <w:rsid w:val="65F8526B"/>
    <w:rsid w:val="6A794FDE"/>
    <w:rsid w:val="6E2357FC"/>
    <w:rsid w:val="70910B15"/>
    <w:rsid w:val="734463A5"/>
    <w:rsid w:val="73C848E1"/>
    <w:rsid w:val="743401C8"/>
    <w:rsid w:val="744A1799"/>
    <w:rsid w:val="74DF6386"/>
    <w:rsid w:val="77754D7F"/>
    <w:rsid w:val="77A25449"/>
    <w:rsid w:val="78280044"/>
    <w:rsid w:val="783E33C3"/>
    <w:rsid w:val="78686CA8"/>
    <w:rsid w:val="7AA6573B"/>
    <w:rsid w:val="7AA8149E"/>
    <w:rsid w:val="7BB63CEF"/>
    <w:rsid w:val="7D494CE4"/>
    <w:rsid w:val="7DDD367E"/>
    <w:rsid w:val="7EDE6FC6"/>
    <w:rsid w:val="7F383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1018</Words>
  <Characters>1110</Characters>
  <TotalTime>5</TotalTime>
  <ScaleCrop>false</ScaleCrop>
  <LinksUpToDate>false</LinksUpToDate>
  <CharactersWithSpaces>1191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2025-08-21T06:34:00Z</dcterms:created>
  <dc:creator>18442</dc:creator>
  <cp:lastModifiedBy>郝宇</cp:lastModifiedBy>
  <dcterms:modified xsi:type="dcterms:W3CDTF">2025-08-26T04:32:17Z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EF62900E8A5F4C22A076E4E5A05B6A1E_12</vt:lpwstr>
  </property>
</Properties>
</file>