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1D02EA">
      <w:pPr>
        <w:pStyle w:val="11"/>
        <w:spacing w:before="307" w:line="184" w:lineRule="auto"/>
        <w:ind w:left="4"/>
        <w:jc w:val="center"/>
        <w:outlineLvl w:val="0"/>
        <w:rPr>
          <w:b/>
          <w:bCs/>
          <w:color w:val="333333"/>
          <w:spacing w:val="2"/>
          <w:sz w:val="29"/>
          <w:szCs w:val="29"/>
        </w:rPr>
      </w:pPr>
      <w:bookmarkStart w:id="0" w:name="_Toc26596"/>
      <w:r>
        <w:rPr>
          <w:b/>
          <w:bCs/>
          <w:color w:val="333333"/>
          <w:spacing w:val="2"/>
          <w:sz w:val="29"/>
          <w:szCs w:val="29"/>
        </w:rPr>
        <w:t>服务知识管理制度</w:t>
      </w:r>
      <w:bookmarkEnd w:id="0"/>
    </w:p>
    <w:p w14:paraId="06375A6B">
      <w:pPr>
        <w:bidi w:val="0"/>
      </w:pPr>
    </w:p>
    <w:p w14:paraId="536D8E14">
      <w:pPr>
        <w:bidi w:val="0"/>
      </w:pPr>
    </w:p>
    <w:p w14:paraId="32784F25">
      <w:pPr>
        <w:bidi w:val="0"/>
      </w:pPr>
    </w:p>
    <w:p w14:paraId="3B2DBF09">
      <w:pPr>
        <w:bidi w:val="0"/>
      </w:pPr>
    </w:p>
    <w:p w14:paraId="67069402">
      <w:pPr>
        <w:bidi w:val="0"/>
      </w:pPr>
    </w:p>
    <w:p w14:paraId="77F64BCC">
      <w:pPr>
        <w:bidi w:val="0"/>
      </w:pPr>
    </w:p>
    <w:p w14:paraId="3EA0764E">
      <w:pPr>
        <w:bidi w:val="0"/>
      </w:pPr>
    </w:p>
    <w:p w14:paraId="74A42C5A">
      <w:pPr>
        <w:bidi w:val="0"/>
      </w:pPr>
    </w:p>
    <w:p w14:paraId="3B154E80">
      <w:pPr>
        <w:bidi w:val="0"/>
      </w:pPr>
    </w:p>
    <w:p w14:paraId="6DA0996F">
      <w:pPr>
        <w:bidi w:val="0"/>
      </w:pPr>
    </w:p>
    <w:p w14:paraId="38E58E04">
      <w:pPr>
        <w:bidi w:val="0"/>
      </w:pPr>
    </w:p>
    <w:p w14:paraId="5E556195">
      <w:pPr>
        <w:bidi w:val="0"/>
      </w:pPr>
    </w:p>
    <w:p w14:paraId="3AC5BFDC">
      <w:pPr>
        <w:bidi w:val="0"/>
      </w:pPr>
    </w:p>
    <w:p w14:paraId="091C2CD4">
      <w:pPr>
        <w:bidi w:val="0"/>
        <w:jc w:val="center"/>
      </w:pPr>
      <w:r>
        <w:rPr>
          <w:position w:val="-25"/>
        </w:rPr>
        <w:drawing>
          <wp:inline distT="0" distB="0" distL="0" distR="0">
            <wp:extent cx="2743200" cy="820420"/>
            <wp:effectExtent l="0" t="0" r="0" b="2540"/>
            <wp:docPr id="1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8F5F">
      <w:pPr>
        <w:bidi w:val="0"/>
      </w:pPr>
    </w:p>
    <w:p w14:paraId="3EF46545">
      <w:pPr>
        <w:bidi w:val="0"/>
      </w:pPr>
    </w:p>
    <w:p w14:paraId="358DECAD">
      <w:pPr>
        <w:bidi w:val="0"/>
      </w:pPr>
    </w:p>
    <w:p w14:paraId="3A018593">
      <w:pPr>
        <w:bidi w:val="0"/>
      </w:pPr>
    </w:p>
    <w:p w14:paraId="37F96A8F">
      <w:pPr>
        <w:bidi w:val="0"/>
      </w:pPr>
    </w:p>
    <w:p w14:paraId="0E21161A">
      <w:pPr>
        <w:bidi w:val="0"/>
      </w:pPr>
    </w:p>
    <w:p w14:paraId="7FDFEACC">
      <w:pPr>
        <w:bidi w:val="0"/>
      </w:pPr>
    </w:p>
    <w:p w14:paraId="6B7E2C64">
      <w:pPr>
        <w:bidi w:val="0"/>
      </w:pPr>
    </w:p>
    <w:p w14:paraId="716BBE79">
      <w:pPr>
        <w:bidi w:val="0"/>
      </w:pPr>
    </w:p>
    <w:p w14:paraId="011BAF1A">
      <w:pPr>
        <w:pStyle w:val="11"/>
        <w:spacing w:before="307" w:line="184" w:lineRule="auto"/>
        <w:ind w:left="4"/>
        <w:jc w:val="center"/>
        <w:outlineLvl w:val="0"/>
        <w:rPr>
          <w:b/>
          <w:bCs/>
          <w:color w:val="333333"/>
          <w:spacing w:val="2"/>
          <w:sz w:val="29"/>
          <w:szCs w:val="29"/>
        </w:rPr>
      </w:pPr>
      <w:bookmarkStart w:id="1" w:name="_Toc11709"/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  <w:bookmarkEnd w:id="1"/>
    </w:p>
    <w:p w14:paraId="6ED43684">
      <w:pPr>
        <w:spacing w:before="86" w:line="220" w:lineRule="auto"/>
        <w:ind w:left="3988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Verdana" w:hAnsi="Verdana" w:eastAsia="Verdana" w:cs="Verdana"/>
          <w:b/>
          <w:bCs/>
          <w:color w:val="333333"/>
          <w:spacing w:val="-8"/>
          <w:sz w:val="24"/>
          <w:szCs w:val="24"/>
        </w:rPr>
        <w:br w:type="page"/>
      </w:r>
      <w:bookmarkStart w:id="2" w:name="_Toc16069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2"/>
    </w:p>
    <w:p w14:paraId="0C194873">
      <w:pPr>
        <w:spacing w:line="117" w:lineRule="exact"/>
      </w:pPr>
    </w:p>
    <w:tbl>
      <w:tblPr>
        <w:tblStyle w:val="19"/>
        <w:tblW w:w="907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2"/>
        <w:gridCol w:w="1557"/>
        <w:gridCol w:w="1953"/>
      </w:tblGrid>
      <w:tr w14:paraId="2A0618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00FC5F74">
            <w:pPr>
              <w:spacing w:before="199" w:line="220" w:lineRule="auto"/>
              <w:ind w:left="29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文档名称编号</w:t>
            </w:r>
          </w:p>
        </w:tc>
        <w:tc>
          <w:tcPr>
            <w:tcW w:w="7225" w:type="dxa"/>
            <w:gridSpan w:val="4"/>
            <w:vAlign w:val="top"/>
          </w:tcPr>
          <w:p w14:paraId="2E91464B">
            <w:pPr>
              <w:spacing w:before="200" w:line="219" w:lineRule="auto"/>
              <w:ind w:left="10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服务知识管理制度</w:t>
            </w:r>
            <w:r>
              <w:rPr>
                <w:rFonts w:ascii="宋体" w:hAnsi="宋体" w:eastAsia="宋体" w:cs="宋体"/>
                <w:sz w:val="21"/>
                <w:szCs w:val="21"/>
              </w:rPr>
              <w:t>（HHLC-IT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SS-</w:t>
            </w:r>
            <w:r>
              <w:rPr>
                <w:rFonts w:hint="eastAsia" w:ascii="宋体" w:hAnsi="宋体" w:eastAsia="宋体" w:cs="宋体"/>
                <w:spacing w:val="-1"/>
                <w:sz w:val="21"/>
                <w:szCs w:val="21"/>
                <w:lang w:val="en-US" w:eastAsia="zh-CN"/>
              </w:rPr>
              <w:t>FWZSGL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）</w:t>
            </w:r>
          </w:p>
        </w:tc>
      </w:tr>
      <w:tr w14:paraId="243782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846" w:type="dxa"/>
            <w:vAlign w:val="top"/>
          </w:tcPr>
          <w:p w14:paraId="6BC2208D">
            <w:pPr>
              <w:spacing w:before="196" w:line="220" w:lineRule="auto"/>
              <w:ind w:left="50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编制单位</w:t>
            </w:r>
          </w:p>
        </w:tc>
        <w:tc>
          <w:tcPr>
            <w:tcW w:w="7225" w:type="dxa"/>
            <w:gridSpan w:val="4"/>
            <w:vAlign w:val="top"/>
          </w:tcPr>
          <w:p w14:paraId="1D416FDE">
            <w:pPr>
              <w:spacing w:before="197" w:line="219" w:lineRule="auto"/>
              <w:ind w:left="10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青岛慧海联创信息技术有限公司</w:t>
            </w:r>
          </w:p>
        </w:tc>
      </w:tr>
      <w:tr w14:paraId="2A3B34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61FE9227">
            <w:pPr>
              <w:spacing w:before="199" w:line="219" w:lineRule="auto"/>
              <w:ind w:left="50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文档版本</w:t>
            </w:r>
          </w:p>
        </w:tc>
        <w:tc>
          <w:tcPr>
            <w:tcW w:w="1413" w:type="dxa"/>
            <w:vAlign w:val="top"/>
          </w:tcPr>
          <w:p w14:paraId="58CB912E">
            <w:pPr>
              <w:spacing w:before="199" w:line="219" w:lineRule="auto"/>
              <w:ind w:left="28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版本日期</w:t>
            </w:r>
          </w:p>
        </w:tc>
        <w:tc>
          <w:tcPr>
            <w:tcW w:w="2302" w:type="dxa"/>
            <w:vAlign w:val="top"/>
          </w:tcPr>
          <w:p w14:paraId="2EB53385">
            <w:pPr>
              <w:spacing w:before="199" w:line="219" w:lineRule="auto"/>
              <w:ind w:left="73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版本说明</w:t>
            </w:r>
          </w:p>
        </w:tc>
        <w:tc>
          <w:tcPr>
            <w:tcW w:w="1557" w:type="dxa"/>
            <w:vAlign w:val="top"/>
          </w:tcPr>
          <w:p w14:paraId="30C769CB">
            <w:pPr>
              <w:spacing w:before="199" w:line="220" w:lineRule="auto"/>
              <w:ind w:left="57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作者</w:t>
            </w:r>
          </w:p>
        </w:tc>
        <w:tc>
          <w:tcPr>
            <w:tcW w:w="1953" w:type="dxa"/>
            <w:vAlign w:val="top"/>
          </w:tcPr>
          <w:p w14:paraId="4F93A975">
            <w:pPr>
              <w:spacing w:before="199" w:line="220" w:lineRule="auto"/>
              <w:ind w:left="78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审核</w:t>
            </w:r>
          </w:p>
        </w:tc>
      </w:tr>
      <w:tr w14:paraId="58F0BC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6DBA3600">
            <w:pPr>
              <w:spacing w:before="163" w:line="239" w:lineRule="auto"/>
              <w:ind w:left="7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413" w:type="dxa"/>
            <w:vAlign w:val="top"/>
          </w:tcPr>
          <w:p w14:paraId="36B38066">
            <w:pPr>
              <w:spacing w:before="163"/>
              <w:ind w:left="2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302" w:type="dxa"/>
            <w:vAlign w:val="top"/>
          </w:tcPr>
          <w:p w14:paraId="597D3341">
            <w:pPr>
              <w:spacing w:before="132" w:line="219" w:lineRule="auto"/>
              <w:ind w:left="74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557" w:type="dxa"/>
            <w:vAlign w:val="top"/>
          </w:tcPr>
          <w:p w14:paraId="5B570545">
            <w:pPr>
              <w:spacing w:before="134" w:line="228" w:lineRule="auto"/>
              <w:ind w:left="576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郑永伟</w:t>
            </w:r>
          </w:p>
        </w:tc>
        <w:tc>
          <w:tcPr>
            <w:tcW w:w="1953" w:type="dxa"/>
            <w:vAlign w:val="top"/>
          </w:tcPr>
          <w:p w14:paraId="32E9A0CF">
            <w:pPr>
              <w:spacing w:before="133" w:line="220" w:lineRule="auto"/>
              <w:ind w:left="67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张仲全</w:t>
            </w:r>
          </w:p>
        </w:tc>
      </w:tr>
      <w:tr w14:paraId="1566C5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846" w:type="dxa"/>
            <w:vAlign w:val="top"/>
          </w:tcPr>
          <w:p w14:paraId="11C40330">
            <w:pPr>
              <w:pStyle w:val="20"/>
            </w:pPr>
          </w:p>
        </w:tc>
        <w:tc>
          <w:tcPr>
            <w:tcW w:w="1413" w:type="dxa"/>
            <w:vAlign w:val="top"/>
          </w:tcPr>
          <w:p w14:paraId="019A948E">
            <w:pPr>
              <w:pStyle w:val="20"/>
            </w:pPr>
          </w:p>
        </w:tc>
        <w:tc>
          <w:tcPr>
            <w:tcW w:w="2302" w:type="dxa"/>
            <w:vAlign w:val="top"/>
          </w:tcPr>
          <w:p w14:paraId="10542F75">
            <w:pPr>
              <w:pStyle w:val="20"/>
            </w:pPr>
          </w:p>
        </w:tc>
        <w:tc>
          <w:tcPr>
            <w:tcW w:w="1557" w:type="dxa"/>
            <w:vAlign w:val="top"/>
          </w:tcPr>
          <w:p w14:paraId="460997A3">
            <w:pPr>
              <w:pStyle w:val="20"/>
            </w:pPr>
          </w:p>
        </w:tc>
        <w:tc>
          <w:tcPr>
            <w:tcW w:w="1953" w:type="dxa"/>
            <w:vAlign w:val="top"/>
          </w:tcPr>
          <w:p w14:paraId="123E7827">
            <w:pPr>
              <w:pStyle w:val="20"/>
            </w:pPr>
          </w:p>
        </w:tc>
      </w:tr>
      <w:tr w14:paraId="10AC33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846" w:type="dxa"/>
            <w:vAlign w:val="top"/>
          </w:tcPr>
          <w:p w14:paraId="60D70B41">
            <w:pPr>
              <w:pStyle w:val="20"/>
            </w:pPr>
          </w:p>
        </w:tc>
        <w:tc>
          <w:tcPr>
            <w:tcW w:w="1413" w:type="dxa"/>
            <w:vAlign w:val="top"/>
          </w:tcPr>
          <w:p w14:paraId="6D613CA9">
            <w:pPr>
              <w:pStyle w:val="20"/>
            </w:pPr>
          </w:p>
        </w:tc>
        <w:tc>
          <w:tcPr>
            <w:tcW w:w="2302" w:type="dxa"/>
            <w:vAlign w:val="top"/>
          </w:tcPr>
          <w:p w14:paraId="5E399EC0">
            <w:pPr>
              <w:pStyle w:val="20"/>
            </w:pPr>
          </w:p>
        </w:tc>
        <w:tc>
          <w:tcPr>
            <w:tcW w:w="1557" w:type="dxa"/>
            <w:vAlign w:val="top"/>
          </w:tcPr>
          <w:p w14:paraId="1F8B3396">
            <w:pPr>
              <w:pStyle w:val="20"/>
            </w:pPr>
          </w:p>
        </w:tc>
        <w:tc>
          <w:tcPr>
            <w:tcW w:w="1953" w:type="dxa"/>
            <w:vAlign w:val="top"/>
          </w:tcPr>
          <w:p w14:paraId="2D939E46">
            <w:pPr>
              <w:pStyle w:val="20"/>
            </w:pPr>
          </w:p>
        </w:tc>
      </w:tr>
    </w:tbl>
    <w:p w14:paraId="76109144">
      <w:pPr>
        <w:rPr>
          <w:rFonts w:ascii="Verdana" w:hAnsi="Verdana" w:eastAsia="Verdana" w:cs="Verdana"/>
          <w:b/>
          <w:bCs/>
          <w:color w:val="333333"/>
          <w:spacing w:val="-8"/>
          <w:sz w:val="24"/>
          <w:szCs w:val="24"/>
        </w:rPr>
      </w:pPr>
    </w:p>
    <w:p w14:paraId="18FCBCFC">
      <w:pPr>
        <w:rPr>
          <w:rFonts w:ascii="Verdana" w:hAnsi="Verdana" w:eastAsia="Verdana" w:cs="Verdana"/>
          <w:b/>
          <w:bCs/>
          <w:color w:val="333333"/>
          <w:spacing w:val="-8"/>
          <w:sz w:val="24"/>
          <w:szCs w:val="24"/>
        </w:rPr>
      </w:pPr>
      <w:r>
        <w:rPr>
          <w:rFonts w:ascii="Verdana" w:hAnsi="Verdana" w:eastAsia="Verdana" w:cs="Verdana"/>
          <w:b/>
          <w:bCs/>
          <w:color w:val="333333"/>
          <w:spacing w:val="-8"/>
          <w:sz w:val="24"/>
          <w:szCs w:val="24"/>
        </w:rP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52707"/>
        <w15:color w:val="DBDBDB"/>
        <w:docPartObj>
          <w:docPartGallery w:val="Table of Contents"/>
          <w:docPartUnique/>
        </w:docPartObj>
      </w:sdtPr>
      <w:sdtEndPr>
        <w:rPr>
          <w:rFonts w:hint="eastAsia" w:ascii="Microsoft JhengHei" w:hAnsi="Microsoft JhengHei" w:eastAsia="Microsoft JhengHei" w:cs="Microsoft JhengHei"/>
          <w:bCs/>
          <w:snapToGrid w:val="0"/>
          <w:color w:val="333333"/>
          <w:spacing w:val="-8"/>
          <w:kern w:val="0"/>
          <w:sz w:val="24"/>
          <w:szCs w:val="24"/>
          <w:lang w:val="en-US" w:eastAsia="en-US" w:bidi="ar-SA"/>
        </w:rPr>
      </w:sdtEndPr>
      <w:sdtContent>
        <w:p w14:paraId="7DF08525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目录</w:t>
          </w:r>
        </w:p>
        <w:p w14:paraId="3B997702">
          <w:pPr>
            <w:pStyle w:val="15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/>
              <w:bCs/>
              <w:color w:val="333333"/>
              <w:spacing w:val="-8"/>
              <w:sz w:val="24"/>
              <w:szCs w:val="24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b/>
              <w:bCs/>
              <w:color w:val="333333"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_Toc26596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2"/>
              <w:sz w:val="24"/>
              <w:szCs w:val="24"/>
            </w:rPr>
            <w:t>服务知识管理制度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_Toc26596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6FDA26CA">
          <w:pPr>
            <w:pStyle w:val="15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_Toc11709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t>青岛慧海联创信息技术有限公司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_Toc11709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64E390F6">
          <w:pPr>
            <w:pStyle w:val="15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_Toc16069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_Toc16069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306CBBC2">
          <w:pPr>
            <w:pStyle w:val="15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_Toc10597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目的与范围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_Toc10597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7D48A3E1">
          <w:pPr>
            <w:pStyle w:val="16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_Toc11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1.1. 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7B820240">
          <w:pPr>
            <w:pStyle w:val="16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_Toc10612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1.2. 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_Toc10612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39191F14">
          <w:pPr>
            <w:pStyle w:val="15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_Toc4701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术语和定义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_Toc4701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76EA5BB0">
          <w:pPr>
            <w:pStyle w:val="15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_Toc8360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职责与角色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_Toc8360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0C47BAA9">
          <w:pPr>
            <w:pStyle w:val="15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_Toc29028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知识的分类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_Toc29028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111D31FA">
          <w:pPr>
            <w:pStyle w:val="15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_Toc18502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服务知识生命周期管理流程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_Toc18502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10F89F6E">
          <w:pPr>
            <w:pStyle w:val="16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_Toc29840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5.1. 知识的识别与收集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_Toc29840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46389031">
          <w:pPr>
            <w:pStyle w:val="16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_Toc30801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5.2. 知识的发起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_Toc30801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33C9BDFB">
          <w:pPr>
            <w:pStyle w:val="16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_Toc16608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5.3. 知识的来源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_Toc16608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0372EB8B">
          <w:pPr>
            <w:pStyle w:val="16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_Toc25262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5.4. 知识的加工整理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_Toc25262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220EABD6">
          <w:pPr>
            <w:pStyle w:val="16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_Toc26110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5.5. 知识的提交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_Toc26110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4979C622">
          <w:pPr>
            <w:pStyle w:val="16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_Toc20564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5.6. 知识的分类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_Toc20564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66B9080D">
          <w:pPr>
            <w:pStyle w:val="16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_Toc26928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5.7. 知识点审核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_Toc26928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26F81C82">
          <w:pPr>
            <w:pStyle w:val="16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_Toc14573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5.8. 知识发布及有效性管理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_Toc14573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6B4D3C82">
          <w:pPr>
            <w:pStyle w:val="16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_Toc21748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5.9. 知识传播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_Toc21748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2FB7663E">
          <w:pPr>
            <w:pStyle w:val="16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_Toc4248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5.10. 知识共享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_Toc4248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78873A17">
          <w:pPr>
            <w:pStyle w:val="16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_Toc23094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5.11. 知识更新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_Toc23094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648F0846">
          <w:pPr>
            <w:pStyle w:val="16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_Toc17581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5.12. 知识版本管理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_Toc17581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5EDC767C">
          <w:pPr>
            <w:pStyle w:val="15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_Toc14469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 考核与奖惩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_Toc14469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58CCE502">
          <w:pPr>
            <w:rPr>
              <w:rFonts w:hint="eastAsia" w:ascii="Microsoft JhengHei" w:hAnsi="Microsoft JhengHei" w:eastAsia="Microsoft JhengHei" w:cs="Microsoft JhengHei"/>
              <w:bCs/>
              <w:snapToGrid w:val="0"/>
              <w:color w:val="333333"/>
              <w:spacing w:val="-8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</w:sdtContent>
    </w:sdt>
    <w:p w14:paraId="32203F31">
      <w:pPr>
        <w:rPr>
          <w:rFonts w:hint="eastAsia" w:ascii="宋体" w:hAnsi="宋体" w:eastAsia="宋体" w:cs="宋体"/>
          <w:bCs/>
          <w:snapToGrid w:val="0"/>
          <w:color w:val="333333"/>
          <w:spacing w:val="-8"/>
          <w:kern w:val="0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bCs/>
          <w:snapToGrid w:val="0"/>
          <w:color w:val="333333"/>
          <w:spacing w:val="-8"/>
          <w:kern w:val="0"/>
          <w:sz w:val="24"/>
          <w:szCs w:val="24"/>
          <w:lang w:val="en-US" w:eastAsia="en-US" w:bidi="ar-SA"/>
        </w:rPr>
        <w:br w:type="page"/>
      </w:r>
    </w:p>
    <w:p w14:paraId="5EFC892B">
      <w:pPr>
        <w:rPr>
          <w:rFonts w:hint="eastAsia" w:ascii="宋体" w:hAnsi="宋体" w:eastAsia="宋体" w:cs="宋体"/>
          <w:bCs/>
          <w:snapToGrid w:val="0"/>
          <w:color w:val="333333"/>
          <w:spacing w:val="-8"/>
          <w:kern w:val="0"/>
          <w:sz w:val="24"/>
          <w:szCs w:val="24"/>
          <w:lang w:val="en-US" w:eastAsia="en-US" w:bidi="ar-SA"/>
        </w:rPr>
      </w:pPr>
    </w:p>
    <w:p w14:paraId="545A555A">
      <w:pPr>
        <w:pStyle w:val="21"/>
        <w:bidi w:val="0"/>
        <w:rPr>
          <w:rFonts w:hint="eastAsia"/>
        </w:rPr>
      </w:pPr>
      <w:bookmarkStart w:id="3" w:name="_Toc10597"/>
      <w:r>
        <w:rPr>
          <w:rFonts w:hint="eastAsia"/>
        </w:rPr>
        <w:t>目的与范围</w:t>
      </w:r>
      <w:bookmarkEnd w:id="3"/>
    </w:p>
    <w:p w14:paraId="74377EF6">
      <w:pPr>
        <w:pStyle w:val="22"/>
        <w:bidi w:val="0"/>
        <w:rPr>
          <w:rFonts w:hint="eastAsia"/>
        </w:rPr>
      </w:pPr>
      <w:bookmarkStart w:id="4" w:name="_Toc11"/>
      <w:r>
        <w:rPr>
          <w:rFonts w:hint="eastAsia"/>
        </w:rPr>
        <w:t>目的</w:t>
      </w:r>
      <w:bookmarkEnd w:id="4"/>
    </w:p>
    <w:p w14:paraId="12B765B4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00" w:firstLineChars="20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为规范公司信息技术服务过程中知识的获取、创建、共享、应用与退役的全生命周期管理，积</w:t>
      </w:r>
      <w:r>
        <w:rPr>
          <w:rFonts w:hint="eastAsia" w:ascii="宋体" w:hAnsi="宋体" w:eastAsia="宋体" w:cs="宋体"/>
          <w:color w:val="333333"/>
          <w:spacing w:val="4"/>
          <w:sz w:val="24"/>
          <w:szCs w:val="24"/>
        </w:rPr>
        <w:t>累和固化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服务经验，避免知识流失，提高服务效率与质量，降低服务风险，最终提升客户满意度，特制定本制</w:t>
      </w:r>
      <w:r>
        <w:rPr>
          <w:rFonts w:hint="eastAsia" w:ascii="宋体" w:hAnsi="宋体" w:eastAsia="宋体" w:cs="宋体"/>
          <w:color w:val="333333"/>
          <w:spacing w:val="-8"/>
          <w:sz w:val="24"/>
          <w:szCs w:val="24"/>
        </w:rPr>
        <w:t>度。</w:t>
      </w:r>
    </w:p>
    <w:p w14:paraId="5E2CAFCC">
      <w:pPr>
        <w:pStyle w:val="22"/>
        <w:bidi w:val="0"/>
        <w:rPr>
          <w:rFonts w:hint="eastAsia"/>
        </w:rPr>
      </w:pPr>
      <w:bookmarkStart w:id="5" w:name="_Toc10612"/>
      <w:r>
        <w:rPr>
          <w:rFonts w:hint="eastAsia"/>
        </w:rPr>
        <w:t>范围</w:t>
      </w:r>
      <w:bookmarkEnd w:id="5"/>
    </w:p>
    <w:p w14:paraId="0FDFDE70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00" w:firstLineChars="200"/>
        <w:textAlignment w:val="baseline"/>
        <w:rPr>
          <w:rFonts w:hint="eastAsia" w:ascii="宋体" w:hAnsi="宋体" w:eastAsia="宋体" w:cs="宋体"/>
          <w:color w:val="333333"/>
          <w:spacing w:val="5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本制度适用于公司内所有与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  <w:t>运维服务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相关的部门及人员，包括但不限于运维服务部、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  <w:t>研发中心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、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  <w:t>质量中心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及一线工程师。管理对象包括在服务过程中产生的所有技术方案、解决方案、经验总结、流程文档等显性知识。</w:t>
      </w:r>
    </w:p>
    <w:p w14:paraId="002CD8CA">
      <w:pPr>
        <w:pStyle w:val="21"/>
        <w:bidi w:val="0"/>
        <w:rPr>
          <w:rFonts w:hint="eastAsia"/>
        </w:rPr>
      </w:pPr>
      <w:bookmarkStart w:id="6" w:name="_Toc4701"/>
      <w:r>
        <w:rPr>
          <w:rFonts w:hint="eastAsia"/>
        </w:rPr>
        <w:t>术语和定义</w:t>
      </w:r>
      <w:bookmarkEnd w:id="6"/>
    </w:p>
    <w:p w14:paraId="166E743F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333333"/>
          <w:spacing w:val="4"/>
          <w:sz w:val="24"/>
          <w:szCs w:val="24"/>
        </w:rPr>
        <w:t>服务知识：</w:t>
      </w:r>
      <w:r>
        <w:rPr>
          <w:rFonts w:hint="eastAsia" w:ascii="宋体" w:hAnsi="宋体" w:eastAsia="宋体" w:cs="宋体"/>
          <w:b/>
          <w:bCs/>
          <w:color w:val="333333"/>
          <w:spacing w:val="19"/>
          <w:w w:val="101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333333"/>
          <w:spacing w:val="4"/>
          <w:sz w:val="24"/>
          <w:szCs w:val="24"/>
        </w:rPr>
        <w:t>在信息技术服务提供过程中，用于解决问題、恢复服务、提升效率或支持决策的信息、经验、方案和技能的总和。其载体可以是文档、图表、脚本、代码片段、视频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等。</w:t>
      </w:r>
    </w:p>
    <w:p w14:paraId="68C151F1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333333"/>
          <w:spacing w:val="3"/>
          <w:sz w:val="24"/>
          <w:szCs w:val="24"/>
        </w:rPr>
        <w:t>知识条目：</w:t>
      </w:r>
      <w:r>
        <w:rPr>
          <w:rFonts w:hint="eastAsia" w:ascii="宋体" w:hAnsi="宋体" w:eastAsia="宋体" w:cs="宋体"/>
          <w:b/>
          <w:bCs/>
          <w:color w:val="333333"/>
          <w:spacing w:val="2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知识库中独立存在、描述和解决一个特定问题或场景的最小知识单元。</w:t>
      </w:r>
    </w:p>
    <w:p w14:paraId="357253BB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333333"/>
          <w:spacing w:val="3"/>
          <w:sz w:val="24"/>
          <w:szCs w:val="24"/>
        </w:rPr>
        <w:t>知识生命周期：</w:t>
      </w:r>
      <w:r>
        <w:rPr>
          <w:rFonts w:hint="eastAsia" w:ascii="宋体" w:hAnsi="宋体" w:eastAsia="宋体" w:cs="宋体"/>
          <w:b/>
          <w:bCs/>
          <w:color w:val="333333"/>
          <w:spacing w:val="3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知识从识别、创建、审核、发布、使用、优化到退役</w:t>
      </w:r>
      <w:r>
        <w:rPr>
          <w:rFonts w:hint="eastAsia" w:ascii="宋体" w:hAnsi="宋体" w:eastAsia="宋体" w:cs="宋体"/>
          <w:color w:val="333333"/>
          <w:spacing w:val="2"/>
          <w:sz w:val="24"/>
          <w:szCs w:val="24"/>
        </w:rPr>
        <w:t>的全过程</w:t>
      </w:r>
    </w:p>
    <w:p w14:paraId="14CE1114">
      <w:pPr>
        <w:pStyle w:val="21"/>
        <w:bidi w:val="0"/>
        <w:rPr>
          <w:rFonts w:hint="eastAsia"/>
        </w:rPr>
      </w:pPr>
      <w:bookmarkStart w:id="7" w:name="_Toc8360"/>
      <w:r>
        <w:rPr>
          <w:rFonts w:hint="eastAsia"/>
        </w:rPr>
        <w:t>职责与角色</w:t>
      </w:r>
      <w:bookmarkEnd w:id="7"/>
    </w:p>
    <w:p w14:paraId="506449B6">
      <w:pPr>
        <w:pStyle w:val="11"/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color w:val="333333"/>
          <w:spacing w:val="3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所有服务人员： 负责识别和提交知识，使用知识解决问题，并反馈知识的有效性。</w:t>
      </w:r>
    </w:p>
    <w:p w14:paraId="29CEB149">
      <w:pPr>
        <w:pStyle w:val="11"/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color w:val="333333"/>
          <w:spacing w:val="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  <w:lang w:val="en-US" w:eastAsia="zh-CN"/>
        </w:rPr>
        <w:t>服务知识管理员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： 负责本制度的推行与监督，管理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  <w:lang w:val="en-US" w:eastAsia="zh-CN"/>
        </w:rPr>
        <w:t>收集服务知识。</w:t>
      </w:r>
    </w:p>
    <w:p w14:paraId="4B978D87">
      <w:pPr>
        <w:pStyle w:val="11"/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color w:val="333333"/>
          <w:spacing w:val="3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  <w:lang w:val="en-US" w:eastAsia="zh-CN"/>
        </w:rPr>
        <w:t>服务知识经理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： 负责本制度的推行与监督，管理知识库，组织知识评审，监控知识质量与绩效，推广知识文化。</w:t>
      </w:r>
    </w:p>
    <w:p w14:paraId="44775B90">
      <w:pPr>
        <w:pStyle w:val="21"/>
        <w:bidi w:val="0"/>
        <w:rPr>
          <w:rFonts w:hint="eastAsia"/>
        </w:rPr>
      </w:pPr>
      <w:bookmarkStart w:id="8" w:name="_Toc29028"/>
      <w:r>
        <w:rPr>
          <w:rFonts w:hint="eastAsia"/>
        </w:rPr>
        <w:t>知识的分类</w:t>
      </w:r>
      <w:bookmarkEnd w:id="8"/>
    </w:p>
    <w:p w14:paraId="244CAB71">
      <w:pPr>
        <w:pStyle w:val="11"/>
        <w:spacing w:before="217" w:line="188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4"/>
          <w:sz w:val="24"/>
          <w:szCs w:val="24"/>
        </w:rPr>
        <w:t>知识库目前分为以下三大类，每个大类下分若干子类，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具体分类如下：</w:t>
      </w:r>
    </w:p>
    <w:p w14:paraId="3FFD4466">
      <w:pPr>
        <w:spacing w:line="180" w:lineRule="exact"/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19"/>
        <w:tblW w:w="8824" w:type="dxa"/>
        <w:tblInd w:w="7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6"/>
        <w:gridCol w:w="899"/>
        <w:gridCol w:w="7019"/>
      </w:tblGrid>
      <w:tr w14:paraId="2E579CA9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6" w:hRule="atLeast"/>
        </w:trPr>
        <w:tc>
          <w:tcPr>
            <w:tcW w:w="906" w:type="dxa"/>
            <w:shd w:val="clear" w:color="auto" w:fill="F8F8F8"/>
            <w:vAlign w:val="top"/>
          </w:tcPr>
          <w:p w14:paraId="6C56DAAB">
            <w:pPr>
              <w:pStyle w:val="20"/>
              <w:spacing w:before="151" w:line="230" w:lineRule="auto"/>
              <w:ind w:left="197" w:right="305" w:firstLine="3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2"/>
                <w:sz w:val="24"/>
                <w:szCs w:val="24"/>
              </w:rPr>
              <w:t>一级</w:t>
            </w: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4"/>
                <w:sz w:val="24"/>
                <w:szCs w:val="24"/>
              </w:rPr>
              <w:t>分类</w:t>
            </w:r>
          </w:p>
        </w:tc>
        <w:tc>
          <w:tcPr>
            <w:tcW w:w="899" w:type="dxa"/>
            <w:shd w:val="clear" w:color="auto" w:fill="F8F8F8"/>
            <w:vAlign w:val="top"/>
          </w:tcPr>
          <w:p w14:paraId="69D311A8">
            <w:pPr>
              <w:pStyle w:val="20"/>
              <w:spacing w:before="151" w:line="230" w:lineRule="auto"/>
              <w:ind w:left="191" w:right="304" w:firstLine="4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2"/>
                <w:sz w:val="24"/>
                <w:szCs w:val="24"/>
              </w:rPr>
              <w:t>二级</w:t>
            </w: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4"/>
                <w:sz w:val="24"/>
                <w:szCs w:val="24"/>
              </w:rPr>
              <w:t>分类</w:t>
            </w:r>
          </w:p>
        </w:tc>
        <w:tc>
          <w:tcPr>
            <w:tcW w:w="7019" w:type="dxa"/>
            <w:shd w:val="clear" w:color="auto" w:fill="F8F8F8"/>
            <w:vAlign w:val="top"/>
          </w:tcPr>
          <w:p w14:paraId="680EBE8C">
            <w:pPr>
              <w:pStyle w:val="20"/>
              <w:spacing w:before="299" w:line="187" w:lineRule="auto"/>
              <w:ind w:left="193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3"/>
                <w:sz w:val="24"/>
                <w:szCs w:val="24"/>
              </w:rPr>
              <w:t>说明</w:t>
            </w:r>
          </w:p>
        </w:tc>
      </w:tr>
      <w:tr w14:paraId="2CA51783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8" w:hRule="atLeast"/>
        </w:trPr>
        <w:tc>
          <w:tcPr>
            <w:tcW w:w="906" w:type="dxa"/>
            <w:vAlign w:val="top"/>
          </w:tcPr>
          <w:p w14:paraId="0760AD91">
            <w:pPr>
              <w:pStyle w:val="20"/>
              <w:spacing w:before="144" w:line="186" w:lineRule="auto"/>
              <w:ind w:left="197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3"/>
                <w:sz w:val="24"/>
                <w:szCs w:val="24"/>
              </w:rPr>
              <w:t>基础</w:t>
            </w:r>
          </w:p>
          <w:p w14:paraId="61AF4F20">
            <w:pPr>
              <w:pStyle w:val="20"/>
              <w:spacing w:before="46" w:line="187" w:lineRule="auto"/>
              <w:ind w:left="197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3"/>
                <w:sz w:val="24"/>
                <w:szCs w:val="24"/>
              </w:rPr>
              <w:t>环境</w:t>
            </w:r>
          </w:p>
          <w:p w14:paraId="0C8E14D4">
            <w:pPr>
              <w:pStyle w:val="20"/>
              <w:spacing w:before="46" w:line="187" w:lineRule="auto"/>
              <w:ind w:left="197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3"/>
                <w:sz w:val="24"/>
                <w:szCs w:val="24"/>
              </w:rPr>
              <w:t>运维</w:t>
            </w:r>
          </w:p>
        </w:tc>
        <w:tc>
          <w:tcPr>
            <w:tcW w:w="899" w:type="dxa"/>
            <w:vAlign w:val="top"/>
          </w:tcPr>
          <w:p w14:paraId="4A38152F">
            <w:pPr>
              <w:pStyle w:val="20"/>
              <w:spacing w:before="143" w:line="187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机房</w:t>
            </w:r>
          </w:p>
          <w:p w14:paraId="4D9E4C1C">
            <w:pPr>
              <w:pStyle w:val="20"/>
              <w:spacing w:before="47" w:line="186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基础</w:t>
            </w:r>
          </w:p>
          <w:p w14:paraId="64B40A63">
            <w:pPr>
              <w:pStyle w:val="20"/>
              <w:spacing w:before="47" w:line="186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环境</w:t>
            </w:r>
          </w:p>
        </w:tc>
        <w:tc>
          <w:tcPr>
            <w:tcW w:w="7019" w:type="dxa"/>
            <w:vAlign w:val="top"/>
          </w:tcPr>
          <w:p w14:paraId="38232060">
            <w:pPr>
              <w:pStyle w:val="20"/>
              <w:spacing w:before="291" w:line="229" w:lineRule="auto"/>
              <w:ind w:left="193" w:right="375" w:hang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5"/>
                <w:sz w:val="24"/>
                <w:szCs w:val="24"/>
              </w:rPr>
              <w:t>包括供配电、空调、消防、安防、环境监控（温湿度）等相关的操作流程与</w:t>
            </w:r>
            <w:r>
              <w:rPr>
                <w:rFonts w:hint="eastAsia" w:ascii="宋体" w:hAnsi="宋体" w:eastAsia="宋体" w:cs="宋体"/>
                <w:color w:val="333333"/>
                <w:spacing w:val="-1"/>
                <w:sz w:val="24"/>
                <w:szCs w:val="24"/>
              </w:rPr>
              <w:t>故障处理方案。</w:t>
            </w:r>
          </w:p>
        </w:tc>
      </w:tr>
      <w:tr w14:paraId="264631DD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8" w:hRule="atLeast"/>
        </w:trPr>
        <w:tc>
          <w:tcPr>
            <w:tcW w:w="906" w:type="dxa"/>
            <w:shd w:val="clear" w:color="auto" w:fill="F8F8F8"/>
            <w:vAlign w:val="top"/>
          </w:tcPr>
          <w:p w14:paraId="292298DD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F8F8F8"/>
            <w:vAlign w:val="top"/>
          </w:tcPr>
          <w:p w14:paraId="0A29F8F0">
            <w:pPr>
              <w:pStyle w:val="20"/>
              <w:spacing w:before="145" w:line="187" w:lineRule="auto"/>
              <w:ind w:left="20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-2"/>
                <w:sz w:val="24"/>
                <w:szCs w:val="24"/>
              </w:rPr>
              <w:t>网络</w:t>
            </w:r>
          </w:p>
          <w:p w14:paraId="5FF426CB">
            <w:pPr>
              <w:pStyle w:val="20"/>
              <w:spacing w:before="46" w:line="187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链路</w:t>
            </w:r>
          </w:p>
          <w:p w14:paraId="4520A113">
            <w:pPr>
              <w:pStyle w:val="20"/>
              <w:spacing w:before="44" w:line="188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故障</w:t>
            </w:r>
          </w:p>
        </w:tc>
        <w:tc>
          <w:tcPr>
            <w:tcW w:w="7019" w:type="dxa"/>
            <w:shd w:val="clear" w:color="auto" w:fill="F8F8F8"/>
            <w:vAlign w:val="top"/>
          </w:tcPr>
          <w:p w14:paraId="2372039B">
            <w:pPr>
              <w:spacing w:line="362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2AE3D25A">
            <w:pPr>
              <w:pStyle w:val="20"/>
              <w:spacing w:before="81" w:line="187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包括运营商线路、内部网络互联等链路问题的排查与解决指南。</w:t>
            </w:r>
          </w:p>
        </w:tc>
      </w:tr>
      <w:tr w14:paraId="57D77D3B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906" w:type="dxa"/>
            <w:vAlign w:val="top"/>
          </w:tcPr>
          <w:p w14:paraId="610644D5">
            <w:pPr>
              <w:pStyle w:val="20"/>
              <w:spacing w:before="149" w:line="228" w:lineRule="auto"/>
              <w:ind w:left="196" w:right="305" w:hang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4"/>
                <w:sz w:val="24"/>
                <w:szCs w:val="24"/>
              </w:rPr>
              <w:t>硬件</w:t>
            </w: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3"/>
                <w:sz w:val="24"/>
                <w:szCs w:val="24"/>
              </w:rPr>
              <w:t>运维</w:t>
            </w:r>
          </w:p>
        </w:tc>
        <w:tc>
          <w:tcPr>
            <w:tcW w:w="899" w:type="dxa"/>
            <w:vAlign w:val="top"/>
          </w:tcPr>
          <w:p w14:paraId="3ACEED32">
            <w:pPr>
              <w:pStyle w:val="20"/>
              <w:spacing w:before="149" w:line="228" w:lineRule="auto"/>
              <w:ind w:left="192" w:right="304" w:firstLine="13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-4"/>
                <w:sz w:val="24"/>
                <w:szCs w:val="24"/>
              </w:rPr>
              <w:t>网络</w:t>
            </w: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运维</w:t>
            </w:r>
          </w:p>
        </w:tc>
        <w:tc>
          <w:tcPr>
            <w:tcW w:w="7019" w:type="dxa"/>
            <w:vAlign w:val="top"/>
          </w:tcPr>
          <w:p w14:paraId="13CC4D2A">
            <w:pPr>
              <w:pStyle w:val="20"/>
              <w:spacing w:before="146" w:line="229" w:lineRule="auto"/>
              <w:ind w:left="192" w:right="37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5"/>
                <w:sz w:val="24"/>
                <w:szCs w:val="24"/>
              </w:rPr>
              <w:t>包括交换机、路由器、防火墙、负载均衡等网络设备的配置、监控与故障处</w:t>
            </w:r>
            <w:r>
              <w:rPr>
                <w:rFonts w:hint="eastAsia" w:ascii="宋体" w:hAnsi="宋体" w:eastAsia="宋体" w:cs="宋体"/>
                <w:color w:val="333333"/>
                <w:spacing w:val="-4"/>
                <w:sz w:val="24"/>
                <w:szCs w:val="24"/>
              </w:rPr>
              <w:t>理知识。</w:t>
            </w:r>
          </w:p>
        </w:tc>
      </w:tr>
      <w:tr w14:paraId="094D45F0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906" w:type="dxa"/>
            <w:shd w:val="clear" w:color="auto" w:fill="F8F8F8"/>
            <w:vAlign w:val="top"/>
          </w:tcPr>
          <w:p w14:paraId="5B60A3E8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F8F8F8"/>
            <w:vAlign w:val="top"/>
          </w:tcPr>
          <w:p w14:paraId="26C9B717">
            <w:pPr>
              <w:pStyle w:val="20"/>
              <w:spacing w:before="149" w:line="228" w:lineRule="auto"/>
              <w:ind w:left="192" w:right="304" w:firstLine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2"/>
                <w:sz w:val="24"/>
                <w:szCs w:val="24"/>
              </w:rPr>
              <w:t>主机</w:t>
            </w: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运维</w:t>
            </w:r>
          </w:p>
        </w:tc>
        <w:tc>
          <w:tcPr>
            <w:tcW w:w="7019" w:type="dxa"/>
            <w:shd w:val="clear" w:color="auto" w:fill="F8F8F8"/>
            <w:vAlign w:val="top"/>
          </w:tcPr>
          <w:p w14:paraId="01DD5324">
            <w:pPr>
              <w:pStyle w:val="20"/>
              <w:spacing w:before="148" w:line="227" w:lineRule="auto"/>
              <w:ind w:left="192" w:right="32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包括服务器、小型机等计算设备的硬件故障诊断、部件更换、</w:t>
            </w:r>
            <w:r>
              <w:rPr>
                <w:rFonts w:hint="eastAsia" w:ascii="宋体" w:hAnsi="宋体" w:eastAsia="宋体" w:cs="宋体"/>
                <w:color w:val="333333"/>
                <w:spacing w:val="24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BIOS配置等知</w:t>
            </w:r>
            <w:r>
              <w:rPr>
                <w:rFonts w:hint="eastAsia" w:ascii="宋体" w:hAnsi="宋体" w:eastAsia="宋体" w:cs="宋体"/>
                <w:color w:val="333333"/>
                <w:spacing w:val="-9"/>
                <w:sz w:val="24"/>
                <w:szCs w:val="24"/>
              </w:rPr>
              <w:t>识。</w:t>
            </w:r>
          </w:p>
        </w:tc>
      </w:tr>
      <w:tr w14:paraId="1A7FC221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906" w:type="dxa"/>
            <w:vAlign w:val="top"/>
          </w:tcPr>
          <w:p w14:paraId="368312F0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99" w:type="dxa"/>
            <w:vAlign w:val="top"/>
          </w:tcPr>
          <w:p w14:paraId="1019A953">
            <w:pPr>
              <w:pStyle w:val="20"/>
              <w:spacing w:before="152" w:line="227" w:lineRule="auto"/>
              <w:ind w:left="191" w:right="304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4"/>
                <w:sz w:val="24"/>
                <w:szCs w:val="24"/>
              </w:rPr>
              <w:t>存储</w:t>
            </w: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运维</w:t>
            </w:r>
          </w:p>
        </w:tc>
        <w:tc>
          <w:tcPr>
            <w:tcW w:w="7019" w:type="dxa"/>
            <w:vAlign w:val="top"/>
          </w:tcPr>
          <w:p w14:paraId="34F4CE7C">
            <w:pPr>
              <w:pStyle w:val="20"/>
              <w:spacing w:before="299" w:line="188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4"/>
                <w:sz w:val="24"/>
                <w:szCs w:val="24"/>
              </w:rPr>
              <w:t>包括存储阵列、磁带库、光纤交换机等的配置、扩</w:t>
            </w: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容与故障处理方案。</w:t>
            </w:r>
          </w:p>
        </w:tc>
      </w:tr>
      <w:tr w14:paraId="46E33F34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906" w:type="dxa"/>
            <w:shd w:val="clear" w:color="auto" w:fill="F8F8F8"/>
            <w:vAlign w:val="top"/>
          </w:tcPr>
          <w:p w14:paraId="209C4510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F8F8F8"/>
            <w:vAlign w:val="top"/>
          </w:tcPr>
          <w:p w14:paraId="24E28353">
            <w:pPr>
              <w:pStyle w:val="20"/>
              <w:spacing w:before="155" w:line="226" w:lineRule="auto"/>
              <w:ind w:left="192" w:right="304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桌面运维</w:t>
            </w:r>
          </w:p>
        </w:tc>
        <w:tc>
          <w:tcPr>
            <w:tcW w:w="7019" w:type="dxa"/>
            <w:shd w:val="clear" w:color="auto" w:fill="F8F8F8"/>
            <w:vAlign w:val="top"/>
          </w:tcPr>
          <w:p w14:paraId="4AFDAD46">
            <w:pPr>
              <w:pStyle w:val="20"/>
              <w:spacing w:before="300" w:line="186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4"/>
                <w:sz w:val="24"/>
                <w:szCs w:val="24"/>
              </w:rPr>
              <w:t>包括</w: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PC</w:t>
            </w:r>
            <w:r>
              <w:rPr>
                <w:rFonts w:hint="eastAsia" w:ascii="宋体" w:hAnsi="宋体" w:eastAsia="宋体" w:cs="宋体"/>
                <w:color w:val="333333"/>
                <w:spacing w:val="4"/>
                <w:sz w:val="24"/>
                <w:szCs w:val="24"/>
              </w:rPr>
              <w:t>电脑、打印机、扫描仪等终端设备的安装、</w:t>
            </w: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调试与故障排除指南。</w:t>
            </w:r>
          </w:p>
        </w:tc>
      </w:tr>
      <w:tr w14:paraId="77B3D72B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9" w:hRule="atLeast"/>
        </w:trPr>
        <w:tc>
          <w:tcPr>
            <w:tcW w:w="906" w:type="dxa"/>
            <w:vAlign w:val="top"/>
          </w:tcPr>
          <w:p w14:paraId="6C725068">
            <w:pPr>
              <w:pStyle w:val="20"/>
              <w:spacing w:before="303" w:line="232" w:lineRule="auto"/>
              <w:ind w:left="197" w:right="30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3"/>
                <w:sz w:val="24"/>
                <w:szCs w:val="24"/>
              </w:rPr>
              <w:t>软件运维</w:t>
            </w:r>
          </w:p>
        </w:tc>
        <w:tc>
          <w:tcPr>
            <w:tcW w:w="899" w:type="dxa"/>
            <w:vAlign w:val="top"/>
          </w:tcPr>
          <w:p w14:paraId="3D597427">
            <w:pPr>
              <w:pStyle w:val="20"/>
              <w:spacing w:before="155" w:line="186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基础</w:t>
            </w:r>
          </w:p>
          <w:p w14:paraId="74D1E13A">
            <w:pPr>
              <w:pStyle w:val="20"/>
              <w:spacing w:before="46" w:line="187" w:lineRule="auto"/>
              <w:ind w:left="193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软件</w:t>
            </w:r>
          </w:p>
          <w:p w14:paraId="26591DFA">
            <w:pPr>
              <w:pStyle w:val="20"/>
              <w:spacing w:before="47" w:line="186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运维</w:t>
            </w:r>
          </w:p>
        </w:tc>
        <w:tc>
          <w:tcPr>
            <w:tcW w:w="7019" w:type="dxa"/>
            <w:vAlign w:val="top"/>
          </w:tcPr>
          <w:p w14:paraId="3564C818">
            <w:pPr>
              <w:pStyle w:val="20"/>
              <w:spacing w:before="303" w:line="204" w:lineRule="auto"/>
              <w:ind w:left="222" w:right="412" w:hanging="3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5"/>
                <w:sz w:val="24"/>
                <w:szCs w:val="24"/>
              </w:rPr>
              <w:t>包括操作系统（</w: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Windows</w:t>
            </w:r>
            <w:r>
              <w:rPr>
                <w:rFonts w:hint="eastAsia" w:ascii="宋体" w:hAnsi="宋体" w:eastAsia="宋体" w:cs="宋体"/>
                <w:color w:val="333333"/>
                <w:spacing w:val="5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Linux</w:t>
            </w:r>
            <w:r>
              <w:rPr>
                <w:rFonts w:hint="eastAsia" w:ascii="宋体" w:hAnsi="宋体" w:eastAsia="宋体" w:cs="宋体"/>
                <w:color w:val="333333"/>
                <w:spacing w:val="5"/>
                <w:sz w:val="24"/>
                <w:szCs w:val="24"/>
              </w:rPr>
              <w:t>）、数据库（</w: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Oracle</w:t>
            </w:r>
            <w:r>
              <w:rPr>
                <w:rFonts w:hint="eastAsia" w:ascii="宋体" w:hAnsi="宋体" w:eastAsia="宋体" w:cs="宋体"/>
                <w:color w:val="333333"/>
                <w:spacing w:val="5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MySQL</w:t>
            </w:r>
            <w:r>
              <w:rPr>
                <w:rFonts w:hint="eastAsia" w:ascii="宋体" w:hAnsi="宋体" w:eastAsia="宋体" w:cs="宋体"/>
                <w:color w:val="333333"/>
                <w:spacing w:val="5"/>
                <w:sz w:val="24"/>
                <w:szCs w:val="24"/>
              </w:rPr>
              <w:t>等）、中间件</w: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（Weblogic/Tomcat等）的安装、配置、调优与故障处理知识。</w:t>
            </w:r>
          </w:p>
        </w:tc>
      </w:tr>
      <w:tr w14:paraId="074D54DB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6" w:hRule="atLeast"/>
        </w:trPr>
        <w:tc>
          <w:tcPr>
            <w:tcW w:w="906" w:type="dxa"/>
            <w:shd w:val="clear" w:color="auto" w:fill="F8F8F8"/>
            <w:vAlign w:val="top"/>
          </w:tcPr>
          <w:p w14:paraId="35A6FC98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F8F8F8"/>
            <w:vAlign w:val="top"/>
          </w:tcPr>
          <w:p w14:paraId="092B619A">
            <w:pPr>
              <w:pStyle w:val="20"/>
              <w:spacing w:before="155" w:line="187" w:lineRule="auto"/>
              <w:ind w:left="19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4"/>
                <w:sz w:val="24"/>
                <w:szCs w:val="24"/>
              </w:rPr>
              <w:t>应用</w:t>
            </w:r>
          </w:p>
          <w:p w14:paraId="6243A537">
            <w:pPr>
              <w:pStyle w:val="20"/>
              <w:spacing w:before="46" w:line="187" w:lineRule="auto"/>
              <w:ind w:left="193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软件</w:t>
            </w:r>
          </w:p>
          <w:p w14:paraId="0745E6C3">
            <w:pPr>
              <w:pStyle w:val="20"/>
              <w:spacing w:before="47" w:line="186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运维</w:t>
            </w:r>
          </w:p>
        </w:tc>
        <w:tc>
          <w:tcPr>
            <w:tcW w:w="7019" w:type="dxa"/>
            <w:shd w:val="clear" w:color="auto" w:fill="F8F8F8"/>
            <w:vAlign w:val="top"/>
          </w:tcPr>
          <w:p w14:paraId="6ABAFFE8">
            <w:pPr>
              <w:pStyle w:val="20"/>
              <w:spacing w:before="305" w:line="231" w:lineRule="auto"/>
              <w:ind w:left="193" w:right="416" w:hang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4"/>
                <w:sz w:val="24"/>
                <w:szCs w:val="24"/>
              </w:rPr>
              <w:t>包括公司自主开发或采购的业务应用系统的功能使用说</w:t>
            </w: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明、常见问题解答、</w:t>
            </w:r>
            <w:r>
              <w:rPr>
                <w:rFonts w:hint="eastAsia" w:ascii="宋体" w:hAnsi="宋体" w:eastAsia="宋体" w:cs="宋体"/>
                <w:color w:val="333333"/>
                <w:spacing w:val="-1"/>
                <w:sz w:val="24"/>
                <w:szCs w:val="24"/>
              </w:rPr>
              <w:t>故障排查手册等。</w:t>
            </w:r>
          </w:p>
        </w:tc>
      </w:tr>
    </w:tbl>
    <w:p w14:paraId="0190E240">
      <w:pPr>
        <w:pStyle w:val="11"/>
        <w:spacing w:before="301" w:line="185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6"/>
          <w:sz w:val="24"/>
          <w:szCs w:val="24"/>
        </w:rPr>
        <w:t>注：知识提交时需选择至少一个一级和二级分类标签。</w:t>
      </w:r>
    </w:p>
    <w:p w14:paraId="6B684603">
      <w:pPr>
        <w:pStyle w:val="21"/>
        <w:bidi w:val="0"/>
        <w:rPr>
          <w:rFonts w:hint="eastAsia"/>
        </w:rPr>
      </w:pPr>
      <w:bookmarkStart w:id="9" w:name="_Toc18502"/>
      <w:r>
        <w:rPr>
          <w:rFonts w:hint="eastAsia"/>
        </w:rPr>
        <w:t>服务知识生命周期管理流程</w:t>
      </w:r>
      <w:bookmarkEnd w:id="9"/>
    </w:p>
    <w:p w14:paraId="550A27FF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00" w:firstLineChars="200"/>
        <w:textAlignment w:val="baseline"/>
        <w:rPr>
          <w:rFonts w:hint="eastAsia" w:ascii="宋体" w:hAnsi="宋体" w:eastAsia="宋体" w:cs="宋体"/>
          <w:color w:val="333333"/>
          <w:spacing w:val="5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  <w:t>服务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知识生命周期包含以下十二个组成部分，确保知识从产生到消亡的每一个环节都得到有效管理：</w:t>
      </w:r>
    </w:p>
    <w:p w14:paraId="2046F0DF">
      <w:pPr>
        <w:pStyle w:val="22"/>
        <w:bidi w:val="0"/>
        <w:rPr>
          <w:rFonts w:hint="eastAsia"/>
        </w:rPr>
      </w:pPr>
      <w:bookmarkStart w:id="10" w:name="_Toc29840"/>
      <w:r>
        <w:rPr>
          <w:rFonts w:hint="eastAsia"/>
        </w:rPr>
        <w:t>知识的识别与收集</w:t>
      </w:r>
      <w:bookmarkEnd w:id="10"/>
    </w:p>
    <w:p w14:paraId="36C309E5">
      <w:pPr>
        <w:pStyle w:val="11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color w:val="333333"/>
          <w:spacing w:val="3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服务人员在日常工作中应主动识别可复用的知识，来源包括但不限于：</w:t>
      </w:r>
    </w:p>
    <w:p w14:paraId="52199AF7">
      <w:pPr>
        <w:pStyle w:val="11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color w:val="333333"/>
          <w:spacing w:val="3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已成功解决的重大或重复性事件/问题的解决方案。</w:t>
      </w:r>
    </w:p>
    <w:p w14:paraId="6E1F1B77">
      <w:pPr>
        <w:pStyle w:val="11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color w:val="333333"/>
          <w:spacing w:val="3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问题管理分析出的根本原因和规避方案。</w:t>
      </w:r>
    </w:p>
    <w:p w14:paraId="40C01837">
      <w:pPr>
        <w:pStyle w:val="11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color w:val="333333"/>
          <w:spacing w:val="3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变更实施后总结的成功经验或回滚方案。</w:t>
      </w:r>
    </w:p>
    <w:p w14:paraId="3AD422F8">
      <w:pPr>
        <w:pStyle w:val="11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color w:val="333333"/>
          <w:spacing w:val="3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技术服务请求中的通用操作指南。</w:t>
      </w:r>
    </w:p>
    <w:p w14:paraId="5078BE12">
      <w:pPr>
        <w:pStyle w:val="11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color w:val="333333"/>
          <w:spacing w:val="3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外部厂商提供的技术白皮书、最佳实践。</w:t>
      </w:r>
    </w:p>
    <w:p w14:paraId="79F204B3">
      <w:pPr>
        <w:pStyle w:val="22"/>
        <w:bidi w:val="0"/>
        <w:rPr>
          <w:rFonts w:hint="eastAsia"/>
        </w:rPr>
      </w:pPr>
      <w:bookmarkStart w:id="11" w:name="_Toc30801"/>
      <w:r>
        <w:rPr>
          <w:rFonts w:hint="eastAsia"/>
        </w:rPr>
        <w:t>知识的发起</w:t>
      </w:r>
      <w:bookmarkEnd w:id="11"/>
    </w:p>
    <w:p w14:paraId="0442D80A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00" w:firstLineChars="200"/>
        <w:textAlignment w:val="baseline"/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  <w:t>知识的创建由服务知识管管理员发起。发起人应初步判断知识的价值与复用性，并填写知识草稿。</w:t>
      </w:r>
    </w:p>
    <w:p w14:paraId="6D88A6F4">
      <w:pPr>
        <w:pStyle w:val="22"/>
        <w:bidi w:val="0"/>
        <w:rPr>
          <w:rFonts w:hint="eastAsia"/>
        </w:rPr>
      </w:pPr>
      <w:bookmarkStart w:id="12" w:name="_Toc16608"/>
      <w:r>
        <w:rPr>
          <w:rFonts w:hint="eastAsia"/>
        </w:rPr>
        <w:t>知识的来源</w:t>
      </w:r>
      <w:bookmarkEnd w:id="12"/>
    </w:p>
    <w:p w14:paraId="3D1768E0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00" w:firstLineChars="200"/>
        <w:textAlignment w:val="baseline"/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  <w:t>所有知识必须注明可靠来源（如关联的事件单号、问题单号、变更单号或参考文档链接），以确保其真实性和可追溯性。</w:t>
      </w:r>
    </w:p>
    <w:p w14:paraId="72D0D9DB">
      <w:pPr>
        <w:pStyle w:val="22"/>
        <w:bidi w:val="0"/>
        <w:rPr>
          <w:rFonts w:hint="eastAsia"/>
        </w:rPr>
      </w:pPr>
      <w:bookmarkStart w:id="13" w:name="_Toc25262"/>
      <w:r>
        <w:rPr>
          <w:rFonts w:hint="eastAsia"/>
        </w:rPr>
        <w:t>知识的加工整理</w:t>
      </w:r>
      <w:bookmarkEnd w:id="13"/>
    </w:p>
    <w:p w14:paraId="0DC9FAF8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00" w:firstLineChars="200"/>
        <w:textAlignment w:val="baseline"/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  <w:t>知识发起人需对原始信息进行加工，形成标准化的知识条目。格式应包含：  问题现象、根本原因、解决步骤、所需工具、预防措施等，力求清晰、准确、易于理解。</w:t>
      </w:r>
    </w:p>
    <w:p w14:paraId="7A6F8E0E">
      <w:pPr>
        <w:pStyle w:val="22"/>
        <w:bidi w:val="0"/>
        <w:rPr>
          <w:rFonts w:hint="eastAsia"/>
        </w:rPr>
      </w:pPr>
      <w:bookmarkStart w:id="14" w:name="_Toc26110"/>
      <w:r>
        <w:rPr>
          <w:rFonts w:hint="eastAsia"/>
        </w:rPr>
        <w:t>知识的提交</w:t>
      </w:r>
      <w:bookmarkEnd w:id="14"/>
    </w:p>
    <w:p w14:paraId="4F65ED90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00" w:firstLineChars="200"/>
        <w:textAlignment w:val="baseline"/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  <w:t>加工整理后的知识，通过知识库系统的“提交”功能，进入待审核流程。提交时需填写完整属性，如标题、分类、关键字、适用环境等。</w:t>
      </w:r>
    </w:p>
    <w:p w14:paraId="33D782B0">
      <w:pPr>
        <w:pStyle w:val="22"/>
        <w:bidi w:val="0"/>
        <w:rPr>
          <w:rFonts w:hint="eastAsia"/>
        </w:rPr>
      </w:pPr>
      <w:bookmarkStart w:id="15" w:name="_Toc20564"/>
      <w:r>
        <w:rPr>
          <w:rFonts w:hint="eastAsia"/>
        </w:rPr>
        <w:t>知识的分类</w:t>
      </w:r>
      <w:bookmarkEnd w:id="15"/>
    </w:p>
    <w:p w14:paraId="2F13F012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00" w:firstLineChars="200"/>
        <w:textAlignment w:val="baseline"/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  <w:t>知识提交人必须根据第4章规定的分类体系，为知识选择准确的一级和二级分类标签，便于后续检索和统计。</w:t>
      </w:r>
    </w:p>
    <w:p w14:paraId="2E49E03A">
      <w:pPr>
        <w:pStyle w:val="22"/>
        <w:bidi w:val="0"/>
        <w:rPr>
          <w:rFonts w:hint="eastAsia"/>
        </w:rPr>
      </w:pPr>
      <w:bookmarkStart w:id="16" w:name="_Toc26928"/>
      <w:r>
        <w:rPr>
          <w:rFonts w:hint="eastAsia"/>
        </w:rPr>
        <w:t>知识点审核</w:t>
      </w:r>
      <w:bookmarkEnd w:id="16"/>
    </w:p>
    <w:p w14:paraId="6F032ECC">
      <w:pPr>
        <w:pStyle w:val="11"/>
        <w:spacing w:before="196" w:line="187" w:lineRule="auto"/>
        <w:ind w:left="21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知识提交后，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  <w:t>服务知识经理审核</w:t>
      </w:r>
      <w:r>
        <w:rPr>
          <w:rFonts w:hint="eastAsia" w:ascii="宋体" w:hAnsi="宋体" w:eastAsia="宋体" w:cs="宋体"/>
          <w:color w:val="333333"/>
          <w:spacing w:val="4"/>
          <w:sz w:val="24"/>
          <w:szCs w:val="24"/>
        </w:rPr>
        <w:t>。</w:t>
      </w:r>
    </w:p>
    <w:p w14:paraId="59CAAF1F">
      <w:pPr>
        <w:pStyle w:val="11"/>
        <w:spacing w:before="44" w:line="188" w:lineRule="auto"/>
        <w:ind w:left="21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审核人需从</w:t>
      </w:r>
      <w:r>
        <w:rPr>
          <w:rFonts w:hint="eastAsia" w:ascii="宋体" w:hAnsi="宋体" w:eastAsia="宋体" w:cs="宋体"/>
          <w:b/>
          <w:bCs/>
          <w:color w:val="333333"/>
          <w:spacing w:val="3"/>
          <w:sz w:val="24"/>
          <w:szCs w:val="24"/>
        </w:rPr>
        <w:t>准确性、完整性、规范性、合规性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和</w:t>
      </w:r>
      <w:r>
        <w:rPr>
          <w:rFonts w:hint="eastAsia" w:ascii="宋体" w:hAnsi="宋体" w:eastAsia="宋体" w:cs="宋体"/>
          <w:b/>
          <w:bCs/>
          <w:color w:val="333333"/>
          <w:spacing w:val="3"/>
          <w:sz w:val="24"/>
          <w:szCs w:val="24"/>
        </w:rPr>
        <w:t>保密性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等方面进行评审。</w:t>
      </w:r>
    </w:p>
    <w:p w14:paraId="4CFB85AE">
      <w:pPr>
        <w:pStyle w:val="11"/>
        <w:spacing w:before="45" w:line="188" w:lineRule="auto"/>
        <w:ind w:left="21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审核结果分为：</w:t>
      </w:r>
      <w:r>
        <w:rPr>
          <w:rFonts w:hint="eastAsia" w:ascii="宋体" w:hAnsi="宋体" w:eastAsia="宋体" w:cs="宋体"/>
          <w:color w:val="333333"/>
          <w:spacing w:val="-2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color w:val="333333"/>
          <w:spacing w:val="3"/>
          <w:sz w:val="24"/>
          <w:szCs w:val="24"/>
        </w:rPr>
        <w:t>批准、驳回（需注明理由）、退回修改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。</w:t>
      </w:r>
    </w:p>
    <w:p w14:paraId="6ABD63A9">
      <w:pPr>
        <w:pStyle w:val="22"/>
        <w:bidi w:val="0"/>
        <w:rPr>
          <w:rFonts w:hint="eastAsia"/>
        </w:rPr>
      </w:pPr>
      <w:bookmarkStart w:id="17" w:name="_Toc14573"/>
      <w:r>
        <w:rPr>
          <w:rFonts w:hint="eastAsia"/>
        </w:rPr>
        <w:t>知识发布及有效性管理</w:t>
      </w:r>
      <w:bookmarkEnd w:id="17"/>
    </w:p>
    <w:p w14:paraId="7B7C58E0">
      <w:pPr>
        <w:pStyle w:val="11"/>
        <w:numPr>
          <w:ilvl w:val="0"/>
          <w:numId w:val="5"/>
        </w:numPr>
        <w:spacing w:before="194" w:line="188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审核通过的知识由</w:t>
      </w:r>
      <w:r>
        <w:rPr>
          <w:rFonts w:hint="eastAsia" w:ascii="宋体" w:hAnsi="宋体" w:eastAsia="宋体" w:cs="宋体"/>
          <w:b/>
          <w:bCs/>
          <w:color w:val="333333"/>
          <w:spacing w:val="3"/>
          <w:sz w:val="24"/>
          <w:szCs w:val="24"/>
          <w:lang w:eastAsia="zh-CN"/>
        </w:rPr>
        <w:t>服务知识经理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正式发布至知识库，所有用户可见可用。</w:t>
      </w:r>
    </w:p>
    <w:p w14:paraId="24625F9A">
      <w:pPr>
        <w:pStyle w:val="11"/>
        <w:numPr>
          <w:ilvl w:val="0"/>
          <w:numId w:val="5"/>
        </w:numPr>
        <w:spacing w:before="47" w:line="232" w:lineRule="auto"/>
        <w:ind w:left="425" w:leftChars="0" w:right="24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知识发布后，系统应记录其</w:t>
      </w:r>
      <w:r>
        <w:rPr>
          <w:rFonts w:hint="eastAsia" w:ascii="宋体" w:hAnsi="宋体" w:eastAsia="宋体" w:cs="宋体"/>
          <w:b/>
          <w:bCs/>
          <w:color w:val="333333"/>
          <w:spacing w:val="5"/>
          <w:sz w:val="24"/>
          <w:szCs w:val="24"/>
        </w:rPr>
        <w:t>被阅读次数、被采纳次数、解决率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和</w:t>
      </w:r>
      <w:r>
        <w:rPr>
          <w:rFonts w:hint="eastAsia" w:ascii="宋体" w:hAnsi="宋体" w:eastAsia="宋体" w:cs="宋体"/>
          <w:b/>
          <w:bCs/>
          <w:color w:val="333333"/>
          <w:spacing w:val="5"/>
          <w:sz w:val="24"/>
          <w:szCs w:val="24"/>
        </w:rPr>
        <w:t>用户评分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，用以持续评估其有效</w:t>
      </w:r>
      <w:r>
        <w:rPr>
          <w:rFonts w:hint="eastAsia" w:ascii="宋体" w:hAnsi="宋体" w:eastAsia="宋体" w:cs="宋体"/>
          <w:color w:val="333333"/>
          <w:spacing w:val="-8"/>
          <w:sz w:val="24"/>
          <w:szCs w:val="24"/>
        </w:rPr>
        <w:t>性。</w:t>
      </w:r>
    </w:p>
    <w:p w14:paraId="45DB4250">
      <w:pPr>
        <w:pStyle w:val="22"/>
        <w:bidi w:val="0"/>
        <w:rPr>
          <w:rFonts w:hint="eastAsia"/>
        </w:rPr>
      </w:pPr>
      <w:bookmarkStart w:id="18" w:name="_Toc21748"/>
      <w:r>
        <w:rPr>
          <w:rFonts w:hint="eastAsia"/>
        </w:rPr>
        <w:t>知识传播</w:t>
      </w:r>
      <w:bookmarkEnd w:id="18"/>
    </w:p>
    <w:p w14:paraId="29DA52F0">
      <w:pPr>
        <w:pStyle w:val="11"/>
        <w:numPr>
          <w:ilvl w:val="0"/>
          <w:numId w:val="6"/>
        </w:numPr>
        <w:spacing w:before="209" w:line="220" w:lineRule="auto"/>
        <w:ind w:left="425" w:leftChars="0" w:right="10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通过知识库门户、邮件订阅、</w:t>
      </w:r>
      <w:r>
        <w:rPr>
          <w:rFonts w:hint="eastAsia" w:ascii="宋体" w:hAnsi="宋体" w:eastAsia="宋体" w:cs="宋体"/>
          <w:color w:val="333333"/>
          <w:spacing w:val="27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RSS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推送、与事件管理流程联动（自动推荐）等方式，</w:t>
      </w:r>
      <w:r>
        <w:rPr>
          <w:rFonts w:hint="eastAsia" w:ascii="宋体" w:hAnsi="宋体" w:eastAsia="宋体" w:cs="宋体"/>
          <w:color w:val="333333"/>
          <w:spacing w:val="2"/>
          <w:sz w:val="24"/>
          <w:szCs w:val="24"/>
        </w:rPr>
        <w:t>将新知识主动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传递给相关服务人员。</w:t>
      </w:r>
    </w:p>
    <w:p w14:paraId="142D98B0">
      <w:pPr>
        <w:pStyle w:val="11"/>
        <w:numPr>
          <w:ilvl w:val="0"/>
          <w:numId w:val="6"/>
        </w:numPr>
        <w:spacing w:before="1" w:line="187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定期组织知识分享会，对高价值知识进行专题宣讲。</w:t>
      </w:r>
    </w:p>
    <w:p w14:paraId="493CE43F">
      <w:pPr>
        <w:pStyle w:val="22"/>
        <w:bidi w:val="0"/>
        <w:rPr>
          <w:rFonts w:hint="eastAsia"/>
        </w:rPr>
      </w:pPr>
      <w:bookmarkStart w:id="19" w:name="_Toc4248"/>
      <w:r>
        <w:rPr>
          <w:rFonts w:hint="eastAsia"/>
        </w:rPr>
        <w:t>知识共享</w:t>
      </w:r>
      <w:bookmarkEnd w:id="19"/>
    </w:p>
    <w:p w14:paraId="6AFF3A4C">
      <w:pPr>
        <w:pStyle w:val="11"/>
        <w:numPr>
          <w:ilvl w:val="0"/>
          <w:numId w:val="7"/>
        </w:numPr>
        <w:spacing w:before="209" w:line="188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营造共享文化，鼓励员工使用、评论、补充和评分知识。</w:t>
      </w:r>
    </w:p>
    <w:p w14:paraId="4E5A03CF">
      <w:pPr>
        <w:pStyle w:val="11"/>
        <w:numPr>
          <w:ilvl w:val="0"/>
          <w:numId w:val="7"/>
        </w:numPr>
        <w:spacing w:before="45" w:line="188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设立激励机制，对贡献高质量知识的员工给予表彰或奖励。</w:t>
      </w:r>
    </w:p>
    <w:p w14:paraId="71D4261B">
      <w:pPr>
        <w:pStyle w:val="22"/>
        <w:bidi w:val="0"/>
        <w:rPr>
          <w:rFonts w:hint="eastAsia"/>
        </w:rPr>
      </w:pPr>
      <w:bookmarkStart w:id="20" w:name="_Toc23094"/>
      <w:r>
        <w:rPr>
          <w:rFonts w:hint="eastAsia"/>
        </w:rPr>
        <w:t>知识更新</w:t>
      </w:r>
      <w:bookmarkEnd w:id="20"/>
    </w:p>
    <w:p w14:paraId="7126C842">
      <w:pPr>
        <w:pStyle w:val="11"/>
        <w:numPr>
          <w:ilvl w:val="0"/>
          <w:numId w:val="8"/>
        </w:numPr>
        <w:spacing w:before="195" w:line="188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  <w:lang w:eastAsia="zh-CN"/>
        </w:rPr>
        <w:t>服务知识经理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定期组织对知识进行复审（建议每半年一次）。</w:t>
      </w:r>
    </w:p>
    <w:p w14:paraId="36CA214B">
      <w:pPr>
        <w:pStyle w:val="11"/>
        <w:numPr>
          <w:ilvl w:val="0"/>
          <w:numId w:val="8"/>
        </w:numPr>
        <w:spacing w:before="44" w:line="188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4"/>
          <w:sz w:val="24"/>
          <w:szCs w:val="24"/>
        </w:rPr>
        <w:t>任何员工发现知识过期或错误时，可发起更新流程。更新流程需遵循同样的提交与审核环节。</w:t>
      </w:r>
    </w:p>
    <w:p w14:paraId="1C98C895">
      <w:pPr>
        <w:pStyle w:val="22"/>
        <w:bidi w:val="0"/>
        <w:rPr>
          <w:rFonts w:hint="eastAsia"/>
        </w:rPr>
      </w:pPr>
      <w:bookmarkStart w:id="21" w:name="_Toc17581"/>
      <w:r>
        <w:rPr>
          <w:rFonts w:hint="eastAsia"/>
        </w:rPr>
        <w:t>知识版本管理</w:t>
      </w:r>
      <w:bookmarkEnd w:id="21"/>
    </w:p>
    <w:p w14:paraId="20E08AFA">
      <w:pPr>
        <w:pStyle w:val="11"/>
        <w:numPr>
          <w:ilvl w:val="0"/>
          <w:numId w:val="9"/>
        </w:numPr>
        <w:spacing w:before="195" w:line="188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4"/>
          <w:sz w:val="24"/>
          <w:szCs w:val="24"/>
        </w:rPr>
        <w:t>知识库系统需自动保留知识的历次修改版本，记录版本号、修改时间、修改人和修改内容。</w:t>
      </w:r>
    </w:p>
    <w:p w14:paraId="66CA8BB5">
      <w:pPr>
        <w:pStyle w:val="11"/>
        <w:numPr>
          <w:ilvl w:val="0"/>
          <w:numId w:val="9"/>
        </w:numPr>
        <w:spacing w:before="46" w:line="230" w:lineRule="auto"/>
        <w:ind w:left="425" w:leftChars="0" w:right="103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-1"/>
          <w:sz w:val="24"/>
          <w:szCs w:val="24"/>
        </w:rPr>
        <w:t>对于已过时但仍具参考价值的知识，应将其状态置为“历史版本”并归档，而非直接删除，以保证知识的可追溯性。</w:t>
      </w:r>
    </w:p>
    <w:p w14:paraId="1175401B">
      <w:pPr>
        <w:pStyle w:val="21"/>
        <w:bidi w:val="0"/>
        <w:rPr>
          <w:rFonts w:hint="eastAsia"/>
        </w:rPr>
      </w:pPr>
      <w:bookmarkStart w:id="22" w:name="_Toc14469"/>
      <w:r>
        <w:rPr>
          <w:rFonts w:hint="eastAsia"/>
        </w:rPr>
        <w:t>考核与奖惩</w:t>
      </w:r>
      <w:bookmarkEnd w:id="22"/>
    </w:p>
    <w:tbl>
      <w:tblPr>
        <w:tblStyle w:val="19"/>
        <w:tblW w:w="5522" w:type="dxa"/>
        <w:tblInd w:w="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7"/>
        <w:gridCol w:w="2974"/>
        <w:gridCol w:w="991"/>
      </w:tblGrid>
      <w:tr w14:paraId="1FFF92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557" w:type="dxa"/>
            <w:vAlign w:val="top"/>
          </w:tcPr>
          <w:p w14:paraId="3B27B980">
            <w:pPr>
              <w:pStyle w:val="20"/>
              <w:spacing w:before="149" w:line="220" w:lineRule="auto"/>
              <w:ind w:left="239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考核指标</w:t>
            </w:r>
          </w:p>
        </w:tc>
        <w:tc>
          <w:tcPr>
            <w:tcW w:w="2974" w:type="dxa"/>
            <w:vAlign w:val="top"/>
          </w:tcPr>
          <w:p w14:paraId="4123F840">
            <w:pPr>
              <w:pStyle w:val="20"/>
              <w:spacing w:before="149" w:line="220" w:lineRule="auto"/>
              <w:ind w:left="413"/>
              <w:rPr>
                <w:rFonts w:hint="default" w:eastAsia="宋体"/>
                <w:spacing w:val="-1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1"/>
                <w:sz w:val="18"/>
                <w:szCs w:val="18"/>
                <w:lang w:val="en-US" w:eastAsia="zh-CN"/>
              </w:rPr>
              <w:t>计算方式</w:t>
            </w:r>
          </w:p>
        </w:tc>
        <w:tc>
          <w:tcPr>
            <w:tcW w:w="991" w:type="dxa"/>
            <w:vAlign w:val="top"/>
          </w:tcPr>
          <w:p w14:paraId="07007894">
            <w:pPr>
              <w:pStyle w:val="20"/>
              <w:spacing w:before="149" w:line="220" w:lineRule="auto"/>
              <w:ind w:left="231" w:leftChars="0"/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频次</w:t>
            </w:r>
          </w:p>
        </w:tc>
      </w:tr>
      <w:tr w14:paraId="4A7E26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557" w:type="dxa"/>
            <w:vAlign w:val="top"/>
          </w:tcPr>
          <w:p w14:paraId="59F8663B">
            <w:pPr>
              <w:pStyle w:val="20"/>
              <w:spacing w:before="149" w:line="220" w:lineRule="auto"/>
              <w:ind w:left="23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新增知识条目</w:t>
            </w:r>
          </w:p>
        </w:tc>
        <w:tc>
          <w:tcPr>
            <w:tcW w:w="2974" w:type="dxa"/>
            <w:vAlign w:val="top"/>
          </w:tcPr>
          <w:p w14:paraId="3513F8E6">
            <w:pPr>
              <w:pStyle w:val="20"/>
              <w:spacing w:before="149" w:line="220" w:lineRule="auto"/>
              <w:ind w:left="413"/>
              <w:rPr>
                <w:sz w:val="18"/>
                <w:szCs w:val="18"/>
              </w:rPr>
            </w:pPr>
            <w:r>
              <w:rPr>
                <w:rFonts w:hint="eastAsia"/>
                <w:spacing w:val="-1"/>
                <w:sz w:val="18"/>
                <w:szCs w:val="18"/>
                <w:lang w:val="en-US" w:eastAsia="zh-CN"/>
              </w:rPr>
              <w:t>统计服务知识</w:t>
            </w:r>
            <w:bookmarkStart w:id="23" w:name="_GoBack"/>
            <w:bookmarkEnd w:id="23"/>
            <w:r>
              <w:rPr>
                <w:spacing w:val="-1"/>
                <w:sz w:val="18"/>
                <w:szCs w:val="18"/>
              </w:rPr>
              <w:t>中新增知识条目</w:t>
            </w:r>
          </w:p>
        </w:tc>
        <w:tc>
          <w:tcPr>
            <w:tcW w:w="991" w:type="dxa"/>
            <w:vAlign w:val="top"/>
          </w:tcPr>
          <w:p w14:paraId="1A84862F">
            <w:pPr>
              <w:pStyle w:val="20"/>
              <w:spacing w:before="149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</w:tr>
    </w:tbl>
    <w:p w14:paraId="4CB63FEA">
      <w:pPr>
        <w:pStyle w:val="11"/>
        <w:spacing w:before="218" w:line="187" w:lineRule="auto"/>
        <w:rPr>
          <w:rFonts w:hint="eastAsia" w:ascii="宋体" w:hAnsi="宋体" w:eastAsia="宋体" w:cs="宋体"/>
          <w:sz w:val="24"/>
          <w:szCs w:val="24"/>
        </w:rPr>
      </w:pPr>
    </w:p>
    <w:sectPr>
      <w:headerReference r:id="rId5" w:type="default"/>
      <w:pgSz w:w="11900" w:h="16839"/>
      <w:pgMar w:top="400" w:right="1474" w:bottom="1134" w:left="154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331065">
    <w:pPr>
      <w:spacing w:line="14" w:lineRule="auto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1431055"/>
    <w:multiLevelType w:val="singleLevel"/>
    <w:tmpl w:val="9143105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C3B2CBEC"/>
    <w:multiLevelType w:val="singleLevel"/>
    <w:tmpl w:val="C3B2CBE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1EA5BAF4"/>
    <w:multiLevelType w:val="singleLevel"/>
    <w:tmpl w:val="1EA5BAF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2D6CF30F"/>
    <w:multiLevelType w:val="singleLevel"/>
    <w:tmpl w:val="2D6CF30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4262BD08"/>
    <w:multiLevelType w:val="singleLevel"/>
    <w:tmpl w:val="4262BD0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67A96B33"/>
    <w:multiLevelType w:val="singleLevel"/>
    <w:tmpl w:val="67A96B3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753A64CF"/>
    <w:multiLevelType w:val="singleLevel"/>
    <w:tmpl w:val="753A64C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767A4858"/>
    <w:multiLevelType w:val="singleLevel"/>
    <w:tmpl w:val="767A485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21F7DC1"/>
    <w:rsid w:val="077D7D70"/>
    <w:rsid w:val="07910120"/>
    <w:rsid w:val="09C821F4"/>
    <w:rsid w:val="0A71587A"/>
    <w:rsid w:val="0ABA32A4"/>
    <w:rsid w:val="0CD93263"/>
    <w:rsid w:val="0F4075C9"/>
    <w:rsid w:val="0FE10DAC"/>
    <w:rsid w:val="10947BCD"/>
    <w:rsid w:val="11CC3396"/>
    <w:rsid w:val="147C72F5"/>
    <w:rsid w:val="1A1D1834"/>
    <w:rsid w:val="1A842629"/>
    <w:rsid w:val="1BD143CB"/>
    <w:rsid w:val="1BD9327F"/>
    <w:rsid w:val="1D1F3194"/>
    <w:rsid w:val="1D861332"/>
    <w:rsid w:val="1E9807BB"/>
    <w:rsid w:val="201A517D"/>
    <w:rsid w:val="26885B47"/>
    <w:rsid w:val="27277595"/>
    <w:rsid w:val="28BF50C6"/>
    <w:rsid w:val="29FD415C"/>
    <w:rsid w:val="2BEE5268"/>
    <w:rsid w:val="363870C8"/>
    <w:rsid w:val="37E1553E"/>
    <w:rsid w:val="3B457B92"/>
    <w:rsid w:val="3D347EBE"/>
    <w:rsid w:val="3EB61701"/>
    <w:rsid w:val="3F03223E"/>
    <w:rsid w:val="3F150C28"/>
    <w:rsid w:val="401D10DD"/>
    <w:rsid w:val="413C4351"/>
    <w:rsid w:val="4284648A"/>
    <w:rsid w:val="43853221"/>
    <w:rsid w:val="46024FFD"/>
    <w:rsid w:val="478B2DD0"/>
    <w:rsid w:val="47AE203A"/>
    <w:rsid w:val="47CE5910"/>
    <w:rsid w:val="48C742DC"/>
    <w:rsid w:val="496D4E83"/>
    <w:rsid w:val="4B920BD1"/>
    <w:rsid w:val="4CCA09EB"/>
    <w:rsid w:val="4FB77781"/>
    <w:rsid w:val="52661F5C"/>
    <w:rsid w:val="53230361"/>
    <w:rsid w:val="53E140C5"/>
    <w:rsid w:val="543F1C67"/>
    <w:rsid w:val="54B4504C"/>
    <w:rsid w:val="56674A08"/>
    <w:rsid w:val="580A0140"/>
    <w:rsid w:val="5B8D634E"/>
    <w:rsid w:val="5D8E58B6"/>
    <w:rsid w:val="6484290F"/>
    <w:rsid w:val="65B337C6"/>
    <w:rsid w:val="65F00576"/>
    <w:rsid w:val="6C557385"/>
    <w:rsid w:val="6C81461E"/>
    <w:rsid w:val="6CD719A4"/>
    <w:rsid w:val="6D3451EC"/>
    <w:rsid w:val="6FF15617"/>
    <w:rsid w:val="715E1202"/>
    <w:rsid w:val="760338C7"/>
    <w:rsid w:val="763F235F"/>
    <w:rsid w:val="7E21356B"/>
    <w:rsid w:val="7F8E2E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5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table" w:customStyle="1" w:styleId="19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1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2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3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4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2139</Words>
  <Characters>2258</Characters>
  <TotalTime>1</TotalTime>
  <ScaleCrop>false</ScaleCrop>
  <LinksUpToDate>false</LinksUpToDate>
  <CharactersWithSpaces>2313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2025-08-27T14:01:00Z</dcterms:created>
  <dc:creator>18442</dc:creator>
  <cp:lastModifiedBy>郝宇</cp:lastModifiedBy>
  <dcterms:modified xsi:type="dcterms:W3CDTF">2025-08-29T09:04:03Z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2025-08-27T22:02:41Z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F2901134399A423987DE2DB22977A822_12</vt:lpwstr>
  </property>
</Properties>
</file>