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jc w:val="center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1827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最终软件库管理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程序</w:t>
      </w:r>
      <w:bookmarkEnd w:id="0"/>
    </w:p>
    <w:p w14:paraId="135F2EA6">
      <w:pPr>
        <w:pStyle w:val="5"/>
        <w:spacing w:line="259" w:lineRule="auto"/>
      </w:pPr>
    </w:p>
    <w:p w14:paraId="0109FF11">
      <w:pPr>
        <w:pStyle w:val="5"/>
        <w:spacing w:line="259" w:lineRule="auto"/>
      </w:pPr>
    </w:p>
    <w:p w14:paraId="1478B44F">
      <w:pPr>
        <w:pStyle w:val="5"/>
        <w:spacing w:line="259" w:lineRule="auto"/>
      </w:pPr>
    </w:p>
    <w:p w14:paraId="7A3B5173">
      <w:pPr>
        <w:pStyle w:val="5"/>
        <w:spacing w:line="259" w:lineRule="auto"/>
      </w:pPr>
    </w:p>
    <w:p w14:paraId="587499C4">
      <w:pPr>
        <w:pStyle w:val="5"/>
        <w:spacing w:line="259" w:lineRule="auto"/>
      </w:pPr>
    </w:p>
    <w:p w14:paraId="70FF0A50">
      <w:pPr>
        <w:pStyle w:val="5"/>
        <w:spacing w:line="260" w:lineRule="auto"/>
      </w:pPr>
    </w:p>
    <w:p w14:paraId="747ADD33">
      <w:pPr>
        <w:pStyle w:val="5"/>
        <w:spacing w:line="260" w:lineRule="auto"/>
      </w:pPr>
    </w:p>
    <w:p w14:paraId="6AD77947">
      <w:pPr>
        <w:spacing w:line="1293" w:lineRule="exact"/>
        <w:rPr>
          <w:position w:val="-25"/>
        </w:rPr>
      </w:pPr>
    </w:p>
    <w:p w14:paraId="21EB6E53">
      <w:pPr>
        <w:spacing w:line="1293" w:lineRule="exact"/>
        <w:jc w:val="center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5"/>
        <w:spacing w:line="245" w:lineRule="auto"/>
      </w:pPr>
    </w:p>
    <w:p w14:paraId="1D1899EC">
      <w:pPr>
        <w:pStyle w:val="5"/>
        <w:spacing w:line="245" w:lineRule="auto"/>
        <w:jc w:val="center"/>
      </w:pPr>
    </w:p>
    <w:p w14:paraId="233634CB">
      <w:pPr>
        <w:pStyle w:val="5"/>
        <w:spacing w:line="245" w:lineRule="auto"/>
      </w:pPr>
    </w:p>
    <w:p w14:paraId="51F2BC5A">
      <w:pPr>
        <w:pStyle w:val="5"/>
        <w:spacing w:line="245" w:lineRule="auto"/>
      </w:pPr>
    </w:p>
    <w:p w14:paraId="79D69998">
      <w:pPr>
        <w:pStyle w:val="5"/>
        <w:spacing w:line="245" w:lineRule="auto"/>
      </w:pPr>
    </w:p>
    <w:p w14:paraId="27C6951B">
      <w:pPr>
        <w:pStyle w:val="5"/>
        <w:spacing w:line="245" w:lineRule="auto"/>
      </w:pPr>
    </w:p>
    <w:p w14:paraId="068B0868">
      <w:pPr>
        <w:pStyle w:val="5"/>
        <w:spacing w:line="245" w:lineRule="auto"/>
      </w:pPr>
    </w:p>
    <w:p w14:paraId="3087D2DE">
      <w:pPr>
        <w:pStyle w:val="5"/>
        <w:spacing w:line="245" w:lineRule="auto"/>
      </w:pPr>
    </w:p>
    <w:p w14:paraId="7DAB20EF">
      <w:pPr>
        <w:pStyle w:val="5"/>
        <w:spacing w:line="245" w:lineRule="auto"/>
      </w:pPr>
    </w:p>
    <w:p w14:paraId="27BC4DDB">
      <w:pPr>
        <w:pStyle w:val="5"/>
        <w:spacing w:line="245" w:lineRule="auto"/>
      </w:pPr>
    </w:p>
    <w:p w14:paraId="24A12D12">
      <w:pPr>
        <w:pStyle w:val="5"/>
        <w:spacing w:line="245" w:lineRule="auto"/>
      </w:pPr>
    </w:p>
    <w:p w14:paraId="3E0D95E7">
      <w:pPr>
        <w:pStyle w:val="5"/>
        <w:spacing w:line="245" w:lineRule="auto"/>
      </w:pPr>
    </w:p>
    <w:p w14:paraId="246B45F7">
      <w:pPr>
        <w:pStyle w:val="5"/>
        <w:spacing w:line="246" w:lineRule="auto"/>
      </w:pPr>
    </w:p>
    <w:p w14:paraId="5F11B090">
      <w:pPr>
        <w:pStyle w:val="5"/>
        <w:spacing w:line="246" w:lineRule="auto"/>
      </w:pPr>
    </w:p>
    <w:p w14:paraId="135C6F7C">
      <w:pPr>
        <w:pStyle w:val="5"/>
        <w:spacing w:line="246" w:lineRule="auto"/>
      </w:pPr>
    </w:p>
    <w:p w14:paraId="6573F4C7">
      <w:pPr>
        <w:pStyle w:val="5"/>
        <w:spacing w:line="246" w:lineRule="auto"/>
      </w:pPr>
    </w:p>
    <w:p w14:paraId="3E7F20BF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5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7172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16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15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15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最终软件库管理程序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ZZRJKGL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15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15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15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15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15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15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15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15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15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15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15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15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15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15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15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15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15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15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15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15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15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15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15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15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15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15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15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39FD9C9C">
      <w:pPr>
        <w:pStyle w:val="5"/>
      </w:pPr>
    </w:p>
    <w:p w14:paraId="4F3F7AEC">
      <w:pPr>
        <w:sectPr>
          <w:pgSz w:w="11906" w:h="16839"/>
          <w:pgMar w:top="1431" w:right="1236" w:bottom="0" w:left="1588" w:header="0" w:footer="0" w:gutter="0"/>
          <w:cols w:space="720" w:num="1"/>
        </w:sectPr>
      </w:pPr>
    </w:p>
    <w:p w14:paraId="024320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709BF7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_Toc21827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最终软件库管理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_Toc21827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269882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_Toc27172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_Toc27172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AD0657B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46474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bookmarkStart w:id="15" w:name="_GoBack"/>
          <w:bookmarkEnd w:id="15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41E7B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_Toc20905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_Toc20905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5DA101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_Toc26144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_Toc26144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7ACBAB7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_Toc29889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4.1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研发中心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_Toc29889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7A9684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_Toc10556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 采购部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_Toc10556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4F6D49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174CBF6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_Toc13326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_Toc13326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B85C54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 软件获取与入库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012C5E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_Toc31142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 软件分发与使用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_Toc31142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FBE8D7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_Toc8561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 软件更新与维护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_Toc8561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9C4AF8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_Toc9293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5.4 软件报废与归档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_Toc9293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CDC14CC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_Toc17459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5.5 监督与审计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_Toc17459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3D2CC190">
      <w:pPr>
        <w:rPr>
          <w:rFonts w:hint="default"/>
          <w:sz w:val="28"/>
          <w:szCs w:val="28"/>
        </w:rPr>
      </w:pPr>
      <w:bookmarkStart w:id="2" w:name="_Toc6406"/>
      <w:r>
        <w:rPr>
          <w:rFonts w:hint="default"/>
          <w:sz w:val="28"/>
          <w:szCs w:val="28"/>
        </w:rPr>
        <w:br w:type="page"/>
      </w:r>
    </w:p>
    <w:p w14:paraId="49703967">
      <w:pPr>
        <w:pStyle w:val="2"/>
        <w:bidi w:val="0"/>
        <w:outlineLvl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目的</w:t>
      </w:r>
      <w:bookmarkEnd w:id="2"/>
    </w:p>
    <w:p w14:paraId="314DB9F8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为规范公司软件资产的全生命周期管理，确保软件使用的合法性、安全性和可追溯性，满足ITSS（信息技术服务标准）认证要求，提高软件资源利用率，降低法律和运营风险，特制定本制度。</w:t>
      </w:r>
    </w:p>
    <w:p w14:paraId="298D3241">
      <w:pPr>
        <w:pStyle w:val="2"/>
        <w:bidi w:val="0"/>
        <w:rPr>
          <w:rFonts w:hint="default"/>
          <w:sz w:val="28"/>
          <w:szCs w:val="28"/>
        </w:rPr>
      </w:pPr>
      <w:bookmarkStart w:id="3" w:name="_Toc5438"/>
      <w:r>
        <w:rPr>
          <w:rFonts w:hint="default"/>
          <w:sz w:val="28"/>
          <w:szCs w:val="28"/>
        </w:rPr>
        <w:t>2. 适用范围</w:t>
      </w:r>
      <w:bookmarkEnd w:id="3"/>
    </w:p>
    <w:p w14:paraId="12372281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本制度适用于公司所有软件资产的采购、入库、分发、使用、维护、更新及报废等全过程管理，包括但不限于：操作系统、办公软件、业务软件系统、开发工具、数据库及中间件、其他授权软件。</w:t>
      </w:r>
    </w:p>
    <w:p w14:paraId="486BC12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适用对象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公司所有部门及员工，包括正式员工、外包人员及第三方合作方（如适用）。</w:t>
      </w:r>
    </w:p>
    <w:p w14:paraId="25A76A06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page"/>
      </w:r>
    </w:p>
    <w:p w14:paraId="3CA1F3D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0B01E988">
      <w:pPr>
        <w:pStyle w:val="2"/>
        <w:bidi w:val="0"/>
        <w:rPr>
          <w:rFonts w:hint="default"/>
          <w:sz w:val="28"/>
          <w:szCs w:val="28"/>
        </w:rPr>
      </w:pPr>
      <w:bookmarkStart w:id="4" w:name="_Toc20905"/>
      <w:r>
        <w:rPr>
          <w:rFonts w:hint="default"/>
          <w:sz w:val="28"/>
          <w:szCs w:val="28"/>
        </w:rPr>
        <w:t>3. 定义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7045"/>
      </w:tblGrid>
      <w:tr w14:paraId="0F381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Header/>
        </w:trPr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0583646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术语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CFB4C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定义</w:t>
            </w:r>
          </w:p>
        </w:tc>
      </w:tr>
      <w:tr w14:paraId="3C5C8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0601C29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软件资产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FC271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公司拥有或使用的所有软件，包括商业软件、开源软件及自主研发软件</w:t>
            </w:r>
          </w:p>
        </w:tc>
      </w:tr>
      <w:tr w14:paraId="0D426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0577D12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0D9A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已获得合法授权（许可证、订阅等）的软件</w:t>
            </w:r>
          </w:p>
        </w:tc>
      </w:tr>
      <w:tr w14:paraId="1DD2B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73A1B6E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非授权软件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2D074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未获得合法授权或超出授权范围使用的软件</w:t>
            </w:r>
          </w:p>
        </w:tc>
      </w:tr>
      <w:tr w14:paraId="03B6D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7FA4BF6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软件库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EACE5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公司集中存储、管理软件的标准化存储库，包括物理介质和数字存储</w:t>
            </w:r>
          </w:p>
        </w:tc>
      </w:tr>
      <w:tr w14:paraId="6AD7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1" w:type="dxa"/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EB51918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ITSS</w:t>
            </w:r>
          </w:p>
        </w:tc>
        <w:tc>
          <w:tcPr>
            <w:tcW w:w="704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51F1E"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165" w:beforeAutospacing="0" w:after="165" w:afterAutospacing="0" w:line="343" w:lineRule="atLeast"/>
              <w:ind w:left="0" w:right="0" w:firstLine="0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信息技术服务标准（Information Technology Service Standards），中国IT服务行业标准</w:t>
            </w:r>
          </w:p>
        </w:tc>
      </w:tr>
    </w:tbl>
    <w:p w14:paraId="53075E1C">
      <w:pPr>
        <w:pStyle w:val="2"/>
        <w:bidi w:val="0"/>
        <w:rPr>
          <w:rFonts w:hint="default"/>
          <w:sz w:val="28"/>
          <w:szCs w:val="28"/>
        </w:rPr>
      </w:pPr>
      <w:bookmarkStart w:id="5" w:name="_Toc26144"/>
      <w:r>
        <w:rPr>
          <w:rFonts w:hint="default"/>
          <w:sz w:val="28"/>
          <w:szCs w:val="28"/>
        </w:rPr>
        <w:t>4. 职责分工</w:t>
      </w:r>
      <w:bookmarkEnd w:id="5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6" w:name="_Toc29889"/>
      <w:r>
        <w:rPr>
          <w:rFonts w:hint="default"/>
          <w:sz w:val="24"/>
          <w:szCs w:val="24"/>
        </w:rPr>
        <w:t xml:space="preserve">4.1 </w:t>
      </w:r>
      <w:r>
        <w:rPr>
          <w:rFonts w:hint="eastAsia"/>
          <w:sz w:val="24"/>
          <w:szCs w:val="24"/>
          <w:lang w:val="en-US" w:eastAsia="zh-CN"/>
        </w:rPr>
        <w:t>研发中心</w:t>
      </w:r>
      <w:bookmarkEnd w:id="6"/>
    </w:p>
    <w:p w14:paraId="42105E0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负责软件库的建立、维护及安全管理</w:t>
      </w:r>
    </w:p>
    <w:p w14:paraId="523DC80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审核软件采购的技术可行性</w:t>
      </w:r>
    </w:p>
    <w:p w14:paraId="541203C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管理软件授权、分发及版本控制</w:t>
      </w:r>
    </w:p>
    <w:p w14:paraId="7159A96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定期进行软件合规性检查及漏洞修复</w:t>
      </w:r>
    </w:p>
    <w:p w14:paraId="27D4210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提供软件使用培训及技术支持</w:t>
      </w:r>
    </w:p>
    <w:p w14:paraId="3DFF1F3A">
      <w:pPr>
        <w:pStyle w:val="3"/>
        <w:bidi w:val="0"/>
        <w:rPr>
          <w:rFonts w:hint="default"/>
          <w:sz w:val="24"/>
          <w:szCs w:val="24"/>
        </w:rPr>
      </w:pPr>
      <w:bookmarkStart w:id="7" w:name="_Toc10556"/>
      <w:r>
        <w:rPr>
          <w:rFonts w:hint="default"/>
          <w:sz w:val="24"/>
          <w:szCs w:val="24"/>
        </w:rPr>
        <w:t>4.2 采购部</w:t>
      </w:r>
      <w:bookmarkEnd w:id="7"/>
    </w:p>
    <w:p w14:paraId="15E30E1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执行软件采购流程，确保采购渠道合法</w:t>
      </w:r>
    </w:p>
    <w:p w14:paraId="4211C70B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保存采购合同及授权文件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8" w:name="_Toc23909"/>
      <w:r>
        <w:rPr>
          <w:rFonts w:hint="default"/>
          <w:sz w:val="24"/>
          <w:szCs w:val="24"/>
        </w:rPr>
        <w:t>4.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 质量</w:t>
      </w:r>
      <w:bookmarkEnd w:id="8"/>
      <w:r>
        <w:rPr>
          <w:rFonts w:hint="eastAsia"/>
          <w:sz w:val="24"/>
          <w:szCs w:val="24"/>
          <w:lang w:val="en-US" w:eastAsia="zh-CN"/>
        </w:rPr>
        <w:t>中心</w:t>
      </w:r>
    </w:p>
    <w:p w14:paraId="32F2D86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监督软件管理是否符合ITSS标准</w:t>
      </w:r>
    </w:p>
    <w:p w14:paraId="74FC727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组织内部审计及改进</w:t>
      </w:r>
    </w:p>
    <w:p w14:paraId="2D19236C">
      <w:pPr>
        <w:pStyle w:val="2"/>
        <w:bidi w:val="0"/>
        <w:rPr>
          <w:rFonts w:hint="default"/>
          <w:sz w:val="28"/>
          <w:szCs w:val="28"/>
        </w:rPr>
      </w:pPr>
      <w:bookmarkStart w:id="9" w:name="_Toc13326"/>
      <w:r>
        <w:rPr>
          <w:rFonts w:hint="default"/>
          <w:sz w:val="28"/>
          <w:szCs w:val="28"/>
        </w:rPr>
        <w:t>5. 管理要求</w:t>
      </w:r>
      <w:bookmarkEnd w:id="9"/>
    </w:p>
    <w:p w14:paraId="725B5736">
      <w:pPr>
        <w:pStyle w:val="3"/>
        <w:bidi w:val="0"/>
        <w:rPr>
          <w:rFonts w:hint="default"/>
          <w:sz w:val="24"/>
          <w:szCs w:val="24"/>
        </w:rPr>
      </w:pPr>
      <w:bookmarkStart w:id="10" w:name="_Toc24278"/>
      <w:r>
        <w:rPr>
          <w:rFonts w:hint="default"/>
          <w:sz w:val="24"/>
          <w:szCs w:val="24"/>
        </w:rPr>
        <w:t>5.1 软件获取与入库</w:t>
      </w:r>
      <w:bookmarkEnd w:id="10"/>
    </w:p>
    <w:p w14:paraId="2AB76A7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采购审批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：所有软件采购需填写《软件采购申请表》，经IT、法务、财务审核后执行。</w:t>
      </w:r>
    </w:p>
    <w:p w14:paraId="12CE3637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入库登记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：软件入库时需记录名称、版本、供应商、授权数量、有效期等信息，并存储安装介质及授权文件。</w:t>
      </w:r>
    </w:p>
    <w:p w14:paraId="061FA1E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安全检测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：所有软件需进行病毒扫描及安全评估后方可入库。</w:t>
      </w:r>
    </w:p>
    <w:p w14:paraId="6279672A">
      <w:pPr>
        <w:pStyle w:val="3"/>
        <w:bidi w:val="0"/>
        <w:rPr>
          <w:rFonts w:hint="default"/>
          <w:sz w:val="24"/>
          <w:szCs w:val="24"/>
        </w:rPr>
      </w:pPr>
      <w:bookmarkStart w:id="11" w:name="_Toc31142"/>
      <w:r>
        <w:rPr>
          <w:rFonts w:hint="default"/>
          <w:sz w:val="24"/>
          <w:szCs w:val="24"/>
        </w:rPr>
        <w:t>5.2 软件分发与使用</w:t>
      </w:r>
      <w:bookmarkEnd w:id="11"/>
    </w:p>
    <w:p w14:paraId="38481A4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统一分发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：仅IT部门有权分发软件，禁止员工私自安装。</w:t>
      </w:r>
    </w:p>
    <w:p w14:paraId="56E9655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授权管理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：确保分发数量不超过授权范围，并记录分发对象及时间。</w:t>
      </w:r>
    </w:p>
    <w:p w14:paraId="08BF54E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：禁止使用盗版软件、破解软件或超出授权范围使用。</w:t>
      </w:r>
    </w:p>
    <w:p w14:paraId="2C91B61F">
      <w:pPr>
        <w:pStyle w:val="3"/>
        <w:bidi w:val="0"/>
        <w:rPr>
          <w:rFonts w:hint="default"/>
          <w:sz w:val="24"/>
          <w:szCs w:val="24"/>
        </w:rPr>
      </w:pPr>
      <w:bookmarkStart w:id="12" w:name="_Toc8561"/>
      <w:r>
        <w:rPr>
          <w:rFonts w:hint="default"/>
          <w:sz w:val="24"/>
          <w:szCs w:val="24"/>
        </w:rPr>
        <w:t>5.3 软件更新与维护</w:t>
      </w:r>
      <w:bookmarkEnd w:id="12"/>
    </w:p>
    <w:p w14:paraId="62DB809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版本控制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：IT部门负责管理软件版本，确保使用稳定版本。</w:t>
      </w:r>
    </w:p>
    <w:p w14:paraId="188204B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补丁管理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：安全补丁应在72小时内部署，功能性更新需测试后实施。</w:t>
      </w:r>
    </w:p>
    <w:p w14:paraId="24CF46BF">
      <w:pPr>
        <w:pStyle w:val="3"/>
        <w:bidi w:val="0"/>
        <w:rPr>
          <w:rFonts w:hint="default"/>
          <w:sz w:val="24"/>
          <w:szCs w:val="24"/>
        </w:rPr>
      </w:pPr>
      <w:bookmarkStart w:id="13" w:name="_Toc9293"/>
      <w:r>
        <w:rPr>
          <w:rFonts w:hint="default"/>
          <w:sz w:val="24"/>
          <w:szCs w:val="24"/>
        </w:rPr>
        <w:t>5.4 软件报废与归档</w:t>
      </w:r>
      <w:bookmarkEnd w:id="13"/>
    </w:p>
    <w:p w14:paraId="5567170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报废条件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：授权到期、被替代或存在安全风险时，软件应报废。</w:t>
      </w:r>
    </w:p>
    <w:p w14:paraId="166D430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归档要求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：保留最后一个可用版本及授权文件，标记为“已归档”状态。</w:t>
      </w:r>
    </w:p>
    <w:p w14:paraId="09AB4D5B">
      <w:pPr>
        <w:pStyle w:val="3"/>
        <w:bidi w:val="0"/>
        <w:rPr>
          <w:rFonts w:hint="default"/>
          <w:sz w:val="24"/>
          <w:szCs w:val="24"/>
        </w:rPr>
      </w:pPr>
      <w:bookmarkStart w:id="14" w:name="_Toc17459"/>
      <w:r>
        <w:rPr>
          <w:rFonts w:hint="default"/>
          <w:sz w:val="24"/>
          <w:szCs w:val="24"/>
        </w:rPr>
        <w:t>5.5 监督与审计</w:t>
      </w:r>
      <w:bookmarkEnd w:id="14"/>
    </w:p>
    <w:p w14:paraId="0610FD5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定期审计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：每季度检查软件使用情况，每年进行全公司软件资产盘点。</w:t>
      </w:r>
    </w:p>
    <w:p w14:paraId="7EE7D18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违规处理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0659FB2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初次违规：警告并限期整改</w:t>
      </w:r>
    </w:p>
    <w:p w14:paraId="43D2F04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二次违规：限制软件使用权</w:t>
      </w:r>
    </w:p>
    <w:p w14:paraId="0426C54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严重违规（如恶意破解）：纪律处分或法律追责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5191440"/>
    <w:rsid w:val="07265CDE"/>
    <w:rsid w:val="075F6EB2"/>
    <w:rsid w:val="09D516AE"/>
    <w:rsid w:val="0A16323D"/>
    <w:rsid w:val="0AB3379D"/>
    <w:rsid w:val="0C9413AC"/>
    <w:rsid w:val="0CCD460E"/>
    <w:rsid w:val="0E561092"/>
    <w:rsid w:val="104A7933"/>
    <w:rsid w:val="113A4C18"/>
    <w:rsid w:val="12F11306"/>
    <w:rsid w:val="137F706D"/>
    <w:rsid w:val="14302302"/>
    <w:rsid w:val="146855F8"/>
    <w:rsid w:val="15714980"/>
    <w:rsid w:val="158E5532"/>
    <w:rsid w:val="177E73B6"/>
    <w:rsid w:val="1B0F1ACA"/>
    <w:rsid w:val="1BCE08A2"/>
    <w:rsid w:val="1C145C8B"/>
    <w:rsid w:val="1C8036FB"/>
    <w:rsid w:val="1CA3357F"/>
    <w:rsid w:val="1D7B1FAE"/>
    <w:rsid w:val="1E8A0861"/>
    <w:rsid w:val="211D776A"/>
    <w:rsid w:val="21D70261"/>
    <w:rsid w:val="22D36C7A"/>
    <w:rsid w:val="25FC33D9"/>
    <w:rsid w:val="266D4CF0"/>
    <w:rsid w:val="27514612"/>
    <w:rsid w:val="28074CD0"/>
    <w:rsid w:val="28B74948"/>
    <w:rsid w:val="292D0604"/>
    <w:rsid w:val="2A34140C"/>
    <w:rsid w:val="2A44127C"/>
    <w:rsid w:val="2A5341FD"/>
    <w:rsid w:val="2A994305"/>
    <w:rsid w:val="2B404781"/>
    <w:rsid w:val="2D686211"/>
    <w:rsid w:val="2E1B14D5"/>
    <w:rsid w:val="2EF90493"/>
    <w:rsid w:val="323D5EBE"/>
    <w:rsid w:val="32A41A99"/>
    <w:rsid w:val="33037E64"/>
    <w:rsid w:val="33B4517C"/>
    <w:rsid w:val="36A468D4"/>
    <w:rsid w:val="38793253"/>
    <w:rsid w:val="3C3D72AA"/>
    <w:rsid w:val="3C681D8A"/>
    <w:rsid w:val="3D5521B1"/>
    <w:rsid w:val="3D673DEF"/>
    <w:rsid w:val="3D8E3A72"/>
    <w:rsid w:val="3EC61221"/>
    <w:rsid w:val="3F604F9A"/>
    <w:rsid w:val="3F9353B8"/>
    <w:rsid w:val="403A22CB"/>
    <w:rsid w:val="41C848B9"/>
    <w:rsid w:val="42022339"/>
    <w:rsid w:val="42644DA1"/>
    <w:rsid w:val="43090BC7"/>
    <w:rsid w:val="460D0F18"/>
    <w:rsid w:val="46A71F91"/>
    <w:rsid w:val="47BE4F54"/>
    <w:rsid w:val="482A083B"/>
    <w:rsid w:val="49816239"/>
    <w:rsid w:val="4A303DAC"/>
    <w:rsid w:val="4C4B662D"/>
    <w:rsid w:val="4C995F8F"/>
    <w:rsid w:val="4D436B53"/>
    <w:rsid w:val="4E485577"/>
    <w:rsid w:val="4E5C1022"/>
    <w:rsid w:val="4F3D0E54"/>
    <w:rsid w:val="503F29AA"/>
    <w:rsid w:val="52DC2732"/>
    <w:rsid w:val="543071D9"/>
    <w:rsid w:val="55241E04"/>
    <w:rsid w:val="5563713A"/>
    <w:rsid w:val="56F75D8C"/>
    <w:rsid w:val="57C923E6"/>
    <w:rsid w:val="587873A1"/>
    <w:rsid w:val="5B4537A7"/>
    <w:rsid w:val="5CC20BEA"/>
    <w:rsid w:val="5D1458EA"/>
    <w:rsid w:val="5E0F69DC"/>
    <w:rsid w:val="5E2E29DB"/>
    <w:rsid w:val="5E2F6FCB"/>
    <w:rsid w:val="5F351B48"/>
    <w:rsid w:val="5FAF0389"/>
    <w:rsid w:val="62F25A96"/>
    <w:rsid w:val="64EE4C72"/>
    <w:rsid w:val="6535464F"/>
    <w:rsid w:val="65396E33"/>
    <w:rsid w:val="658729D1"/>
    <w:rsid w:val="65BB267B"/>
    <w:rsid w:val="672D1356"/>
    <w:rsid w:val="69BB0E9B"/>
    <w:rsid w:val="69DC778F"/>
    <w:rsid w:val="6A106C14"/>
    <w:rsid w:val="6A2D2E6D"/>
    <w:rsid w:val="6B560E7C"/>
    <w:rsid w:val="6C726189"/>
    <w:rsid w:val="6D1F1741"/>
    <w:rsid w:val="6D9B170F"/>
    <w:rsid w:val="6FB95E7D"/>
    <w:rsid w:val="70B21D20"/>
    <w:rsid w:val="70D02807"/>
    <w:rsid w:val="720158B9"/>
    <w:rsid w:val="72710C91"/>
    <w:rsid w:val="74C4779E"/>
    <w:rsid w:val="751C3136"/>
    <w:rsid w:val="7A4D3D91"/>
    <w:rsid w:val="7C540148"/>
    <w:rsid w:val="7F932684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character" w:styleId="13">
    <w:name w:val="Strong"/>
    <w:basedOn w:val="12"/>
    <w:qFormat/>
    <w:uiPriority w:val="0"/>
    <w:rPr>
      <w:b/>
    </w:rPr>
  </w:style>
  <w:style w:type="paragraph" w:styleId="14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1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1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1142</Words>
  <Characters>1275</Characters>
  <Lines>0</Lines>
  <Paragraphs>0</Paragraphs>
  <TotalTime>2</TotalTime>
  <ScaleCrop>false</ScaleCrop>
  <LinksUpToDate>false</LinksUpToDate>
  <CharactersWithSpaces>1319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2025-08-21T22:12:22Z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