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49892">
      <w:pPr>
        <w:pStyle w:val="2"/>
        <w:spacing w:line="248" w:lineRule="auto"/>
      </w:pPr>
    </w:p>
    <w:p w14:paraId="7286AE0F">
      <w:pPr>
        <w:pStyle w:val="2"/>
        <w:spacing w:line="248" w:lineRule="auto"/>
      </w:pPr>
    </w:p>
    <w:p w14:paraId="26D59DA8">
      <w:pPr>
        <w:pStyle w:val="2"/>
        <w:spacing w:line="248" w:lineRule="auto"/>
      </w:pPr>
    </w:p>
    <w:p w14:paraId="069666D8">
      <w:pPr>
        <w:pStyle w:val="2"/>
        <w:spacing w:line="248" w:lineRule="auto"/>
      </w:pPr>
    </w:p>
    <w:p w14:paraId="74D06E10">
      <w:pPr>
        <w:pStyle w:val="2"/>
        <w:spacing w:line="248" w:lineRule="auto"/>
      </w:pPr>
    </w:p>
    <w:p w14:paraId="75C26B17">
      <w:pPr>
        <w:pStyle w:val="2"/>
        <w:spacing w:line="248" w:lineRule="auto"/>
      </w:pPr>
    </w:p>
    <w:p w14:paraId="399CD10C">
      <w:pPr>
        <w:pStyle w:val="2"/>
        <w:spacing w:line="248" w:lineRule="auto"/>
      </w:pPr>
    </w:p>
    <w:p w14:paraId="27396B2D">
      <w:pPr>
        <w:pStyle w:val="2"/>
        <w:spacing w:line="248" w:lineRule="auto"/>
      </w:pPr>
    </w:p>
    <w:p w14:paraId="1F925548">
      <w:pPr>
        <w:pStyle w:val="2"/>
        <w:spacing w:line="248" w:lineRule="auto"/>
      </w:pPr>
    </w:p>
    <w:p w14:paraId="104213A5">
      <w:pPr>
        <w:pStyle w:val="2"/>
        <w:spacing w:line="248" w:lineRule="auto"/>
      </w:pPr>
    </w:p>
    <w:p w14:paraId="253F1EA0">
      <w:pPr>
        <w:pStyle w:val="2"/>
        <w:spacing w:line="248" w:lineRule="auto"/>
      </w:pPr>
    </w:p>
    <w:p w14:paraId="5F44676B">
      <w:pPr>
        <w:pStyle w:val="2"/>
        <w:spacing w:line="248" w:lineRule="auto"/>
      </w:pPr>
    </w:p>
    <w:p w14:paraId="54ED2925">
      <w:pPr>
        <w:pStyle w:val="2"/>
        <w:spacing w:line="248" w:lineRule="auto"/>
      </w:pPr>
    </w:p>
    <w:p w14:paraId="389CFB4E">
      <w:pPr>
        <w:pStyle w:val="2"/>
        <w:spacing w:line="248" w:lineRule="auto"/>
      </w:pPr>
    </w:p>
    <w:p w14:paraId="0E30E1CE">
      <w:pPr>
        <w:spacing w:before="169" w:line="220" w:lineRule="auto"/>
        <w:ind w:left="2113"/>
        <w:outlineLvl w:val="0"/>
        <w:rPr>
          <w:rFonts w:ascii="宋体" w:hAnsi="宋体" w:eastAsia="宋体" w:cs="宋体"/>
          <w:sz w:val="52"/>
          <w:szCs w:val="52"/>
        </w:rPr>
      </w:pPr>
      <w:bookmarkStart w:id="0" w:name="_Toc23791"/>
      <w:r>
        <w:rPr>
          <w:rFonts w:ascii="宋体" w:hAnsi="宋体" w:eastAsia="宋体" w:cs="宋体"/>
          <w:b/>
          <w:bCs/>
          <w:spacing w:val="-9"/>
          <w:sz w:val="52"/>
          <w:szCs w:val="52"/>
        </w:rPr>
        <w:t>备品备件管理制度</w:t>
      </w:r>
      <w:bookmarkEnd w:id="0"/>
    </w:p>
    <w:p w14:paraId="3DBE4C08">
      <w:pPr>
        <w:pStyle w:val="2"/>
        <w:spacing w:line="262" w:lineRule="auto"/>
      </w:pPr>
    </w:p>
    <w:p w14:paraId="71E66904">
      <w:pPr>
        <w:pStyle w:val="2"/>
        <w:spacing w:line="262" w:lineRule="auto"/>
      </w:pPr>
    </w:p>
    <w:p w14:paraId="0BA3EB21">
      <w:pPr>
        <w:pStyle w:val="2"/>
        <w:spacing w:line="262" w:lineRule="auto"/>
      </w:pPr>
    </w:p>
    <w:p w14:paraId="091EB6CF">
      <w:pPr>
        <w:pStyle w:val="2"/>
        <w:spacing w:line="262" w:lineRule="auto"/>
      </w:pPr>
    </w:p>
    <w:p w14:paraId="19F405B0">
      <w:pPr>
        <w:pStyle w:val="2"/>
        <w:spacing w:line="263" w:lineRule="auto"/>
      </w:pPr>
    </w:p>
    <w:p w14:paraId="5CF7080B">
      <w:pPr>
        <w:pStyle w:val="2"/>
        <w:spacing w:line="263" w:lineRule="auto"/>
      </w:pPr>
    </w:p>
    <w:p w14:paraId="2F53AD6E">
      <w:pPr>
        <w:pStyle w:val="2"/>
        <w:spacing w:line="263" w:lineRule="auto"/>
      </w:pPr>
    </w:p>
    <w:p w14:paraId="07209F0F">
      <w:pPr>
        <w:pStyle w:val="2"/>
        <w:spacing w:line="263" w:lineRule="auto"/>
      </w:pPr>
    </w:p>
    <w:p w14:paraId="1879BBC4">
      <w:pPr>
        <w:spacing w:line="1568" w:lineRule="exact"/>
        <w:ind w:firstLine="1527"/>
      </w:pPr>
      <w:r>
        <w:rPr>
          <w:position w:val="-31"/>
        </w:rPr>
        <w:drawing>
          <wp:inline distT="0" distB="0" distL="0" distR="0">
            <wp:extent cx="3343275"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6"/>
                    <a:stretch>
                      <a:fillRect/>
                    </a:stretch>
                  </pic:blipFill>
                  <pic:spPr>
                    <a:xfrm>
                      <a:off x="0" y="0"/>
                      <a:ext cx="3343275" cy="995679"/>
                    </a:xfrm>
                    <a:prstGeom prst="rect">
                      <a:avLst/>
                    </a:prstGeom>
                  </pic:spPr>
                </pic:pic>
              </a:graphicData>
            </a:graphic>
          </wp:inline>
        </w:drawing>
      </w:r>
    </w:p>
    <w:p w14:paraId="22B38489">
      <w:pPr>
        <w:pStyle w:val="2"/>
        <w:spacing w:line="246" w:lineRule="auto"/>
      </w:pPr>
    </w:p>
    <w:p w14:paraId="360A8484">
      <w:pPr>
        <w:pStyle w:val="2"/>
        <w:spacing w:line="246" w:lineRule="auto"/>
      </w:pPr>
    </w:p>
    <w:p w14:paraId="10708856">
      <w:pPr>
        <w:pStyle w:val="2"/>
        <w:spacing w:line="246" w:lineRule="auto"/>
      </w:pPr>
    </w:p>
    <w:p w14:paraId="3DC6ECD5">
      <w:pPr>
        <w:pStyle w:val="2"/>
        <w:spacing w:line="247" w:lineRule="auto"/>
      </w:pPr>
    </w:p>
    <w:p w14:paraId="1D89E415">
      <w:pPr>
        <w:pStyle w:val="2"/>
        <w:spacing w:line="247" w:lineRule="auto"/>
      </w:pPr>
    </w:p>
    <w:p w14:paraId="7E3B6DB1">
      <w:pPr>
        <w:pStyle w:val="2"/>
        <w:spacing w:line="247" w:lineRule="auto"/>
      </w:pPr>
    </w:p>
    <w:p w14:paraId="1246DBEB">
      <w:pPr>
        <w:pStyle w:val="2"/>
        <w:spacing w:line="247" w:lineRule="auto"/>
      </w:pPr>
    </w:p>
    <w:p w14:paraId="51C2A4EF">
      <w:pPr>
        <w:pStyle w:val="2"/>
        <w:spacing w:line="247" w:lineRule="auto"/>
      </w:pPr>
    </w:p>
    <w:p w14:paraId="7D546E3B">
      <w:pPr>
        <w:pStyle w:val="2"/>
        <w:spacing w:line="247" w:lineRule="auto"/>
      </w:pPr>
    </w:p>
    <w:p w14:paraId="6AB3995A">
      <w:pPr>
        <w:pStyle w:val="2"/>
        <w:spacing w:line="247" w:lineRule="auto"/>
      </w:pPr>
    </w:p>
    <w:p w14:paraId="6069C61E">
      <w:pPr>
        <w:pStyle w:val="2"/>
        <w:spacing w:line="247" w:lineRule="auto"/>
      </w:pPr>
    </w:p>
    <w:p w14:paraId="1E6F2984">
      <w:pPr>
        <w:pStyle w:val="2"/>
        <w:spacing w:line="247" w:lineRule="auto"/>
      </w:pPr>
    </w:p>
    <w:p w14:paraId="74F2218D">
      <w:pPr>
        <w:pStyle w:val="2"/>
        <w:spacing w:line="247" w:lineRule="auto"/>
      </w:pPr>
    </w:p>
    <w:p w14:paraId="7F30CD58">
      <w:pPr>
        <w:pStyle w:val="2"/>
        <w:spacing w:line="247" w:lineRule="auto"/>
      </w:pPr>
    </w:p>
    <w:p w14:paraId="6DDFFDF4">
      <w:pPr>
        <w:pStyle w:val="2"/>
        <w:spacing w:line="247" w:lineRule="auto"/>
      </w:pPr>
    </w:p>
    <w:p w14:paraId="681F752F">
      <w:pPr>
        <w:pStyle w:val="2"/>
        <w:spacing w:line="247" w:lineRule="auto"/>
      </w:pPr>
    </w:p>
    <w:p w14:paraId="4002EDAF">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B911F69">
      <w:pPr>
        <w:spacing w:before="276"/>
        <w:ind w:left="3465"/>
        <w:rPr>
          <w:rFonts w:ascii="宋体" w:hAnsi="宋体" w:eastAsia="宋体" w:cs="宋体"/>
          <w:sz w:val="36"/>
          <w:szCs w:val="36"/>
        </w:rPr>
      </w:pPr>
      <w:r>
        <w:rPr>
          <w:rFonts w:ascii="宋体" w:hAnsi="宋体" w:eastAsia="宋体" w:cs="宋体"/>
          <w:spacing w:val="-3"/>
          <w:sz w:val="36"/>
          <w:szCs w:val="36"/>
        </w:rPr>
        <w:t>2025-1-4</w:t>
      </w:r>
    </w:p>
    <w:p w14:paraId="4B07AA29">
      <w:pPr>
        <w:rPr>
          <w:rFonts w:ascii="宋体" w:hAnsi="宋体" w:eastAsia="宋体" w:cs="宋体"/>
          <w:sz w:val="36"/>
          <w:szCs w:val="36"/>
        </w:rPr>
        <w:sectPr>
          <w:footerReference r:id="rId5" w:type="default"/>
          <w:pgSz w:w="11906" w:h="16839"/>
          <w:pgMar w:top="1431" w:right="1785" w:bottom="1375" w:left="1785" w:header="0" w:footer="1211" w:gutter="0"/>
          <w:cols w:space="720" w:num="1"/>
        </w:sectPr>
      </w:pPr>
    </w:p>
    <w:p w14:paraId="5A2D67E3">
      <w:pPr>
        <w:pStyle w:val="2"/>
        <w:spacing w:line="250" w:lineRule="auto"/>
      </w:pPr>
    </w:p>
    <w:p w14:paraId="255A34CC">
      <w:pPr>
        <w:pStyle w:val="2"/>
        <w:spacing w:line="251" w:lineRule="auto"/>
      </w:pPr>
    </w:p>
    <w:p w14:paraId="24022526">
      <w:pPr>
        <w:pStyle w:val="2"/>
        <w:spacing w:line="251" w:lineRule="auto"/>
      </w:pPr>
    </w:p>
    <w:p w14:paraId="20F27C3A">
      <w:pPr>
        <w:spacing w:before="91" w:line="220" w:lineRule="auto"/>
        <w:ind w:left="3620"/>
        <w:outlineLvl w:val="1"/>
        <w:rPr>
          <w:rFonts w:ascii="宋体" w:hAnsi="宋体" w:eastAsia="宋体" w:cs="宋体"/>
          <w:sz w:val="28"/>
          <w:szCs w:val="28"/>
        </w:rPr>
      </w:pPr>
      <w:bookmarkStart w:id="1" w:name="_Toc20027"/>
      <w:r>
        <w:rPr>
          <w:rFonts w:ascii="宋体" w:hAnsi="宋体" w:eastAsia="宋体" w:cs="宋体"/>
          <w:spacing w:val="-3"/>
          <w:sz w:val="28"/>
          <w:szCs w:val="28"/>
        </w:rPr>
        <w:t>文档信息</w:t>
      </w:r>
      <w:bookmarkEnd w:id="1"/>
    </w:p>
    <w:p w14:paraId="310C465E">
      <w:pPr>
        <w:spacing w:line="131" w:lineRule="exact"/>
      </w:pPr>
    </w:p>
    <w:tbl>
      <w:tblPr>
        <w:tblStyle w:val="7"/>
        <w:tblW w:w="9071"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57087C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846" w:type="dxa"/>
            <w:vAlign w:val="top"/>
          </w:tcPr>
          <w:p w14:paraId="524D55B7">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6723B078">
            <w:pPr>
              <w:spacing w:before="200" w:line="218" w:lineRule="auto"/>
              <w:ind w:left="1832"/>
              <w:rPr>
                <w:rFonts w:ascii="宋体" w:hAnsi="宋体" w:eastAsia="宋体" w:cs="宋体"/>
                <w:sz w:val="21"/>
                <w:szCs w:val="21"/>
              </w:rPr>
            </w:pPr>
            <w:r>
              <w:rPr>
                <w:rFonts w:ascii="宋体" w:hAnsi="宋体" w:eastAsia="宋体" w:cs="宋体"/>
                <w:spacing w:val="-1"/>
                <w:sz w:val="21"/>
                <w:szCs w:val="21"/>
              </w:rPr>
              <w:t>备品备件管理制度（HHLC-ITSS-BPBJ）</w:t>
            </w:r>
          </w:p>
        </w:tc>
      </w:tr>
      <w:tr w14:paraId="6F00D3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7E6D4605">
            <w:pPr>
              <w:spacing w:before="195"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0FB18855">
            <w:pPr>
              <w:spacing w:before="196" w:line="219" w:lineRule="auto"/>
              <w:ind w:left="2144"/>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74359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2DB82C6C">
            <w:pPr>
              <w:spacing w:before="197"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0198CFB6">
            <w:pPr>
              <w:spacing w:before="197"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74E19BC6">
            <w:pPr>
              <w:spacing w:before="197"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4858FE7C">
            <w:pPr>
              <w:spacing w:before="197"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5040CA9">
            <w:pPr>
              <w:spacing w:before="197"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4F45BA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9BEFC93">
            <w:pPr>
              <w:spacing w:before="161"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6825A119">
            <w:pPr>
              <w:spacing w:before="161"/>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797ADDF2">
            <w:pPr>
              <w:spacing w:before="131"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093FD111">
            <w:pPr>
              <w:spacing w:before="132" w:line="220" w:lineRule="auto"/>
              <w:ind w:left="480"/>
              <w:rPr>
                <w:rFonts w:ascii="宋体" w:hAnsi="宋体" w:eastAsia="宋体" w:cs="宋体"/>
                <w:sz w:val="21"/>
                <w:szCs w:val="21"/>
              </w:rPr>
            </w:pPr>
            <w:r>
              <w:rPr>
                <w:rFonts w:ascii="宋体" w:hAnsi="宋体" w:eastAsia="宋体" w:cs="宋体"/>
                <w:spacing w:val="-5"/>
                <w:sz w:val="21"/>
                <w:szCs w:val="21"/>
              </w:rPr>
              <w:t>宫海亭</w:t>
            </w:r>
          </w:p>
        </w:tc>
        <w:tc>
          <w:tcPr>
            <w:tcW w:w="1953" w:type="dxa"/>
            <w:vAlign w:val="top"/>
          </w:tcPr>
          <w:p w14:paraId="3FC53A11">
            <w:pPr>
              <w:spacing w:before="131"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395C1D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4383A36E">
            <w:pPr>
              <w:pStyle w:val="8"/>
            </w:pPr>
          </w:p>
        </w:tc>
        <w:tc>
          <w:tcPr>
            <w:tcW w:w="1413" w:type="dxa"/>
            <w:vAlign w:val="top"/>
          </w:tcPr>
          <w:p w14:paraId="16B5B06C">
            <w:pPr>
              <w:pStyle w:val="8"/>
            </w:pPr>
          </w:p>
        </w:tc>
        <w:tc>
          <w:tcPr>
            <w:tcW w:w="2302" w:type="dxa"/>
            <w:vAlign w:val="top"/>
          </w:tcPr>
          <w:p w14:paraId="32A5217B">
            <w:pPr>
              <w:pStyle w:val="8"/>
            </w:pPr>
          </w:p>
        </w:tc>
        <w:tc>
          <w:tcPr>
            <w:tcW w:w="1557" w:type="dxa"/>
            <w:vAlign w:val="top"/>
          </w:tcPr>
          <w:p w14:paraId="2AA0CDEA">
            <w:pPr>
              <w:pStyle w:val="8"/>
            </w:pPr>
          </w:p>
        </w:tc>
        <w:tc>
          <w:tcPr>
            <w:tcW w:w="1953" w:type="dxa"/>
            <w:vAlign w:val="top"/>
          </w:tcPr>
          <w:p w14:paraId="0AEDDBFC">
            <w:pPr>
              <w:pStyle w:val="8"/>
            </w:pPr>
          </w:p>
        </w:tc>
      </w:tr>
      <w:tr w14:paraId="055D94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29CD65A">
            <w:pPr>
              <w:pStyle w:val="8"/>
            </w:pPr>
          </w:p>
        </w:tc>
        <w:tc>
          <w:tcPr>
            <w:tcW w:w="1413" w:type="dxa"/>
            <w:vAlign w:val="top"/>
          </w:tcPr>
          <w:p w14:paraId="5459D35B">
            <w:pPr>
              <w:pStyle w:val="8"/>
            </w:pPr>
          </w:p>
        </w:tc>
        <w:tc>
          <w:tcPr>
            <w:tcW w:w="2302" w:type="dxa"/>
            <w:vAlign w:val="top"/>
          </w:tcPr>
          <w:p w14:paraId="13AB3F8C">
            <w:pPr>
              <w:pStyle w:val="8"/>
            </w:pPr>
          </w:p>
        </w:tc>
        <w:tc>
          <w:tcPr>
            <w:tcW w:w="1557" w:type="dxa"/>
            <w:vAlign w:val="top"/>
          </w:tcPr>
          <w:p w14:paraId="72A27DCD">
            <w:pPr>
              <w:pStyle w:val="8"/>
            </w:pPr>
          </w:p>
        </w:tc>
        <w:tc>
          <w:tcPr>
            <w:tcW w:w="1953" w:type="dxa"/>
            <w:vAlign w:val="top"/>
          </w:tcPr>
          <w:p w14:paraId="109E5203">
            <w:pPr>
              <w:pStyle w:val="8"/>
            </w:pPr>
          </w:p>
        </w:tc>
      </w:tr>
      <w:tr w14:paraId="44D59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80145DE">
            <w:pPr>
              <w:pStyle w:val="8"/>
            </w:pPr>
          </w:p>
        </w:tc>
        <w:tc>
          <w:tcPr>
            <w:tcW w:w="1413" w:type="dxa"/>
            <w:vAlign w:val="top"/>
          </w:tcPr>
          <w:p w14:paraId="5A571995">
            <w:pPr>
              <w:pStyle w:val="8"/>
            </w:pPr>
          </w:p>
        </w:tc>
        <w:tc>
          <w:tcPr>
            <w:tcW w:w="2302" w:type="dxa"/>
            <w:vAlign w:val="top"/>
          </w:tcPr>
          <w:p w14:paraId="1D9B8A98">
            <w:pPr>
              <w:pStyle w:val="8"/>
            </w:pPr>
          </w:p>
        </w:tc>
        <w:tc>
          <w:tcPr>
            <w:tcW w:w="1557" w:type="dxa"/>
            <w:vAlign w:val="top"/>
          </w:tcPr>
          <w:p w14:paraId="363418C9">
            <w:pPr>
              <w:pStyle w:val="8"/>
            </w:pPr>
          </w:p>
        </w:tc>
        <w:tc>
          <w:tcPr>
            <w:tcW w:w="1953" w:type="dxa"/>
            <w:vAlign w:val="top"/>
          </w:tcPr>
          <w:p w14:paraId="49BB25A1">
            <w:pPr>
              <w:pStyle w:val="8"/>
            </w:pPr>
          </w:p>
        </w:tc>
      </w:tr>
      <w:tr w14:paraId="743B7D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4A3C8D55">
            <w:pPr>
              <w:pStyle w:val="8"/>
            </w:pPr>
          </w:p>
        </w:tc>
        <w:tc>
          <w:tcPr>
            <w:tcW w:w="1413" w:type="dxa"/>
            <w:vAlign w:val="top"/>
          </w:tcPr>
          <w:p w14:paraId="1DF70020">
            <w:pPr>
              <w:pStyle w:val="8"/>
            </w:pPr>
          </w:p>
        </w:tc>
        <w:tc>
          <w:tcPr>
            <w:tcW w:w="2302" w:type="dxa"/>
            <w:vAlign w:val="top"/>
          </w:tcPr>
          <w:p w14:paraId="7DECAB5B">
            <w:pPr>
              <w:pStyle w:val="8"/>
            </w:pPr>
          </w:p>
        </w:tc>
        <w:tc>
          <w:tcPr>
            <w:tcW w:w="1557" w:type="dxa"/>
            <w:vAlign w:val="top"/>
          </w:tcPr>
          <w:p w14:paraId="45ED1187">
            <w:pPr>
              <w:pStyle w:val="8"/>
            </w:pPr>
          </w:p>
        </w:tc>
        <w:tc>
          <w:tcPr>
            <w:tcW w:w="1953" w:type="dxa"/>
            <w:vAlign w:val="top"/>
          </w:tcPr>
          <w:p w14:paraId="304C7644">
            <w:pPr>
              <w:pStyle w:val="8"/>
            </w:pPr>
          </w:p>
        </w:tc>
      </w:tr>
      <w:tr w14:paraId="561D3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6" w:type="dxa"/>
            <w:vAlign w:val="top"/>
          </w:tcPr>
          <w:p w14:paraId="547DC24F">
            <w:pPr>
              <w:pStyle w:val="8"/>
            </w:pPr>
          </w:p>
        </w:tc>
        <w:tc>
          <w:tcPr>
            <w:tcW w:w="1413" w:type="dxa"/>
            <w:vAlign w:val="top"/>
          </w:tcPr>
          <w:p w14:paraId="6870875C">
            <w:pPr>
              <w:pStyle w:val="8"/>
            </w:pPr>
          </w:p>
        </w:tc>
        <w:tc>
          <w:tcPr>
            <w:tcW w:w="2302" w:type="dxa"/>
            <w:vAlign w:val="top"/>
          </w:tcPr>
          <w:p w14:paraId="30A9EC2E">
            <w:pPr>
              <w:pStyle w:val="8"/>
            </w:pPr>
          </w:p>
        </w:tc>
        <w:tc>
          <w:tcPr>
            <w:tcW w:w="1557" w:type="dxa"/>
            <w:vAlign w:val="top"/>
          </w:tcPr>
          <w:p w14:paraId="0478ADF7">
            <w:pPr>
              <w:pStyle w:val="8"/>
            </w:pPr>
          </w:p>
        </w:tc>
        <w:tc>
          <w:tcPr>
            <w:tcW w:w="1953" w:type="dxa"/>
            <w:vAlign w:val="top"/>
          </w:tcPr>
          <w:p w14:paraId="00012214">
            <w:pPr>
              <w:pStyle w:val="8"/>
            </w:pPr>
          </w:p>
        </w:tc>
      </w:tr>
      <w:tr w14:paraId="7BFAE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1981EA8">
            <w:pPr>
              <w:pStyle w:val="8"/>
            </w:pPr>
          </w:p>
        </w:tc>
        <w:tc>
          <w:tcPr>
            <w:tcW w:w="1413" w:type="dxa"/>
            <w:vAlign w:val="top"/>
          </w:tcPr>
          <w:p w14:paraId="7E5B1126">
            <w:pPr>
              <w:pStyle w:val="8"/>
            </w:pPr>
          </w:p>
        </w:tc>
        <w:tc>
          <w:tcPr>
            <w:tcW w:w="2302" w:type="dxa"/>
            <w:vAlign w:val="top"/>
          </w:tcPr>
          <w:p w14:paraId="4B3D3F4B">
            <w:pPr>
              <w:pStyle w:val="8"/>
            </w:pPr>
          </w:p>
        </w:tc>
        <w:tc>
          <w:tcPr>
            <w:tcW w:w="1557" w:type="dxa"/>
            <w:vAlign w:val="top"/>
          </w:tcPr>
          <w:p w14:paraId="53B57C39">
            <w:pPr>
              <w:pStyle w:val="8"/>
            </w:pPr>
          </w:p>
        </w:tc>
        <w:tc>
          <w:tcPr>
            <w:tcW w:w="1953" w:type="dxa"/>
            <w:vAlign w:val="top"/>
          </w:tcPr>
          <w:p w14:paraId="20B034B2">
            <w:pPr>
              <w:pStyle w:val="8"/>
            </w:pPr>
          </w:p>
        </w:tc>
      </w:tr>
      <w:tr w14:paraId="1CF98F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EB5090E">
            <w:pPr>
              <w:pStyle w:val="8"/>
            </w:pPr>
          </w:p>
        </w:tc>
        <w:tc>
          <w:tcPr>
            <w:tcW w:w="1413" w:type="dxa"/>
            <w:vAlign w:val="top"/>
          </w:tcPr>
          <w:p w14:paraId="2946F61A">
            <w:pPr>
              <w:pStyle w:val="8"/>
            </w:pPr>
          </w:p>
        </w:tc>
        <w:tc>
          <w:tcPr>
            <w:tcW w:w="2302" w:type="dxa"/>
            <w:vAlign w:val="top"/>
          </w:tcPr>
          <w:p w14:paraId="734BAC49">
            <w:pPr>
              <w:pStyle w:val="8"/>
            </w:pPr>
          </w:p>
        </w:tc>
        <w:tc>
          <w:tcPr>
            <w:tcW w:w="1557" w:type="dxa"/>
            <w:vAlign w:val="top"/>
          </w:tcPr>
          <w:p w14:paraId="3A3588A8">
            <w:pPr>
              <w:pStyle w:val="8"/>
            </w:pPr>
          </w:p>
        </w:tc>
        <w:tc>
          <w:tcPr>
            <w:tcW w:w="1953" w:type="dxa"/>
            <w:vAlign w:val="top"/>
          </w:tcPr>
          <w:p w14:paraId="0BCCA43B">
            <w:pPr>
              <w:pStyle w:val="8"/>
            </w:pPr>
          </w:p>
        </w:tc>
      </w:tr>
    </w:tbl>
    <w:p w14:paraId="7D056E5C">
      <w:pPr>
        <w:pStyle w:val="2"/>
      </w:pPr>
    </w:p>
    <w:p w14:paraId="02A06BC5">
      <w:pPr>
        <w:sectPr>
          <w:footerReference r:id="rId6" w:type="default"/>
          <w:pgSz w:w="11906" w:h="16839"/>
          <w:pgMar w:top="1431" w:right="915" w:bottom="1374" w:left="1785" w:header="0" w:footer="1211" w:gutter="0"/>
          <w:cols w:space="720" w:num="1"/>
        </w:sectPr>
      </w:pPr>
    </w:p>
    <w:p w14:paraId="7E4EC88F">
      <w:pPr>
        <w:pStyle w:val="2"/>
        <w:spacing w:line="243" w:lineRule="auto"/>
      </w:pPr>
    </w:p>
    <w:p w14:paraId="3EF53445">
      <w:pPr>
        <w:pStyle w:val="2"/>
        <w:spacing w:line="244" w:lineRule="auto"/>
      </w:pPr>
    </w:p>
    <w:p w14:paraId="7E22E9F6">
      <w:pPr>
        <w:pStyle w:val="2"/>
        <w:spacing w:line="244" w:lineRule="auto"/>
      </w:pPr>
    </w:p>
    <w:p w14:paraId="68D6F6B3">
      <w:pPr>
        <w:pStyle w:val="2"/>
        <w:spacing w:line="244" w:lineRule="auto"/>
      </w:pPr>
    </w:p>
    <w:p w14:paraId="4C1C9EA4">
      <w:pPr>
        <w:pStyle w:val="2"/>
        <w:spacing w:line="244" w:lineRule="auto"/>
      </w:pPr>
    </w:p>
    <w:p w14:paraId="00ABEC00">
      <w:pPr>
        <w:pStyle w:val="2"/>
        <w:spacing w:line="244" w:lineRule="auto"/>
      </w:pPr>
    </w:p>
    <w:p w14:paraId="688DE0A1">
      <w:pPr>
        <w:pStyle w:val="2"/>
        <w:spacing w:line="244" w:lineRule="auto"/>
      </w:pPr>
    </w:p>
    <w:p w14:paraId="166BBD7E">
      <w:pPr>
        <w:pStyle w:val="2"/>
        <w:spacing w:line="244" w:lineRule="auto"/>
      </w:pPr>
    </w:p>
    <w:p w14:paraId="2CC9AB59">
      <w:pPr>
        <w:pStyle w:val="2"/>
        <w:spacing w:line="244" w:lineRule="auto"/>
      </w:pPr>
    </w:p>
    <w:sdt>
      <w:sdtPr>
        <w:rPr>
          <w:rFonts w:ascii="宋体" w:hAnsi="宋体" w:eastAsia="宋体" w:cs="Arial"/>
          <w:snapToGrid w:val="0"/>
          <w:color w:val="000000"/>
          <w:kern w:val="0"/>
          <w:sz w:val="21"/>
          <w:szCs w:val="21"/>
          <w:lang w:val="en-US" w:eastAsia="en-US" w:bidi="ar-SA"/>
        </w:rPr>
        <w:id w:val="1474581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3550C99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05B2FF8">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备品备件管理制度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7DF7E7">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8D4636">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_Toc29475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1.目的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_Toc29475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1AE497">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_Toc19635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2.范围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_Toc19635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8BC260">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_Toc3865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3.原则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_Toc3865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AD9B41F">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_Toc8921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4.管理制度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_Toc8921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52B74C">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_Toc15921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_Toc15921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B767E65">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_Toc29204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5.1</w:t>
          </w:r>
          <w:r>
            <w:rPr>
              <w:rFonts w:hint="eastAsia" w:ascii="Microsoft JhengHei" w:hAnsi="Microsoft JhengHei" w:eastAsia="Microsoft JhengHei" w:cs="Microsoft JhengHei"/>
              <w:bCs/>
              <w:spacing w:val="22"/>
              <w:w w:val="101"/>
              <w:sz w:val="24"/>
              <w:szCs w:val="24"/>
            </w:rPr>
            <w:t xml:space="preserve"> </w:t>
          </w:r>
          <w:r>
            <w:rPr>
              <w:rFonts w:hint="eastAsia" w:ascii="Microsoft JhengHei" w:hAnsi="Microsoft JhengHei" w:eastAsia="Microsoft JhengHei" w:cs="Microsoft JhengHei"/>
              <w:bCs/>
              <w:spacing w:val="-6"/>
              <w:sz w:val="24"/>
              <w:szCs w:val="24"/>
            </w:rPr>
            <w:t>采购管理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_Toc29204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05DE6E1">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_Toc26518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5.2</w:t>
          </w:r>
          <w:r>
            <w:rPr>
              <w:rFonts w:hint="eastAsia" w:ascii="Microsoft JhengHei" w:hAnsi="Microsoft JhengHei" w:eastAsia="Microsoft JhengHei" w:cs="Microsoft JhengHei"/>
              <w:bCs/>
              <w:spacing w:val="23"/>
              <w:sz w:val="24"/>
              <w:szCs w:val="24"/>
            </w:rPr>
            <w:t xml:space="preserve"> </w:t>
          </w:r>
          <w:r>
            <w:rPr>
              <w:rFonts w:hint="eastAsia" w:ascii="Microsoft JhengHei" w:hAnsi="Microsoft JhengHei" w:eastAsia="Microsoft JhengHei" w:cs="Microsoft JhengHei"/>
              <w:bCs/>
              <w:spacing w:val="-6"/>
              <w:sz w:val="24"/>
              <w:szCs w:val="24"/>
            </w:rPr>
            <w:t>库存管理</w:t>
          </w:r>
          <w:bookmarkStart w:id="14" w:name="_GoBack"/>
          <w:bookmarkEnd w:id="14"/>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_Toc26518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46FC90">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_Toc10940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5.3</w:t>
          </w:r>
          <w:r>
            <w:rPr>
              <w:rFonts w:hint="eastAsia" w:ascii="Microsoft JhengHei" w:hAnsi="Microsoft JhengHei" w:eastAsia="Microsoft JhengHei" w:cs="Microsoft JhengHei"/>
              <w:bCs/>
              <w:spacing w:val="23"/>
              <w:sz w:val="24"/>
              <w:szCs w:val="24"/>
            </w:rPr>
            <w:t xml:space="preserve"> </w:t>
          </w:r>
          <w:r>
            <w:rPr>
              <w:rFonts w:hint="eastAsia" w:ascii="Microsoft JhengHei" w:hAnsi="Microsoft JhengHei" w:eastAsia="Microsoft JhengHei" w:cs="Microsoft JhengHei"/>
              <w:bCs/>
              <w:spacing w:val="-6"/>
              <w:sz w:val="24"/>
              <w:szCs w:val="24"/>
            </w:rPr>
            <w:t>领用管理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_Toc10940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4F69B0">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_Toc12470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5.4</w:t>
          </w:r>
          <w:r>
            <w:rPr>
              <w:rFonts w:hint="eastAsia" w:ascii="Microsoft JhengHei" w:hAnsi="Microsoft JhengHei" w:eastAsia="Microsoft JhengHei" w:cs="Microsoft JhengHei"/>
              <w:bCs/>
              <w:spacing w:val="23"/>
              <w:sz w:val="24"/>
              <w:szCs w:val="24"/>
            </w:rPr>
            <w:t xml:space="preserve"> </w:t>
          </w:r>
          <w:r>
            <w:rPr>
              <w:rFonts w:hint="eastAsia" w:ascii="Microsoft JhengHei" w:hAnsi="Microsoft JhengHei" w:eastAsia="Microsoft JhengHei" w:cs="Microsoft JhengHei"/>
              <w:bCs/>
              <w:spacing w:val="-6"/>
              <w:sz w:val="24"/>
              <w:szCs w:val="24"/>
            </w:rPr>
            <w:t>借用管理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_Toc12470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4F0B3DB">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_Toc16692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5.6</w:t>
          </w:r>
          <w:r>
            <w:rPr>
              <w:rFonts w:hint="eastAsia" w:ascii="Microsoft JhengHei" w:hAnsi="Microsoft JhengHei" w:eastAsia="Microsoft JhengHei" w:cs="Microsoft JhengHei"/>
              <w:bCs/>
              <w:spacing w:val="22"/>
              <w:sz w:val="24"/>
              <w:szCs w:val="24"/>
            </w:rPr>
            <w:t xml:space="preserve"> </w:t>
          </w:r>
          <w:r>
            <w:rPr>
              <w:rFonts w:hint="eastAsia" w:ascii="Microsoft JhengHei" w:hAnsi="Microsoft JhengHei" w:eastAsia="Microsoft JhengHei" w:cs="Microsoft JhengHei"/>
              <w:bCs/>
              <w:spacing w:val="-6"/>
              <w:sz w:val="24"/>
              <w:szCs w:val="24"/>
            </w:rPr>
            <w:t>报废管理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_Toc16692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837BC71">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_Toc13931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lang w:val="en-US" w:eastAsia="zh-CN"/>
            </w:rPr>
            <w:t>6.考核指标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_Toc13931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C573A1A">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_Toc30949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7.记录表单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_Toc30949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E01C9FF">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71684371">
      <w:pPr>
        <w:spacing w:line="220" w:lineRule="auto"/>
        <w:rPr>
          <w:rFonts w:ascii="宋体" w:hAnsi="宋体" w:eastAsia="宋体" w:cs="宋体"/>
          <w:snapToGrid w:val="0"/>
          <w:color w:val="000000"/>
          <w:kern w:val="0"/>
          <w:sz w:val="21"/>
          <w:szCs w:val="21"/>
          <w:lang w:val="en-US" w:eastAsia="en-US" w:bidi="ar-SA"/>
        </w:rPr>
        <w:sectPr>
          <w:footerReference r:id="rId7" w:type="default"/>
          <w:pgSz w:w="11906" w:h="16839"/>
          <w:pgMar w:top="1431" w:right="1785" w:bottom="1375" w:left="1785" w:header="0" w:footer="1211" w:gutter="0"/>
          <w:cols w:space="720" w:num="1"/>
        </w:sectPr>
      </w:pPr>
    </w:p>
    <w:p w14:paraId="59FAFD26">
      <w:pPr>
        <w:spacing w:before="205" w:line="222" w:lineRule="auto"/>
        <w:ind w:left="42"/>
        <w:outlineLvl w:val="0"/>
        <w:rPr>
          <w:rFonts w:ascii="宋体" w:hAnsi="宋体" w:eastAsia="宋体" w:cs="宋体"/>
          <w:sz w:val="40"/>
          <w:szCs w:val="40"/>
        </w:rPr>
      </w:pPr>
      <w:bookmarkStart w:id="2" w:name="_Toc29475"/>
      <w:r>
        <w:rPr>
          <w:rFonts w:ascii="Calibri" w:hAnsi="Calibri" w:eastAsia="Calibri" w:cs="Calibri"/>
          <w:b/>
          <w:bCs/>
          <w:spacing w:val="-10"/>
          <w:sz w:val="40"/>
          <w:szCs w:val="40"/>
        </w:rPr>
        <w:t>1.</w:t>
      </w:r>
      <w:r>
        <w:rPr>
          <w:rFonts w:ascii="宋体" w:hAnsi="宋体" w:eastAsia="宋体" w:cs="宋体"/>
          <w:b/>
          <w:bCs/>
          <w:spacing w:val="-10"/>
          <w:sz w:val="40"/>
          <w:szCs w:val="40"/>
        </w:rPr>
        <w:t>目的</w:t>
      </w:r>
      <w:bookmarkEnd w:id="2"/>
    </w:p>
    <w:p w14:paraId="2C74CE3B">
      <w:pPr>
        <w:pStyle w:val="2"/>
        <w:spacing w:line="264" w:lineRule="auto"/>
      </w:pPr>
    </w:p>
    <w:p w14:paraId="029EF5A5">
      <w:pPr>
        <w:pStyle w:val="2"/>
        <w:spacing w:line="264" w:lineRule="auto"/>
      </w:pPr>
    </w:p>
    <w:p w14:paraId="33E77F9C">
      <w:pPr>
        <w:spacing w:before="91" w:line="431" w:lineRule="auto"/>
        <w:ind w:left="23" w:right="239" w:firstLine="560"/>
        <w:jc w:val="both"/>
        <w:rPr>
          <w:rFonts w:ascii="宋体" w:hAnsi="宋体" w:eastAsia="宋体" w:cs="宋体"/>
          <w:sz w:val="28"/>
          <w:szCs w:val="28"/>
        </w:rPr>
      </w:pPr>
      <w:r>
        <w:rPr>
          <w:rFonts w:ascii="宋体" w:hAnsi="宋体" w:eastAsia="宋体" w:cs="宋体"/>
          <w:spacing w:val="-1"/>
          <w:sz w:val="28"/>
          <w:szCs w:val="28"/>
        </w:rPr>
        <w:t>对备品备件库中的设备进行有效管理，避免出现机房硬件故障而影响到应用系统的正常运行。按照公司运维业务管理的要求，为加强机房备品备件安全库存的集中统一管理，做好备品备件的储备供应工作，充分利用、合理配置备品备件资源，降低库存资金占用</w:t>
      </w:r>
      <w:r>
        <w:rPr>
          <w:rFonts w:ascii="宋体" w:hAnsi="宋体" w:eastAsia="宋体" w:cs="宋体"/>
          <w:spacing w:val="-4"/>
          <w:sz w:val="28"/>
          <w:szCs w:val="28"/>
        </w:rPr>
        <w:t>及企业运行成本，特制订本制度。</w:t>
      </w:r>
    </w:p>
    <w:p w14:paraId="55AFCDD9">
      <w:pPr>
        <w:spacing w:before="342" w:line="220" w:lineRule="auto"/>
        <w:ind w:left="31"/>
        <w:outlineLvl w:val="0"/>
        <w:rPr>
          <w:rFonts w:ascii="宋体" w:hAnsi="宋体" w:eastAsia="宋体" w:cs="宋体"/>
          <w:sz w:val="40"/>
          <w:szCs w:val="40"/>
        </w:rPr>
      </w:pPr>
      <w:bookmarkStart w:id="3" w:name="_Toc19635"/>
      <w:r>
        <w:rPr>
          <w:rFonts w:ascii="Calibri" w:hAnsi="Calibri" w:eastAsia="Calibri" w:cs="Calibri"/>
          <w:b/>
          <w:bCs/>
          <w:spacing w:val="-7"/>
          <w:sz w:val="40"/>
          <w:szCs w:val="40"/>
        </w:rPr>
        <w:t>2.</w:t>
      </w:r>
      <w:r>
        <w:rPr>
          <w:rFonts w:ascii="宋体" w:hAnsi="宋体" w:eastAsia="宋体" w:cs="宋体"/>
          <w:b/>
          <w:bCs/>
          <w:spacing w:val="-7"/>
          <w:sz w:val="40"/>
          <w:szCs w:val="40"/>
        </w:rPr>
        <w:t>范围</w:t>
      </w:r>
      <w:bookmarkEnd w:id="3"/>
    </w:p>
    <w:p w14:paraId="354EE78F">
      <w:pPr>
        <w:pStyle w:val="2"/>
        <w:spacing w:line="267" w:lineRule="auto"/>
      </w:pPr>
    </w:p>
    <w:p w14:paraId="4374435D">
      <w:pPr>
        <w:pStyle w:val="2"/>
        <w:spacing w:line="267" w:lineRule="auto"/>
      </w:pPr>
    </w:p>
    <w:p w14:paraId="092B2982">
      <w:pPr>
        <w:spacing w:before="91" w:line="432" w:lineRule="auto"/>
        <w:ind w:left="29" w:right="239" w:firstLine="555"/>
        <w:rPr>
          <w:rFonts w:ascii="宋体" w:hAnsi="宋体" w:eastAsia="宋体" w:cs="宋体"/>
          <w:sz w:val="28"/>
          <w:szCs w:val="28"/>
        </w:rPr>
      </w:pPr>
      <w:r>
        <w:rPr>
          <w:rFonts w:ascii="宋体" w:hAnsi="宋体" w:eastAsia="宋体" w:cs="宋体"/>
          <w:spacing w:val="-1"/>
          <w:sz w:val="28"/>
          <w:szCs w:val="28"/>
        </w:rPr>
        <w:t>适用于公司运维服务部备品备件库及各项目备品备件库，适用</w:t>
      </w:r>
      <w:r>
        <w:rPr>
          <w:rFonts w:ascii="宋体" w:hAnsi="宋体" w:eastAsia="宋体" w:cs="宋体"/>
          <w:spacing w:val="-2"/>
          <w:sz w:val="28"/>
          <w:szCs w:val="28"/>
        </w:rPr>
        <w:t>于所有运维机房内的服务器、存储、交换机等</w:t>
      </w:r>
      <w:r>
        <w:rPr>
          <w:rFonts w:ascii="宋体" w:hAnsi="宋体" w:eastAsia="宋体" w:cs="宋体"/>
          <w:spacing w:val="-3"/>
          <w:sz w:val="28"/>
          <w:szCs w:val="28"/>
        </w:rPr>
        <w:t>信息设备。</w:t>
      </w:r>
    </w:p>
    <w:p w14:paraId="7081A923">
      <w:pPr>
        <w:spacing w:before="342" w:line="220" w:lineRule="auto"/>
        <w:ind w:left="30"/>
        <w:outlineLvl w:val="0"/>
        <w:rPr>
          <w:rFonts w:ascii="宋体" w:hAnsi="宋体" w:eastAsia="宋体" w:cs="宋体"/>
          <w:sz w:val="40"/>
          <w:szCs w:val="40"/>
        </w:rPr>
      </w:pPr>
      <w:bookmarkStart w:id="4" w:name="_Toc3865"/>
      <w:r>
        <w:rPr>
          <w:rFonts w:ascii="Calibri" w:hAnsi="Calibri" w:eastAsia="Calibri" w:cs="Calibri"/>
          <w:b/>
          <w:bCs/>
          <w:spacing w:val="-7"/>
          <w:sz w:val="40"/>
          <w:szCs w:val="40"/>
        </w:rPr>
        <w:t>3.</w:t>
      </w:r>
      <w:r>
        <w:rPr>
          <w:rFonts w:ascii="宋体" w:hAnsi="宋体" w:eastAsia="宋体" w:cs="宋体"/>
          <w:b/>
          <w:bCs/>
          <w:spacing w:val="-7"/>
          <w:sz w:val="40"/>
          <w:szCs w:val="40"/>
        </w:rPr>
        <w:t>原则</w:t>
      </w:r>
      <w:bookmarkEnd w:id="4"/>
    </w:p>
    <w:p w14:paraId="5646E7D9">
      <w:pPr>
        <w:pStyle w:val="2"/>
        <w:spacing w:line="267" w:lineRule="auto"/>
      </w:pPr>
    </w:p>
    <w:p w14:paraId="7336E7FD">
      <w:pPr>
        <w:pStyle w:val="2"/>
        <w:spacing w:line="268" w:lineRule="auto"/>
      </w:pPr>
    </w:p>
    <w:p w14:paraId="2D5143F1">
      <w:pPr>
        <w:spacing w:before="92" w:line="219" w:lineRule="auto"/>
        <w:ind w:left="588"/>
        <w:rPr>
          <w:rFonts w:ascii="宋体" w:hAnsi="宋体" w:eastAsia="宋体" w:cs="宋体"/>
          <w:sz w:val="28"/>
          <w:szCs w:val="28"/>
        </w:rPr>
      </w:pPr>
      <w:r>
        <w:rPr>
          <w:rFonts w:ascii="宋体" w:hAnsi="宋体" w:eastAsia="宋体" w:cs="宋体"/>
          <w:spacing w:val="-6"/>
          <w:sz w:val="28"/>
          <w:szCs w:val="28"/>
        </w:rPr>
        <w:t>备件</w:t>
      </w:r>
      <w:r>
        <w:rPr>
          <w:rFonts w:hint="eastAsia" w:ascii="宋体" w:hAnsi="宋体" w:eastAsia="宋体" w:cs="宋体"/>
          <w:spacing w:val="-6"/>
          <w:sz w:val="28"/>
          <w:szCs w:val="28"/>
          <w:lang w:val="en-US" w:eastAsia="zh-CN"/>
        </w:rPr>
        <w:t>库管理专员</w:t>
      </w:r>
      <w:r>
        <w:rPr>
          <w:rFonts w:ascii="宋体" w:hAnsi="宋体" w:eastAsia="宋体" w:cs="宋体"/>
          <w:spacing w:val="-6"/>
          <w:sz w:val="28"/>
          <w:szCs w:val="28"/>
        </w:rPr>
        <w:t>提供维修配件需求；</w:t>
      </w:r>
    </w:p>
    <w:p w14:paraId="34024B21">
      <w:pPr>
        <w:spacing w:before="320" w:line="430" w:lineRule="auto"/>
        <w:ind w:left="26" w:right="239" w:firstLine="562"/>
        <w:rPr>
          <w:rFonts w:ascii="宋体" w:hAnsi="宋体" w:eastAsia="宋体" w:cs="宋体"/>
          <w:sz w:val="28"/>
          <w:szCs w:val="28"/>
        </w:rPr>
      </w:pPr>
      <w:r>
        <w:rPr>
          <w:rFonts w:ascii="宋体" w:hAnsi="宋体" w:eastAsia="宋体" w:cs="宋体"/>
          <w:spacing w:val="-6"/>
          <w:sz w:val="28"/>
          <w:szCs w:val="28"/>
        </w:rPr>
        <w:t>备件</w:t>
      </w:r>
      <w:r>
        <w:rPr>
          <w:rFonts w:hint="eastAsia" w:ascii="宋体" w:hAnsi="宋体" w:eastAsia="宋体" w:cs="宋体"/>
          <w:spacing w:val="-6"/>
          <w:sz w:val="28"/>
          <w:szCs w:val="28"/>
          <w:lang w:val="en-US" w:eastAsia="zh-CN"/>
        </w:rPr>
        <w:t>库管理专员</w:t>
      </w:r>
      <w:r>
        <w:rPr>
          <w:rFonts w:ascii="宋体" w:hAnsi="宋体" w:eastAsia="宋体" w:cs="宋体"/>
          <w:spacing w:val="-1"/>
          <w:sz w:val="28"/>
          <w:szCs w:val="28"/>
        </w:rPr>
        <w:t>负责对备品备件库中的配件进行定期查询，每月向</w:t>
      </w:r>
      <w:r>
        <w:rPr>
          <w:rFonts w:ascii="宋体" w:hAnsi="宋体" w:eastAsia="宋体" w:cs="宋体"/>
          <w:spacing w:val="-6"/>
          <w:sz w:val="28"/>
          <w:szCs w:val="28"/>
        </w:rPr>
        <w:t>财务服务部提交备件预算；</w:t>
      </w:r>
    </w:p>
    <w:p w14:paraId="05578F2C">
      <w:pPr>
        <w:spacing w:before="4" w:line="430" w:lineRule="auto"/>
        <w:ind w:left="25" w:firstLine="563"/>
        <w:jc w:val="both"/>
        <w:rPr>
          <w:rFonts w:ascii="宋体" w:hAnsi="宋体" w:eastAsia="宋体" w:cs="宋体"/>
          <w:sz w:val="28"/>
          <w:szCs w:val="28"/>
        </w:rPr>
      </w:pPr>
      <w:r>
        <w:rPr>
          <w:rFonts w:ascii="宋体" w:hAnsi="宋体" w:eastAsia="宋体" w:cs="宋体"/>
          <w:spacing w:val="-1"/>
          <w:sz w:val="28"/>
          <w:szCs w:val="28"/>
        </w:rPr>
        <w:t>备品备件的管理直接影响公司的资金占用和周转率，也直接影</w:t>
      </w:r>
      <w:r>
        <w:rPr>
          <w:rFonts w:ascii="宋体" w:hAnsi="宋体" w:eastAsia="宋体" w:cs="宋体"/>
          <w:spacing w:val="-2"/>
          <w:sz w:val="28"/>
          <w:szCs w:val="28"/>
        </w:rPr>
        <w:t>响正常的生产、检修和公司的技术改造、技术进步。要做好科学的、</w:t>
      </w:r>
      <w:r>
        <w:rPr>
          <w:rFonts w:ascii="宋体" w:hAnsi="宋体" w:eastAsia="宋体" w:cs="宋体"/>
          <w:spacing w:val="-1"/>
          <w:sz w:val="28"/>
          <w:szCs w:val="28"/>
        </w:rPr>
        <w:t>有计划的备件管理，首先应努力做好备件的计划工作，同时组织做好备件的采购、供应、保管等方面的工作，在保证不影响系统的前提下，应尽量压缩备件、材料的储备定额，降低备件的管理成本和</w:t>
      </w:r>
    </w:p>
    <w:p w14:paraId="79F38202">
      <w:pPr>
        <w:spacing w:line="430" w:lineRule="auto"/>
        <w:rPr>
          <w:rFonts w:ascii="宋体" w:hAnsi="宋体" w:eastAsia="宋体" w:cs="宋体"/>
          <w:sz w:val="28"/>
          <w:szCs w:val="28"/>
        </w:rPr>
        <w:sectPr>
          <w:footerReference r:id="rId8" w:type="default"/>
          <w:pgSz w:w="11906" w:h="16839"/>
          <w:pgMar w:top="1431" w:right="1746" w:bottom="1375" w:left="1785" w:header="0" w:footer="1211" w:gutter="0"/>
          <w:cols w:space="720" w:num="1"/>
        </w:sectPr>
      </w:pPr>
    </w:p>
    <w:p w14:paraId="382D842B">
      <w:pPr>
        <w:spacing w:before="196" w:line="220" w:lineRule="auto"/>
        <w:ind w:left="25"/>
        <w:rPr>
          <w:rFonts w:ascii="宋体" w:hAnsi="宋体" w:eastAsia="宋体" w:cs="宋体"/>
          <w:sz w:val="28"/>
          <w:szCs w:val="28"/>
        </w:rPr>
      </w:pPr>
      <w:r>
        <w:rPr>
          <w:rFonts w:ascii="宋体" w:hAnsi="宋体" w:eastAsia="宋体" w:cs="宋体"/>
          <w:spacing w:val="-7"/>
          <w:sz w:val="28"/>
          <w:szCs w:val="28"/>
        </w:rPr>
        <w:t>减少库存资金。</w:t>
      </w:r>
    </w:p>
    <w:p w14:paraId="6FAA31B5">
      <w:pPr>
        <w:pStyle w:val="2"/>
        <w:spacing w:line="266" w:lineRule="auto"/>
      </w:pPr>
    </w:p>
    <w:p w14:paraId="05B42141">
      <w:pPr>
        <w:pStyle w:val="2"/>
        <w:spacing w:line="266" w:lineRule="auto"/>
      </w:pPr>
    </w:p>
    <w:p w14:paraId="48FE1D10">
      <w:pPr>
        <w:spacing w:before="130" w:line="220" w:lineRule="auto"/>
        <w:ind w:left="21"/>
        <w:outlineLvl w:val="0"/>
        <w:rPr>
          <w:rFonts w:ascii="宋体" w:hAnsi="宋体" w:eastAsia="宋体" w:cs="宋体"/>
          <w:sz w:val="40"/>
          <w:szCs w:val="40"/>
        </w:rPr>
      </w:pPr>
      <w:bookmarkStart w:id="5" w:name="_Toc8921"/>
      <w:r>
        <w:rPr>
          <w:rFonts w:ascii="Calibri" w:hAnsi="Calibri" w:eastAsia="Calibri" w:cs="Calibri"/>
          <w:b/>
          <w:bCs/>
          <w:spacing w:val="-5"/>
          <w:sz w:val="40"/>
          <w:szCs w:val="40"/>
        </w:rPr>
        <w:t>4.</w:t>
      </w:r>
      <w:r>
        <w:rPr>
          <w:rFonts w:ascii="宋体" w:hAnsi="宋体" w:eastAsia="宋体" w:cs="宋体"/>
          <w:b/>
          <w:bCs/>
          <w:spacing w:val="-5"/>
          <w:sz w:val="40"/>
          <w:szCs w:val="40"/>
        </w:rPr>
        <w:t>管理制度</w:t>
      </w:r>
      <w:bookmarkEnd w:id="5"/>
    </w:p>
    <w:p w14:paraId="1EC65A77">
      <w:pPr>
        <w:pStyle w:val="2"/>
        <w:spacing w:line="269" w:lineRule="auto"/>
      </w:pPr>
    </w:p>
    <w:p w14:paraId="103184AF">
      <w:pPr>
        <w:pStyle w:val="2"/>
        <w:spacing w:line="269" w:lineRule="auto"/>
      </w:pPr>
    </w:p>
    <w:p w14:paraId="2ACC244F">
      <w:pPr>
        <w:spacing w:before="91" w:line="324" w:lineRule="auto"/>
        <w:ind w:left="27" w:right="250" w:firstLine="578"/>
        <w:rPr>
          <w:rFonts w:ascii="宋体" w:hAnsi="宋体" w:eastAsia="宋体" w:cs="宋体"/>
          <w:sz w:val="28"/>
          <w:szCs w:val="28"/>
        </w:rPr>
      </w:pPr>
      <w:r>
        <w:rPr>
          <w:rFonts w:ascii="宋体" w:hAnsi="宋体" w:eastAsia="宋体" w:cs="宋体"/>
          <w:spacing w:val="-2"/>
          <w:sz w:val="28"/>
          <w:szCs w:val="28"/>
        </w:rPr>
        <w:t>1）备件管理员应针对运维机房发生故障的概率提出备件分类标准，在保证备件供应的前提下，尽可能减少备件的资金占用量。</w:t>
      </w:r>
    </w:p>
    <w:p w14:paraId="58C8BE7F">
      <w:pPr>
        <w:spacing w:before="319" w:line="325" w:lineRule="auto"/>
        <w:ind w:left="25" w:right="265" w:firstLine="563"/>
        <w:rPr>
          <w:rFonts w:ascii="宋体" w:hAnsi="宋体" w:eastAsia="宋体" w:cs="宋体"/>
          <w:sz w:val="28"/>
          <w:szCs w:val="28"/>
        </w:rPr>
      </w:pPr>
      <w:r>
        <w:rPr>
          <w:rFonts w:ascii="宋体" w:hAnsi="宋体" w:eastAsia="宋体" w:cs="宋体"/>
          <w:spacing w:val="-2"/>
          <w:sz w:val="28"/>
          <w:szCs w:val="28"/>
        </w:rPr>
        <w:t>2）备件管理员实时监测库存情况，针对库存缺少现象及时联系</w:t>
      </w:r>
      <w:r>
        <w:rPr>
          <w:rFonts w:ascii="宋体" w:hAnsi="宋体" w:eastAsia="宋体" w:cs="宋体"/>
          <w:spacing w:val="-4"/>
          <w:sz w:val="28"/>
          <w:szCs w:val="28"/>
        </w:rPr>
        <w:t>运维服务部，保证备品备件库库存数量符合要求；</w:t>
      </w:r>
    </w:p>
    <w:p w14:paraId="3E0E11F3">
      <w:pPr>
        <w:spacing w:before="318" w:line="325" w:lineRule="auto"/>
        <w:ind w:left="26" w:right="253" w:firstLine="564"/>
        <w:rPr>
          <w:rFonts w:ascii="宋体" w:hAnsi="宋体" w:eastAsia="宋体" w:cs="宋体"/>
          <w:sz w:val="28"/>
          <w:szCs w:val="28"/>
        </w:rPr>
      </w:pPr>
      <w:r>
        <w:rPr>
          <w:rFonts w:ascii="宋体" w:hAnsi="宋体" w:eastAsia="宋体" w:cs="宋体"/>
          <w:spacing w:val="-1"/>
          <w:sz w:val="28"/>
          <w:szCs w:val="28"/>
        </w:rPr>
        <w:t>3）备件管理员应保证实际备品备件库中设备实际库存</w:t>
      </w:r>
      <w:r>
        <w:rPr>
          <w:rFonts w:ascii="宋体" w:hAnsi="宋体" w:eastAsia="宋体" w:cs="宋体"/>
          <w:spacing w:val="-2"/>
          <w:sz w:val="28"/>
          <w:szCs w:val="28"/>
        </w:rPr>
        <w:t>数量与账</w:t>
      </w:r>
      <w:r>
        <w:rPr>
          <w:rFonts w:ascii="宋体" w:hAnsi="宋体" w:eastAsia="宋体" w:cs="宋体"/>
          <w:spacing w:val="-5"/>
          <w:sz w:val="28"/>
          <w:szCs w:val="28"/>
        </w:rPr>
        <w:t>面数量一致，禁止违规出库入库；</w:t>
      </w:r>
    </w:p>
    <w:p w14:paraId="5C3298BC">
      <w:pPr>
        <w:spacing w:before="319" w:line="325" w:lineRule="auto"/>
        <w:ind w:left="42" w:firstLine="541"/>
        <w:rPr>
          <w:rFonts w:ascii="宋体" w:hAnsi="宋体" w:eastAsia="宋体" w:cs="宋体"/>
          <w:sz w:val="28"/>
          <w:szCs w:val="28"/>
        </w:rPr>
      </w:pPr>
      <w:r>
        <w:rPr>
          <w:rFonts w:ascii="宋体" w:hAnsi="宋体" w:eastAsia="宋体" w:cs="宋体"/>
          <w:spacing w:val="-2"/>
          <w:sz w:val="28"/>
          <w:szCs w:val="28"/>
        </w:rPr>
        <w:t>4）备件管理员应保证备品备件库中设备安全，做好防摔、防潮、</w:t>
      </w:r>
      <w:r>
        <w:rPr>
          <w:rFonts w:ascii="宋体" w:hAnsi="宋体" w:eastAsia="宋体" w:cs="宋体"/>
          <w:spacing w:val="-16"/>
          <w:sz w:val="28"/>
          <w:szCs w:val="28"/>
        </w:rPr>
        <w:t>防尘处理；</w:t>
      </w:r>
    </w:p>
    <w:p w14:paraId="160A78E3">
      <w:pPr>
        <w:spacing w:before="317" w:line="325" w:lineRule="auto"/>
        <w:ind w:left="27" w:right="239" w:firstLine="563"/>
        <w:rPr>
          <w:rFonts w:ascii="宋体" w:hAnsi="宋体" w:eastAsia="宋体" w:cs="宋体"/>
          <w:sz w:val="28"/>
          <w:szCs w:val="28"/>
        </w:rPr>
      </w:pPr>
      <w:r>
        <w:rPr>
          <w:rFonts w:ascii="宋体" w:hAnsi="宋体" w:eastAsia="宋体" w:cs="宋体"/>
          <w:spacing w:val="-1"/>
          <w:sz w:val="28"/>
          <w:szCs w:val="28"/>
        </w:rPr>
        <w:t>5）备件管理员应按照规定填写出/入库单据，项目号、出/入库</w:t>
      </w:r>
      <w:r>
        <w:rPr>
          <w:rFonts w:ascii="宋体" w:hAnsi="宋体" w:eastAsia="宋体" w:cs="宋体"/>
          <w:spacing w:val="-5"/>
          <w:sz w:val="28"/>
          <w:szCs w:val="28"/>
        </w:rPr>
        <w:t>数量等内容要填写清楚，严禁漏写单据；</w:t>
      </w:r>
    </w:p>
    <w:p w14:paraId="72766686">
      <w:pPr>
        <w:spacing w:before="320" w:line="324" w:lineRule="auto"/>
        <w:ind w:left="27" w:right="251" w:firstLine="560"/>
        <w:rPr>
          <w:rFonts w:ascii="宋体" w:hAnsi="宋体" w:eastAsia="宋体" w:cs="宋体"/>
          <w:sz w:val="28"/>
          <w:szCs w:val="28"/>
        </w:rPr>
      </w:pPr>
      <w:r>
        <w:rPr>
          <w:rFonts w:ascii="宋体" w:hAnsi="宋体" w:eastAsia="宋体" w:cs="宋体"/>
          <w:spacing w:val="-1"/>
          <w:sz w:val="28"/>
          <w:szCs w:val="28"/>
        </w:rPr>
        <w:t>6）应保证备品备件库中设备只可由运维实施工程师领取，严禁</w:t>
      </w:r>
      <w:r>
        <w:rPr>
          <w:rFonts w:ascii="宋体" w:hAnsi="宋体" w:eastAsia="宋体" w:cs="宋体"/>
          <w:spacing w:val="-7"/>
          <w:sz w:val="28"/>
          <w:szCs w:val="28"/>
        </w:rPr>
        <w:t>无关人员私自领取或借取；</w:t>
      </w:r>
    </w:p>
    <w:p w14:paraId="19EFC639">
      <w:pPr>
        <w:spacing w:before="319" w:line="220" w:lineRule="auto"/>
        <w:ind w:left="591"/>
        <w:rPr>
          <w:rFonts w:ascii="宋体" w:hAnsi="宋体" w:eastAsia="宋体" w:cs="宋体"/>
          <w:sz w:val="28"/>
          <w:szCs w:val="28"/>
        </w:rPr>
      </w:pPr>
      <w:r>
        <w:rPr>
          <w:rFonts w:ascii="宋体" w:hAnsi="宋体" w:eastAsia="宋体" w:cs="宋体"/>
          <w:spacing w:val="-3"/>
          <w:sz w:val="28"/>
          <w:szCs w:val="28"/>
        </w:rPr>
        <w:t>7）备件管理员应定期对库存设备进行盘点，核对账面信息；</w:t>
      </w:r>
    </w:p>
    <w:p w14:paraId="615874CA">
      <w:pPr>
        <w:spacing w:before="318" w:line="360" w:lineRule="auto"/>
        <w:ind w:left="23" w:firstLine="562"/>
        <w:rPr>
          <w:rFonts w:ascii="宋体" w:hAnsi="宋体" w:eastAsia="宋体" w:cs="宋体"/>
          <w:sz w:val="28"/>
          <w:szCs w:val="28"/>
        </w:rPr>
      </w:pPr>
      <w:r>
        <w:rPr>
          <w:rFonts w:ascii="宋体" w:hAnsi="宋体" w:eastAsia="宋体" w:cs="宋体"/>
          <w:spacing w:val="-2"/>
          <w:sz w:val="28"/>
          <w:szCs w:val="28"/>
        </w:rPr>
        <w:t>8）备件管理员应保证具有保质期的设备或原材料没有超期存储。</w:t>
      </w:r>
      <w:r>
        <w:rPr>
          <w:rFonts w:ascii="宋体" w:hAnsi="宋体" w:eastAsia="宋体" w:cs="宋体"/>
          <w:spacing w:val="-1"/>
          <w:sz w:val="28"/>
          <w:szCs w:val="28"/>
        </w:rPr>
        <w:t>对备件的计划管理，主要负责备件储备定额和目录的编制、供应和</w:t>
      </w:r>
      <w:r>
        <w:rPr>
          <w:rFonts w:ascii="宋体" w:hAnsi="宋体" w:eastAsia="宋体" w:cs="宋体"/>
          <w:spacing w:val="6"/>
          <w:sz w:val="28"/>
          <w:szCs w:val="28"/>
        </w:rPr>
        <w:t xml:space="preserve"> </w:t>
      </w:r>
      <w:r>
        <w:rPr>
          <w:rFonts w:ascii="宋体" w:hAnsi="宋体" w:eastAsia="宋体" w:cs="宋体"/>
          <w:spacing w:val="-7"/>
          <w:sz w:val="28"/>
          <w:szCs w:val="28"/>
        </w:rPr>
        <w:t>使用计划工作。</w:t>
      </w:r>
    </w:p>
    <w:p w14:paraId="6BBD0F26">
      <w:pPr>
        <w:spacing w:before="318" w:line="325" w:lineRule="auto"/>
        <w:ind w:left="37" w:right="258" w:firstLine="549"/>
        <w:rPr>
          <w:rFonts w:ascii="宋体" w:hAnsi="宋体" w:eastAsia="宋体" w:cs="宋体"/>
          <w:sz w:val="28"/>
          <w:szCs w:val="28"/>
        </w:rPr>
      </w:pPr>
      <w:r>
        <w:rPr>
          <w:rFonts w:ascii="宋体" w:hAnsi="宋体" w:eastAsia="宋体" w:cs="宋体"/>
          <w:spacing w:val="-1"/>
          <w:sz w:val="28"/>
          <w:szCs w:val="28"/>
        </w:rPr>
        <w:t>9）备件库房管理，主要负责备件的保管、进出库和</w:t>
      </w:r>
      <w:r>
        <w:rPr>
          <w:rFonts w:ascii="宋体" w:hAnsi="宋体" w:eastAsia="宋体" w:cs="宋体"/>
          <w:spacing w:val="-2"/>
          <w:sz w:val="28"/>
          <w:szCs w:val="28"/>
        </w:rPr>
        <w:t>相关库存信</w:t>
      </w:r>
      <w:r>
        <w:rPr>
          <w:rFonts w:ascii="宋体" w:hAnsi="宋体" w:eastAsia="宋体" w:cs="宋体"/>
          <w:spacing w:val="-8"/>
          <w:sz w:val="28"/>
          <w:szCs w:val="28"/>
        </w:rPr>
        <w:t>息反馈等工作。</w:t>
      </w:r>
    </w:p>
    <w:p w14:paraId="5396043E">
      <w:pPr>
        <w:spacing w:line="325" w:lineRule="auto"/>
        <w:rPr>
          <w:rFonts w:ascii="宋体" w:hAnsi="宋体" w:eastAsia="宋体" w:cs="宋体"/>
          <w:sz w:val="28"/>
          <w:szCs w:val="28"/>
        </w:rPr>
        <w:sectPr>
          <w:footerReference r:id="rId9" w:type="default"/>
          <w:pgSz w:w="11906" w:h="16839"/>
          <w:pgMar w:top="1431" w:right="1606" w:bottom="1374" w:left="1785" w:header="0" w:footer="1211" w:gutter="0"/>
          <w:cols w:space="720" w:num="1"/>
        </w:sectPr>
      </w:pPr>
    </w:p>
    <w:p w14:paraId="40D0B9BA">
      <w:pPr>
        <w:spacing w:before="196" w:line="220" w:lineRule="auto"/>
        <w:ind w:left="605"/>
        <w:rPr>
          <w:rFonts w:ascii="宋体" w:hAnsi="宋体" w:eastAsia="宋体" w:cs="宋体"/>
          <w:sz w:val="28"/>
          <w:szCs w:val="28"/>
        </w:rPr>
      </w:pPr>
      <w:r>
        <w:rPr>
          <w:rFonts w:ascii="宋体" w:hAnsi="宋体" w:eastAsia="宋体" w:cs="宋体"/>
          <w:spacing w:val="-3"/>
          <w:sz w:val="28"/>
          <w:szCs w:val="28"/>
        </w:rPr>
        <w:t>10）备件的经济管理，主要负责经济核算与统计分析工作。</w:t>
      </w:r>
    </w:p>
    <w:p w14:paraId="4D4C57EB">
      <w:pPr>
        <w:spacing w:before="317" w:line="388" w:lineRule="auto"/>
        <w:ind w:left="25" w:right="217" w:firstLine="580"/>
        <w:rPr>
          <w:rFonts w:ascii="宋体" w:hAnsi="宋体" w:eastAsia="宋体" w:cs="宋体"/>
          <w:sz w:val="28"/>
          <w:szCs w:val="28"/>
        </w:rPr>
      </w:pPr>
      <w:r>
        <w:rPr>
          <w:rFonts w:ascii="宋体" w:hAnsi="宋体" w:eastAsia="宋体" w:cs="宋体"/>
          <w:spacing w:val="-2"/>
          <w:sz w:val="28"/>
          <w:szCs w:val="28"/>
        </w:rPr>
        <w:t>11）根据设备的数量以及备件的易损程度、价格、设备对生产</w:t>
      </w:r>
      <w:r>
        <w:rPr>
          <w:rFonts w:ascii="宋体" w:hAnsi="宋体" w:eastAsia="宋体" w:cs="宋体"/>
          <w:spacing w:val="-1"/>
          <w:sz w:val="28"/>
          <w:szCs w:val="28"/>
        </w:rPr>
        <w:t>的制约度和替代性、采购周期等，在科学分析设备运行状态和过去的消耗统计基础上，每年的第一季度对备品备件储备定额计划进行修订，修订时需按严格的审批程序执行。同时根据需要，可以一个</w:t>
      </w:r>
      <w:r>
        <w:rPr>
          <w:rFonts w:ascii="宋体" w:hAnsi="宋体" w:eastAsia="宋体" w:cs="宋体"/>
          <w:spacing w:val="-2"/>
          <w:sz w:val="28"/>
          <w:szCs w:val="28"/>
        </w:rPr>
        <w:t>季度或半年一次进行修订，修订时同样按照相关程序审批。</w:t>
      </w:r>
    </w:p>
    <w:p w14:paraId="000E0D1A">
      <w:pPr>
        <w:spacing w:before="318" w:line="325" w:lineRule="auto"/>
        <w:ind w:left="23" w:right="229" w:firstLine="581"/>
        <w:rPr>
          <w:rFonts w:ascii="宋体" w:hAnsi="宋体" w:eastAsia="宋体" w:cs="宋体"/>
          <w:sz w:val="28"/>
          <w:szCs w:val="28"/>
        </w:rPr>
      </w:pPr>
      <w:r>
        <w:rPr>
          <w:rFonts w:ascii="宋体" w:hAnsi="宋体" w:eastAsia="宋体" w:cs="宋体"/>
          <w:spacing w:val="-2"/>
          <w:sz w:val="28"/>
          <w:szCs w:val="28"/>
        </w:rPr>
        <w:t>12）备件管理员可以根据特殊情况对部分备件不合理的定额计划可以进行实时修改，但需按照审批程序进</w:t>
      </w:r>
      <w:r>
        <w:rPr>
          <w:rFonts w:ascii="宋体" w:hAnsi="宋体" w:eastAsia="宋体" w:cs="宋体"/>
          <w:spacing w:val="-3"/>
          <w:sz w:val="28"/>
          <w:szCs w:val="28"/>
        </w:rPr>
        <w:t>行审批。</w:t>
      </w:r>
    </w:p>
    <w:p w14:paraId="650D6E0A">
      <w:pPr>
        <w:spacing w:before="316" w:line="395" w:lineRule="auto"/>
        <w:ind w:left="22" w:firstLine="582"/>
        <w:rPr>
          <w:rFonts w:ascii="宋体" w:hAnsi="宋体" w:eastAsia="宋体" w:cs="宋体"/>
          <w:sz w:val="28"/>
          <w:szCs w:val="28"/>
        </w:rPr>
      </w:pPr>
      <w:r>
        <w:rPr>
          <w:rFonts w:ascii="宋体" w:hAnsi="宋体" w:eastAsia="宋体" w:cs="宋体"/>
          <w:spacing w:val="-2"/>
          <w:sz w:val="28"/>
          <w:szCs w:val="28"/>
        </w:rPr>
        <w:t>13）对于定额外日常运维用的备品备件的申报，运维服务部应</w:t>
      </w:r>
      <w:r>
        <w:rPr>
          <w:rFonts w:ascii="宋体" w:hAnsi="宋体" w:eastAsia="宋体" w:cs="宋体"/>
          <w:sz w:val="28"/>
          <w:szCs w:val="28"/>
        </w:rPr>
        <w:t>严格按照公司采购程序要求申购、领用相关</w:t>
      </w:r>
      <w:r>
        <w:rPr>
          <w:rFonts w:ascii="宋体" w:hAnsi="宋体" w:eastAsia="宋体" w:cs="宋体"/>
          <w:spacing w:val="-1"/>
          <w:sz w:val="28"/>
          <w:szCs w:val="28"/>
        </w:rPr>
        <w:t>的备品备件，申购时由</w:t>
      </w:r>
      <w:r>
        <w:rPr>
          <w:rFonts w:ascii="宋体" w:hAnsi="宋体" w:eastAsia="宋体" w:cs="宋体"/>
          <w:sz w:val="28"/>
          <w:szCs w:val="28"/>
        </w:rPr>
        <w:t>备件管理员核查库存后确认，再由相关部门</w:t>
      </w:r>
      <w:r>
        <w:rPr>
          <w:rFonts w:ascii="宋体" w:hAnsi="宋体" w:eastAsia="宋体" w:cs="宋体"/>
          <w:spacing w:val="-1"/>
          <w:sz w:val="28"/>
          <w:szCs w:val="28"/>
        </w:rPr>
        <w:t>领导确认后由采购部进</w:t>
      </w:r>
      <w:r>
        <w:rPr>
          <w:rFonts w:ascii="宋体" w:hAnsi="宋体" w:eastAsia="宋体" w:cs="宋体"/>
          <w:spacing w:val="-3"/>
          <w:sz w:val="28"/>
          <w:szCs w:val="28"/>
        </w:rPr>
        <w:t>行采购。未经领导批准的，采购部不安排采购，有在公司领导批准，</w:t>
      </w:r>
      <w:r>
        <w:rPr>
          <w:rFonts w:ascii="宋体" w:hAnsi="宋体" w:eastAsia="宋体" w:cs="宋体"/>
          <w:sz w:val="28"/>
          <w:szCs w:val="28"/>
        </w:rPr>
        <w:t>但相关部门领导尚未审批的，采购部同样不</w:t>
      </w:r>
      <w:r>
        <w:rPr>
          <w:rFonts w:ascii="宋体" w:hAnsi="宋体" w:eastAsia="宋体" w:cs="宋体"/>
          <w:spacing w:val="-1"/>
          <w:sz w:val="28"/>
          <w:szCs w:val="28"/>
        </w:rPr>
        <w:t>安排采购。同时备件管</w:t>
      </w:r>
      <w:r>
        <w:rPr>
          <w:rFonts w:ascii="宋体" w:hAnsi="宋体" w:eastAsia="宋体" w:cs="宋体"/>
          <w:spacing w:val="-2"/>
          <w:sz w:val="28"/>
          <w:szCs w:val="28"/>
        </w:rPr>
        <w:t>理员对采购回来的备品备件要有专门的标识和及时通知相关部门。</w:t>
      </w:r>
    </w:p>
    <w:p w14:paraId="14511E39">
      <w:pPr>
        <w:spacing w:before="317" w:line="360" w:lineRule="auto"/>
        <w:ind w:left="22" w:right="217" w:firstLine="582"/>
        <w:rPr>
          <w:rFonts w:ascii="宋体" w:hAnsi="宋体" w:eastAsia="宋体" w:cs="宋体"/>
          <w:sz w:val="28"/>
          <w:szCs w:val="28"/>
        </w:rPr>
      </w:pPr>
      <w:r>
        <w:rPr>
          <w:rFonts w:ascii="宋体" w:hAnsi="宋体" w:eastAsia="宋体" w:cs="宋体"/>
          <w:spacing w:val="-2"/>
          <w:sz w:val="28"/>
          <w:szCs w:val="28"/>
        </w:rPr>
        <w:t>14）在首次选型、购买设备和材料时，应尽可能考虑采购部采</w:t>
      </w:r>
      <w:r>
        <w:rPr>
          <w:rFonts w:ascii="宋体" w:hAnsi="宋体" w:eastAsia="宋体" w:cs="宋体"/>
          <w:sz w:val="28"/>
          <w:szCs w:val="28"/>
        </w:rPr>
        <w:t>购人员以后采购这方面设备、备件的方便性</w:t>
      </w:r>
      <w:r>
        <w:rPr>
          <w:rFonts w:ascii="宋体" w:hAnsi="宋体" w:eastAsia="宋体" w:cs="宋体"/>
          <w:spacing w:val="-1"/>
          <w:sz w:val="28"/>
          <w:szCs w:val="28"/>
        </w:rPr>
        <w:t>；选型时采购部的采购</w:t>
      </w:r>
      <w:r>
        <w:rPr>
          <w:rFonts w:ascii="宋体" w:hAnsi="宋体" w:eastAsia="宋体" w:cs="宋体"/>
          <w:spacing w:val="-2"/>
          <w:sz w:val="28"/>
          <w:szCs w:val="28"/>
        </w:rPr>
        <w:t>人员可同时介入，进一步加强部门与部门之间的相互配合。</w:t>
      </w:r>
    </w:p>
    <w:p w14:paraId="47561827">
      <w:pPr>
        <w:pStyle w:val="2"/>
        <w:spacing w:line="266" w:lineRule="auto"/>
      </w:pPr>
    </w:p>
    <w:p w14:paraId="2E6F6E39">
      <w:pPr>
        <w:pStyle w:val="2"/>
        <w:spacing w:line="267" w:lineRule="auto"/>
      </w:pPr>
    </w:p>
    <w:p w14:paraId="1748FC06">
      <w:pPr>
        <w:spacing w:before="130" w:line="220" w:lineRule="auto"/>
        <w:ind w:left="32"/>
        <w:outlineLvl w:val="0"/>
        <w:rPr>
          <w:rFonts w:ascii="宋体" w:hAnsi="宋体" w:eastAsia="宋体" w:cs="宋体"/>
          <w:sz w:val="40"/>
          <w:szCs w:val="40"/>
        </w:rPr>
      </w:pPr>
      <w:bookmarkStart w:id="6" w:name="_Toc15921"/>
      <w:r>
        <w:rPr>
          <w:rFonts w:ascii="Calibri" w:hAnsi="Calibri" w:eastAsia="Calibri" w:cs="Calibri"/>
          <w:b/>
          <w:bCs/>
          <w:spacing w:val="-6"/>
          <w:sz w:val="40"/>
          <w:szCs w:val="40"/>
        </w:rPr>
        <w:t>5.</w:t>
      </w:r>
      <w:r>
        <w:rPr>
          <w:rFonts w:ascii="宋体" w:hAnsi="宋体" w:eastAsia="宋体" w:cs="宋体"/>
          <w:b/>
          <w:bCs/>
          <w:spacing w:val="-6"/>
          <w:sz w:val="40"/>
          <w:szCs w:val="40"/>
        </w:rPr>
        <w:t>管理流程</w:t>
      </w:r>
      <w:bookmarkEnd w:id="6"/>
    </w:p>
    <w:p w14:paraId="77E3D675">
      <w:pPr>
        <w:pStyle w:val="2"/>
        <w:spacing w:line="269" w:lineRule="auto"/>
      </w:pPr>
    </w:p>
    <w:p w14:paraId="51A20DCB">
      <w:pPr>
        <w:pStyle w:val="2"/>
        <w:spacing w:line="269" w:lineRule="auto"/>
      </w:pPr>
    </w:p>
    <w:p w14:paraId="41EE7C29">
      <w:pPr>
        <w:spacing w:before="92" w:line="424" w:lineRule="auto"/>
        <w:ind w:left="27" w:right="217" w:firstLine="558"/>
        <w:rPr>
          <w:rFonts w:ascii="宋体" w:hAnsi="宋体" w:eastAsia="宋体" w:cs="宋体"/>
          <w:sz w:val="28"/>
          <w:szCs w:val="28"/>
        </w:rPr>
      </w:pPr>
      <w:r>
        <w:rPr>
          <w:rFonts w:ascii="宋体" w:hAnsi="宋体" w:eastAsia="宋体" w:cs="宋体"/>
          <w:spacing w:val="-1"/>
          <w:sz w:val="28"/>
          <w:szCs w:val="28"/>
        </w:rPr>
        <w:t>本章分别说明了备品备件的采购、库存管理、领用、调拨、借</w:t>
      </w:r>
      <w:r>
        <w:rPr>
          <w:rFonts w:ascii="宋体" w:hAnsi="宋体" w:eastAsia="宋体" w:cs="宋体"/>
          <w:spacing w:val="-4"/>
          <w:sz w:val="28"/>
          <w:szCs w:val="28"/>
        </w:rPr>
        <w:t>用、送修及报废共六个管理流程。</w:t>
      </w:r>
    </w:p>
    <w:p w14:paraId="0EBD0026">
      <w:pPr>
        <w:spacing w:before="176" w:line="219" w:lineRule="auto"/>
        <w:ind w:left="29"/>
        <w:outlineLvl w:val="1"/>
        <w:rPr>
          <w:rFonts w:ascii="宋体" w:hAnsi="宋体" w:eastAsia="宋体" w:cs="宋体"/>
          <w:sz w:val="32"/>
          <w:szCs w:val="32"/>
        </w:rPr>
      </w:pPr>
      <w:bookmarkStart w:id="7" w:name="_Toc29204"/>
      <w:r>
        <w:rPr>
          <w:rFonts w:ascii="Calibri" w:hAnsi="Calibri" w:eastAsia="Calibri" w:cs="Calibri"/>
          <w:b/>
          <w:bCs/>
          <w:spacing w:val="-6"/>
          <w:sz w:val="32"/>
          <w:szCs w:val="32"/>
        </w:rPr>
        <w:t>5.1</w:t>
      </w:r>
      <w:r>
        <w:rPr>
          <w:rFonts w:ascii="Calibri" w:hAnsi="Calibri" w:eastAsia="Calibri" w:cs="Calibri"/>
          <w:b/>
          <w:bCs/>
          <w:spacing w:val="22"/>
          <w:w w:val="101"/>
          <w:sz w:val="32"/>
          <w:szCs w:val="32"/>
        </w:rPr>
        <w:t xml:space="preserve"> </w:t>
      </w:r>
      <w:r>
        <w:rPr>
          <w:rFonts w:ascii="宋体" w:hAnsi="宋体" w:eastAsia="宋体" w:cs="宋体"/>
          <w:b/>
          <w:bCs/>
          <w:spacing w:val="-6"/>
          <w:sz w:val="32"/>
          <w:szCs w:val="32"/>
        </w:rPr>
        <w:t>采购管理</w:t>
      </w:r>
      <w:bookmarkEnd w:id="7"/>
    </w:p>
    <w:p w14:paraId="46019D2A">
      <w:pPr>
        <w:pStyle w:val="2"/>
        <w:spacing w:line="448" w:lineRule="auto"/>
      </w:pPr>
    </w:p>
    <w:p w14:paraId="6644597A">
      <w:pPr>
        <w:spacing w:before="91"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7"/>
                    <a:stretch>
                      <a:fillRect/>
                    </a:stretch>
                  </pic:blipFill>
                  <pic:spPr>
                    <a:xfrm>
                      <a:off x="0" y="0"/>
                      <a:ext cx="126237" cy="197180"/>
                    </a:xfrm>
                    <a:prstGeom prst="rect">
                      <a:avLst/>
                    </a:prstGeom>
                  </pic:spPr>
                </pic:pic>
              </a:graphicData>
            </a:graphic>
          </wp:inline>
        </w:drawing>
      </w:r>
      <w:r>
        <w:rPr>
          <w:rFonts w:ascii="宋体" w:hAnsi="宋体" w:eastAsia="宋体" w:cs="宋体"/>
          <w:spacing w:val="74"/>
          <w:sz w:val="28"/>
          <w:szCs w:val="28"/>
        </w:rPr>
        <w:t xml:space="preserve"> </w:t>
      </w:r>
      <w:r>
        <w:rPr>
          <w:rFonts w:ascii="宋体" w:hAnsi="宋体" w:eastAsia="宋体" w:cs="宋体"/>
          <w:spacing w:val="-2"/>
          <w:sz w:val="28"/>
          <w:szCs w:val="28"/>
        </w:rPr>
        <w:t>年度备品备件采购</w:t>
      </w:r>
    </w:p>
    <w:p w14:paraId="4E4CE199">
      <w:pPr>
        <w:spacing w:before="320" w:line="430" w:lineRule="auto"/>
        <w:ind w:left="23" w:right="217" w:firstLine="561"/>
        <w:rPr>
          <w:rFonts w:ascii="宋体" w:hAnsi="宋体" w:eastAsia="宋体" w:cs="宋体"/>
          <w:sz w:val="28"/>
          <w:szCs w:val="28"/>
        </w:rPr>
      </w:pPr>
      <w:r>
        <w:rPr>
          <w:rFonts w:ascii="宋体" w:hAnsi="宋体" w:eastAsia="宋体" w:cs="宋体"/>
          <w:spacing w:val="-1"/>
          <w:sz w:val="28"/>
          <w:szCs w:val="28"/>
        </w:rPr>
        <w:t>运维服务部根据设备运行情况及分工是上报的备品备件采购计</w:t>
      </w:r>
      <w:r>
        <w:rPr>
          <w:rFonts w:ascii="宋体" w:hAnsi="宋体" w:eastAsia="宋体" w:cs="宋体"/>
          <w:spacing w:val="-4"/>
          <w:sz w:val="28"/>
          <w:szCs w:val="28"/>
        </w:rPr>
        <w:t>划，制定年度备品备件采购计划。</w:t>
      </w:r>
    </w:p>
    <w:p w14:paraId="6201FD93">
      <w:pPr>
        <w:spacing w:line="426" w:lineRule="auto"/>
        <w:ind w:left="23" w:right="217" w:firstLine="562"/>
        <w:rPr>
          <w:rFonts w:ascii="宋体" w:hAnsi="宋体" w:eastAsia="宋体" w:cs="宋体"/>
          <w:sz w:val="28"/>
          <w:szCs w:val="28"/>
        </w:rPr>
      </w:pPr>
      <w:r>
        <w:rPr>
          <w:rFonts w:ascii="宋体" w:hAnsi="宋体" w:eastAsia="宋体" w:cs="宋体"/>
          <w:spacing w:val="-1"/>
          <w:sz w:val="28"/>
          <w:szCs w:val="28"/>
        </w:rPr>
        <w:t>年度备品备件采购计划通过公司审批后，交由采购部统一进行</w:t>
      </w:r>
      <w:r>
        <w:rPr>
          <w:rFonts w:ascii="宋体" w:hAnsi="宋体" w:eastAsia="宋体" w:cs="宋体"/>
          <w:spacing w:val="-12"/>
          <w:sz w:val="28"/>
          <w:szCs w:val="28"/>
        </w:rPr>
        <w:t>采购。</w:t>
      </w:r>
    </w:p>
    <w:p w14:paraId="70622CED">
      <w:pPr>
        <w:spacing w:before="1"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8"/>
                    <a:stretch>
                      <a:fillRect/>
                    </a:stretch>
                  </pic:blipFill>
                  <pic:spPr>
                    <a:xfrm>
                      <a:off x="0" y="0"/>
                      <a:ext cx="126237" cy="197180"/>
                    </a:xfrm>
                    <a:prstGeom prst="rect">
                      <a:avLst/>
                    </a:prstGeom>
                  </pic:spPr>
                </pic:pic>
              </a:graphicData>
            </a:graphic>
          </wp:inline>
        </w:drawing>
      </w:r>
      <w:r>
        <w:rPr>
          <w:rFonts w:ascii="宋体" w:hAnsi="宋体" w:eastAsia="宋体" w:cs="宋体"/>
          <w:spacing w:val="74"/>
          <w:sz w:val="28"/>
          <w:szCs w:val="28"/>
        </w:rPr>
        <w:t xml:space="preserve"> </w:t>
      </w:r>
      <w:r>
        <w:rPr>
          <w:rFonts w:ascii="宋体" w:hAnsi="宋体" w:eastAsia="宋体" w:cs="宋体"/>
          <w:spacing w:val="-2"/>
          <w:sz w:val="28"/>
          <w:szCs w:val="28"/>
        </w:rPr>
        <w:t>项目备品备件采购</w:t>
      </w:r>
    </w:p>
    <w:p w14:paraId="78564363">
      <w:pPr>
        <w:spacing w:before="321" w:line="430" w:lineRule="auto"/>
        <w:ind w:left="31" w:firstLine="553"/>
        <w:rPr>
          <w:rFonts w:ascii="宋体" w:hAnsi="宋体" w:eastAsia="宋体" w:cs="宋体"/>
          <w:sz w:val="28"/>
          <w:szCs w:val="28"/>
        </w:rPr>
      </w:pPr>
      <w:r>
        <w:rPr>
          <w:rFonts w:ascii="宋体" w:hAnsi="宋体" w:eastAsia="宋体" w:cs="宋体"/>
          <w:spacing w:val="-3"/>
          <w:sz w:val="28"/>
          <w:szCs w:val="28"/>
        </w:rPr>
        <w:t>运维项目组根据合同要求，制定服务期内的备品备件采购计划，</w:t>
      </w:r>
      <w:r>
        <w:rPr>
          <w:rFonts w:ascii="宋体" w:hAnsi="宋体" w:eastAsia="宋体" w:cs="宋体"/>
          <w:spacing w:val="-6"/>
          <w:sz w:val="28"/>
          <w:szCs w:val="28"/>
        </w:rPr>
        <w:t>并上报运维服务部。</w:t>
      </w:r>
    </w:p>
    <w:p w14:paraId="5AC8C01A">
      <w:pPr>
        <w:spacing w:line="219" w:lineRule="auto"/>
        <w:ind w:left="587"/>
        <w:rPr>
          <w:rFonts w:ascii="宋体" w:hAnsi="宋体" w:eastAsia="宋体" w:cs="宋体"/>
          <w:sz w:val="28"/>
          <w:szCs w:val="28"/>
        </w:rPr>
      </w:pPr>
      <w:r>
        <w:rPr>
          <w:rFonts w:ascii="宋体" w:hAnsi="宋体" w:eastAsia="宋体" w:cs="宋体"/>
          <w:spacing w:val="-3"/>
          <w:sz w:val="28"/>
          <w:szCs w:val="28"/>
        </w:rPr>
        <w:t>经运维服务部审批通过后，报公司审批。</w:t>
      </w:r>
    </w:p>
    <w:p w14:paraId="379C1746">
      <w:pPr>
        <w:spacing w:before="320" w:line="426" w:lineRule="auto"/>
        <w:ind w:left="29" w:right="217" w:firstLine="569"/>
        <w:rPr>
          <w:rFonts w:ascii="宋体" w:hAnsi="宋体" w:eastAsia="宋体" w:cs="宋体"/>
          <w:sz w:val="28"/>
          <w:szCs w:val="28"/>
        </w:rPr>
      </w:pPr>
      <w:r>
        <w:rPr>
          <w:rFonts w:ascii="宋体" w:hAnsi="宋体" w:eastAsia="宋体" w:cs="宋体"/>
          <w:spacing w:val="-1"/>
          <w:sz w:val="28"/>
          <w:szCs w:val="28"/>
        </w:rPr>
        <w:t>审批通过后的项目备品备件采购计划交由采购部统一采购，并</w:t>
      </w:r>
      <w:r>
        <w:rPr>
          <w:rFonts w:ascii="宋体" w:hAnsi="宋体" w:eastAsia="宋体" w:cs="宋体"/>
          <w:spacing w:val="-7"/>
          <w:sz w:val="28"/>
          <w:szCs w:val="28"/>
        </w:rPr>
        <w:t>发往项目组现场。</w:t>
      </w:r>
    </w:p>
    <w:p w14:paraId="232BDC63">
      <w:pPr>
        <w:spacing w:before="1"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7"/>
                    <a:stretch>
                      <a:fillRect/>
                    </a:stretch>
                  </pic:blipFill>
                  <pic:spPr>
                    <a:xfrm>
                      <a:off x="0" y="0"/>
                      <a:ext cx="126237" cy="197180"/>
                    </a:xfrm>
                    <a:prstGeom prst="rect">
                      <a:avLst/>
                    </a:prstGeom>
                  </pic:spPr>
                </pic:pic>
              </a:graphicData>
            </a:graphic>
          </wp:inline>
        </w:drawing>
      </w:r>
      <w:r>
        <w:rPr>
          <w:rFonts w:ascii="宋体" w:hAnsi="宋体" w:eastAsia="宋体" w:cs="宋体"/>
          <w:spacing w:val="83"/>
          <w:sz w:val="28"/>
          <w:szCs w:val="28"/>
        </w:rPr>
        <w:t xml:space="preserve"> </w:t>
      </w:r>
      <w:r>
        <w:rPr>
          <w:rFonts w:ascii="宋体" w:hAnsi="宋体" w:eastAsia="宋体" w:cs="宋体"/>
          <w:spacing w:val="-5"/>
          <w:sz w:val="28"/>
          <w:szCs w:val="28"/>
        </w:rPr>
        <w:t>临时采购</w:t>
      </w:r>
    </w:p>
    <w:p w14:paraId="31D94548">
      <w:pPr>
        <w:spacing w:before="321" w:line="430" w:lineRule="auto"/>
        <w:ind w:left="78" w:right="217" w:firstLine="524"/>
        <w:rPr>
          <w:rFonts w:ascii="宋体" w:hAnsi="宋体" w:eastAsia="宋体" w:cs="宋体"/>
          <w:sz w:val="28"/>
          <w:szCs w:val="28"/>
        </w:rPr>
      </w:pPr>
      <w:r>
        <w:rPr>
          <w:rFonts w:ascii="宋体" w:hAnsi="宋体" w:eastAsia="宋体" w:cs="宋体"/>
          <w:spacing w:val="-1"/>
          <w:sz w:val="28"/>
          <w:szCs w:val="28"/>
        </w:rPr>
        <w:t>当备品备件全部使用完或者出现故障无备品备件可用时</w:t>
      </w:r>
      <w:r>
        <w:rPr>
          <w:rFonts w:ascii="宋体" w:hAnsi="宋体" w:eastAsia="宋体" w:cs="宋体"/>
          <w:spacing w:val="-2"/>
          <w:sz w:val="28"/>
          <w:szCs w:val="28"/>
        </w:rPr>
        <w:t>，由项</w:t>
      </w:r>
      <w:r>
        <w:rPr>
          <w:rFonts w:ascii="宋体" w:hAnsi="宋体" w:eastAsia="宋体" w:cs="宋体"/>
          <w:spacing w:val="-4"/>
          <w:sz w:val="28"/>
          <w:szCs w:val="28"/>
        </w:rPr>
        <w:t>目组向运维服务部提出备品备件购买申请，并填写采购审批表。</w:t>
      </w:r>
    </w:p>
    <w:p w14:paraId="71A1589B">
      <w:pPr>
        <w:spacing w:before="1" w:line="218" w:lineRule="auto"/>
        <w:ind w:left="600"/>
        <w:rPr>
          <w:rFonts w:ascii="宋体" w:hAnsi="宋体" w:eastAsia="宋体" w:cs="宋体"/>
          <w:sz w:val="28"/>
          <w:szCs w:val="28"/>
        </w:rPr>
      </w:pPr>
      <w:r>
        <w:rPr>
          <w:rFonts w:ascii="宋体" w:hAnsi="宋体" w:eastAsia="宋体" w:cs="宋体"/>
          <w:spacing w:val="-3"/>
          <w:sz w:val="28"/>
          <w:szCs w:val="28"/>
        </w:rPr>
        <w:t>费用审批表审批通过后，交由采购部进行采</w:t>
      </w:r>
      <w:r>
        <w:rPr>
          <w:rFonts w:ascii="宋体" w:hAnsi="宋体" w:eastAsia="宋体" w:cs="宋体"/>
          <w:spacing w:val="-4"/>
          <w:sz w:val="28"/>
          <w:szCs w:val="28"/>
        </w:rPr>
        <w:t>购。</w:t>
      </w:r>
    </w:p>
    <w:p w14:paraId="5EBFDEEC">
      <w:pPr>
        <w:pStyle w:val="2"/>
        <w:spacing w:line="452" w:lineRule="auto"/>
      </w:pPr>
    </w:p>
    <w:p w14:paraId="121AD21F">
      <w:pPr>
        <w:spacing w:before="105" w:line="220" w:lineRule="auto"/>
        <w:ind w:left="29"/>
        <w:outlineLvl w:val="1"/>
        <w:rPr>
          <w:rFonts w:ascii="宋体" w:hAnsi="宋体" w:eastAsia="宋体" w:cs="宋体"/>
          <w:sz w:val="32"/>
          <w:szCs w:val="32"/>
        </w:rPr>
      </w:pPr>
      <w:bookmarkStart w:id="8" w:name="_Toc26518"/>
      <w:r>
        <w:rPr>
          <w:rFonts w:ascii="Calibri" w:hAnsi="Calibri" w:eastAsia="Calibri" w:cs="Calibri"/>
          <w:b/>
          <w:bCs/>
          <w:spacing w:val="-6"/>
          <w:sz w:val="32"/>
          <w:szCs w:val="32"/>
        </w:rPr>
        <w:t>5.2</w:t>
      </w:r>
      <w:r>
        <w:rPr>
          <w:rFonts w:ascii="Calibri" w:hAnsi="Calibri" w:eastAsia="Calibri" w:cs="Calibri"/>
          <w:b/>
          <w:bCs/>
          <w:spacing w:val="23"/>
          <w:sz w:val="32"/>
          <w:szCs w:val="32"/>
        </w:rPr>
        <w:t xml:space="preserve"> </w:t>
      </w:r>
      <w:r>
        <w:rPr>
          <w:rFonts w:ascii="宋体" w:hAnsi="宋体" w:eastAsia="宋体" w:cs="宋体"/>
          <w:b/>
          <w:bCs/>
          <w:spacing w:val="-6"/>
          <w:sz w:val="32"/>
          <w:szCs w:val="32"/>
        </w:rPr>
        <w:t>库存管理</w:t>
      </w:r>
      <w:bookmarkEnd w:id="8"/>
    </w:p>
    <w:p w14:paraId="0DA7A497">
      <w:pPr>
        <w:pStyle w:val="2"/>
        <w:spacing w:line="456" w:lineRule="auto"/>
      </w:pPr>
    </w:p>
    <w:p w14:paraId="578EDACC">
      <w:pPr>
        <w:spacing w:before="92" w:line="431" w:lineRule="auto"/>
        <w:ind w:left="25" w:right="89" w:firstLine="580"/>
        <w:jc w:val="both"/>
        <w:rPr>
          <w:rFonts w:ascii="宋体" w:hAnsi="宋体" w:eastAsia="宋体" w:cs="宋体"/>
          <w:sz w:val="28"/>
          <w:szCs w:val="28"/>
        </w:rPr>
      </w:pPr>
      <w:r>
        <w:rPr>
          <w:rFonts w:ascii="宋体" w:hAnsi="宋体" w:eastAsia="宋体" w:cs="宋体"/>
          <w:spacing w:val="-2"/>
          <w:sz w:val="28"/>
          <w:szCs w:val="28"/>
        </w:rPr>
        <w:t>1）运维服务部领用备品备件后，应规范有序地分级存放到各存</w:t>
      </w:r>
      <w:r>
        <w:rPr>
          <w:rFonts w:ascii="宋体" w:hAnsi="宋体" w:eastAsia="宋体" w:cs="宋体"/>
          <w:spacing w:val="-1"/>
          <w:sz w:val="28"/>
          <w:szCs w:val="28"/>
        </w:rPr>
        <w:t>放点，分门别类地存放到指定位置，为便于备件的清理、查找和使用，要求按备件类别进行详细归类，备件上的资产编号、型号、名</w:t>
      </w:r>
    </w:p>
    <w:p w14:paraId="7D360AB6">
      <w:pPr>
        <w:spacing w:line="431" w:lineRule="auto"/>
        <w:rPr>
          <w:rFonts w:ascii="宋体" w:hAnsi="宋体" w:eastAsia="宋体" w:cs="宋体"/>
          <w:sz w:val="28"/>
          <w:szCs w:val="28"/>
        </w:rPr>
        <w:sectPr>
          <w:footerReference r:id="rId10" w:type="default"/>
          <w:pgSz w:w="11906" w:h="16839"/>
          <w:pgMar w:top="1431" w:right="1768" w:bottom="1375" w:left="1785" w:header="0" w:footer="1211" w:gutter="0"/>
          <w:cols w:space="720" w:num="1"/>
        </w:sectPr>
      </w:pPr>
    </w:p>
    <w:p w14:paraId="13A33EEF">
      <w:pPr>
        <w:spacing w:before="196" w:line="430" w:lineRule="auto"/>
        <w:ind w:left="24" w:right="379" w:hanging="1"/>
        <w:jc w:val="both"/>
        <w:rPr>
          <w:rFonts w:ascii="宋体" w:hAnsi="宋体" w:eastAsia="宋体" w:cs="宋体"/>
          <w:sz w:val="28"/>
          <w:szCs w:val="28"/>
        </w:rPr>
      </w:pPr>
      <w:r>
        <w:rPr>
          <w:rFonts w:ascii="宋体" w:hAnsi="宋体" w:eastAsia="宋体" w:cs="宋体"/>
          <w:spacing w:val="-1"/>
          <w:sz w:val="28"/>
          <w:szCs w:val="28"/>
        </w:rPr>
        <w:t>称、序列号等标识应齐全。运维服务部应建立备品备件出入库备查簿、对备品备件的规格、数量、来源、出入库原因、去向、出库数量、结存数量等进行逐一登记。严格按制度执行备品备件的出入库</w:t>
      </w:r>
      <w:r>
        <w:rPr>
          <w:rFonts w:ascii="宋体" w:hAnsi="宋体" w:eastAsia="宋体" w:cs="宋体"/>
          <w:spacing w:val="-3"/>
          <w:sz w:val="28"/>
          <w:szCs w:val="28"/>
        </w:rPr>
        <w:t>的清点、移交、双方签收填报，并及时建账入库。</w:t>
      </w:r>
    </w:p>
    <w:p w14:paraId="497EA685">
      <w:pPr>
        <w:spacing w:before="1" w:line="431" w:lineRule="auto"/>
        <w:ind w:left="26" w:right="139" w:firstLine="562"/>
        <w:jc w:val="both"/>
        <w:rPr>
          <w:rFonts w:ascii="宋体" w:hAnsi="宋体" w:eastAsia="宋体" w:cs="宋体"/>
          <w:sz w:val="28"/>
          <w:szCs w:val="28"/>
        </w:rPr>
      </w:pPr>
      <w:r>
        <w:rPr>
          <w:rFonts w:ascii="宋体" w:hAnsi="宋体" w:eastAsia="宋体" w:cs="宋体"/>
          <w:spacing w:val="-1"/>
          <w:sz w:val="28"/>
          <w:szCs w:val="28"/>
        </w:rPr>
        <w:t>2）库存备件应做到账、卡、物相符，记账及时准</w:t>
      </w:r>
      <w:r>
        <w:rPr>
          <w:rFonts w:ascii="宋体" w:hAnsi="宋体" w:eastAsia="宋体" w:cs="宋体"/>
          <w:spacing w:val="-2"/>
          <w:sz w:val="28"/>
          <w:szCs w:val="28"/>
        </w:rPr>
        <w:t>确。各备件库</w:t>
      </w:r>
      <w:r>
        <w:rPr>
          <w:rFonts w:ascii="宋体" w:hAnsi="宋体" w:eastAsia="宋体" w:cs="宋体"/>
          <w:spacing w:val="-1"/>
          <w:sz w:val="28"/>
          <w:szCs w:val="28"/>
        </w:rPr>
        <w:t>房应建立备品备件定期盘点制度，对库存备品备件和在用备品备件</w:t>
      </w:r>
      <w:r>
        <w:rPr>
          <w:rFonts w:ascii="宋体" w:hAnsi="宋体" w:eastAsia="宋体" w:cs="宋体"/>
          <w:spacing w:val="-2"/>
          <w:sz w:val="28"/>
          <w:szCs w:val="28"/>
        </w:rPr>
        <w:t>的数量和种类进行统计，盘点结果上报公司，做到台账和实物相符。</w:t>
      </w:r>
    </w:p>
    <w:p w14:paraId="241E67C2">
      <w:pPr>
        <w:pStyle w:val="2"/>
        <w:spacing w:line="273" w:lineRule="auto"/>
      </w:pPr>
    </w:p>
    <w:p w14:paraId="768F3B1A">
      <w:pPr>
        <w:pStyle w:val="2"/>
        <w:spacing w:line="273" w:lineRule="auto"/>
      </w:pPr>
    </w:p>
    <w:p w14:paraId="734383AF">
      <w:pPr>
        <w:spacing w:before="91" w:line="404" w:lineRule="auto"/>
        <w:ind w:left="26" w:right="161" w:firstLine="564"/>
        <w:rPr>
          <w:rFonts w:ascii="宋体" w:hAnsi="宋体" w:eastAsia="宋体" w:cs="宋体"/>
          <w:sz w:val="28"/>
          <w:szCs w:val="28"/>
        </w:rPr>
      </w:pPr>
      <w:r>
        <w:rPr>
          <w:rFonts w:ascii="宋体" w:hAnsi="宋体" w:eastAsia="宋体" w:cs="宋体"/>
          <w:spacing w:val="-1"/>
          <w:sz w:val="28"/>
          <w:szCs w:val="28"/>
        </w:rPr>
        <w:t>3）盘点流程：进行库房盘点时，备件管理员先根据盘点计划进行实物盘点，生成实物盘点清单并与备品备件存量清单对比，如果没有差异记录盘点结果、盘点人和盘点时间等信息；如果有差异生成差异对比表，备件管理员将。将差异对比表和盘点结果上报给领</w:t>
      </w:r>
      <w:r>
        <w:rPr>
          <w:rFonts w:ascii="宋体" w:hAnsi="宋体" w:eastAsia="宋体" w:cs="宋体"/>
          <w:spacing w:val="-3"/>
          <w:sz w:val="28"/>
          <w:szCs w:val="28"/>
        </w:rPr>
        <w:t>导审核，领导审核通过后发送库存盘点差异处理意见给库房管理员，备件管理员按差异处理意见对库存做盘亏或盘盈处理并上报财务部；</w:t>
      </w:r>
      <w:r>
        <w:rPr>
          <w:rFonts w:ascii="宋体" w:hAnsi="宋体" w:eastAsia="宋体" w:cs="宋体"/>
          <w:spacing w:val="-1"/>
          <w:sz w:val="28"/>
          <w:szCs w:val="28"/>
        </w:rPr>
        <w:t>如果审核没有通过，领导填写原因后将差异对比表和盘点结果退回</w:t>
      </w:r>
      <w:r>
        <w:rPr>
          <w:rFonts w:ascii="宋体" w:hAnsi="宋体" w:eastAsia="宋体" w:cs="宋体"/>
          <w:spacing w:val="-2"/>
          <w:sz w:val="28"/>
          <w:szCs w:val="28"/>
        </w:rPr>
        <w:t>给备件管理员，由备件管理员重新做差异对比表后再次上报。</w:t>
      </w:r>
    </w:p>
    <w:p w14:paraId="3BB82707">
      <w:pPr>
        <w:spacing w:before="318" w:line="325" w:lineRule="auto"/>
        <w:ind w:left="32" w:right="139" w:firstLine="551"/>
        <w:rPr>
          <w:rFonts w:ascii="宋体" w:hAnsi="宋体" w:eastAsia="宋体" w:cs="宋体"/>
          <w:sz w:val="28"/>
          <w:szCs w:val="28"/>
        </w:rPr>
      </w:pPr>
      <w:r>
        <w:rPr>
          <w:rFonts w:ascii="宋体" w:hAnsi="宋体" w:eastAsia="宋体" w:cs="宋体"/>
          <w:spacing w:val="-1"/>
          <w:sz w:val="28"/>
          <w:szCs w:val="28"/>
        </w:rPr>
        <w:t>4）备品备件库应对在用备品备件进行跟踪，加快回收速度，提</w:t>
      </w:r>
      <w:r>
        <w:rPr>
          <w:rFonts w:ascii="宋体" w:hAnsi="宋体" w:eastAsia="宋体" w:cs="宋体"/>
          <w:spacing w:val="-2"/>
          <w:sz w:val="28"/>
          <w:szCs w:val="28"/>
        </w:rPr>
        <w:t>高备品备件的周转率。对坏件及时送修，保证库存可用备件的数量。</w:t>
      </w:r>
    </w:p>
    <w:p w14:paraId="5E3CC6B4">
      <w:pPr>
        <w:pStyle w:val="2"/>
        <w:spacing w:line="291" w:lineRule="auto"/>
      </w:pPr>
    </w:p>
    <w:p w14:paraId="741830FE">
      <w:pPr>
        <w:pStyle w:val="2"/>
        <w:spacing w:line="291" w:lineRule="auto"/>
      </w:pPr>
    </w:p>
    <w:p w14:paraId="344A2CCC">
      <w:pPr>
        <w:pStyle w:val="2"/>
        <w:spacing w:line="291" w:lineRule="auto"/>
      </w:pPr>
    </w:p>
    <w:p w14:paraId="28692456">
      <w:pPr>
        <w:spacing w:before="91" w:line="325" w:lineRule="auto"/>
        <w:ind w:left="29" w:firstLine="561"/>
        <w:rPr>
          <w:rFonts w:ascii="宋体" w:hAnsi="宋体" w:eastAsia="宋体" w:cs="宋体"/>
          <w:sz w:val="28"/>
          <w:szCs w:val="28"/>
        </w:rPr>
      </w:pPr>
      <w:r>
        <w:rPr>
          <w:rFonts w:ascii="宋体" w:hAnsi="宋体" w:eastAsia="宋体" w:cs="宋体"/>
          <w:spacing w:val="-2"/>
          <w:sz w:val="28"/>
          <w:szCs w:val="28"/>
        </w:rPr>
        <w:t>5）备品备件库应每季度组织人员对备品备件配置、保管、使用、</w:t>
      </w:r>
      <w:r>
        <w:rPr>
          <w:rFonts w:ascii="宋体" w:hAnsi="宋体" w:eastAsia="宋体" w:cs="宋体"/>
          <w:spacing w:val="-3"/>
          <w:sz w:val="28"/>
          <w:szCs w:val="28"/>
        </w:rPr>
        <w:t>维护、报废、空间摆放、环境清洁等情况进行检查并进行考核记录，</w:t>
      </w:r>
    </w:p>
    <w:p w14:paraId="57710B9D">
      <w:pPr>
        <w:spacing w:line="325" w:lineRule="auto"/>
        <w:rPr>
          <w:rFonts w:ascii="宋体" w:hAnsi="宋体" w:eastAsia="宋体" w:cs="宋体"/>
          <w:sz w:val="28"/>
          <w:szCs w:val="28"/>
        </w:rPr>
        <w:sectPr>
          <w:footerReference r:id="rId11" w:type="default"/>
          <w:pgSz w:w="11906" w:h="16839"/>
          <w:pgMar w:top="1431" w:right="1606" w:bottom="1373" w:left="1785" w:header="0" w:footer="1211" w:gutter="0"/>
          <w:cols w:space="720" w:num="1"/>
        </w:sectPr>
      </w:pPr>
    </w:p>
    <w:p w14:paraId="6965F230">
      <w:pPr>
        <w:spacing w:before="196" w:line="220" w:lineRule="auto"/>
        <w:ind w:left="23"/>
        <w:rPr>
          <w:rFonts w:ascii="宋体" w:hAnsi="宋体" w:eastAsia="宋体" w:cs="宋体"/>
          <w:sz w:val="28"/>
          <w:szCs w:val="28"/>
        </w:rPr>
      </w:pPr>
      <w:r>
        <w:rPr>
          <w:rFonts w:ascii="宋体" w:hAnsi="宋体" w:eastAsia="宋体" w:cs="宋体"/>
          <w:spacing w:val="-2"/>
          <w:sz w:val="28"/>
          <w:szCs w:val="28"/>
        </w:rPr>
        <w:t>对备品备件的性能进行检测鉴定，保证库存备品备件完好可用。</w:t>
      </w:r>
    </w:p>
    <w:p w14:paraId="72253E7F">
      <w:pPr>
        <w:spacing w:before="316" w:line="432" w:lineRule="auto"/>
        <w:ind w:left="26" w:firstLine="561"/>
        <w:rPr>
          <w:rFonts w:ascii="宋体" w:hAnsi="宋体" w:eastAsia="宋体" w:cs="宋体"/>
          <w:sz w:val="28"/>
          <w:szCs w:val="28"/>
        </w:rPr>
      </w:pPr>
      <w:r>
        <w:rPr>
          <w:rFonts w:ascii="宋体" w:hAnsi="宋体" w:eastAsia="宋体" w:cs="宋体"/>
          <w:spacing w:val="-2"/>
          <w:sz w:val="28"/>
          <w:szCs w:val="28"/>
        </w:rPr>
        <w:t>6）了解库存备品备件的轻重缓急、使用周期、用量、通用情况、</w:t>
      </w:r>
      <w:r>
        <w:rPr>
          <w:rFonts w:ascii="宋体" w:hAnsi="宋体" w:eastAsia="宋体" w:cs="宋体"/>
          <w:spacing w:val="-1"/>
          <w:sz w:val="28"/>
          <w:szCs w:val="28"/>
        </w:rPr>
        <w:t>制造周期等，指导使用部门有计划、有步骤的采购，避免造成不必</w:t>
      </w:r>
      <w:r>
        <w:rPr>
          <w:rFonts w:ascii="宋体" w:hAnsi="宋体" w:eastAsia="宋体" w:cs="宋体"/>
          <w:spacing w:val="5"/>
          <w:sz w:val="28"/>
          <w:szCs w:val="28"/>
        </w:rPr>
        <w:t xml:space="preserve"> </w:t>
      </w:r>
      <w:r>
        <w:rPr>
          <w:rFonts w:ascii="宋体" w:hAnsi="宋体" w:eastAsia="宋体" w:cs="宋体"/>
          <w:spacing w:val="-9"/>
          <w:sz w:val="28"/>
          <w:szCs w:val="28"/>
        </w:rPr>
        <w:t>要的积压。</w:t>
      </w:r>
    </w:p>
    <w:p w14:paraId="642F30AF">
      <w:pPr>
        <w:spacing w:before="232" w:line="220" w:lineRule="auto"/>
        <w:ind w:left="29"/>
        <w:outlineLvl w:val="1"/>
        <w:rPr>
          <w:rFonts w:ascii="宋体" w:hAnsi="宋体" w:eastAsia="宋体" w:cs="宋体"/>
          <w:sz w:val="32"/>
          <w:szCs w:val="32"/>
        </w:rPr>
      </w:pPr>
      <w:bookmarkStart w:id="9" w:name="_Toc10940"/>
      <w:r>
        <w:rPr>
          <w:rFonts w:ascii="Calibri" w:hAnsi="Calibri" w:eastAsia="Calibri" w:cs="Calibri"/>
          <w:b/>
          <w:bCs/>
          <w:spacing w:val="-6"/>
          <w:sz w:val="32"/>
          <w:szCs w:val="32"/>
        </w:rPr>
        <w:t>5.3</w:t>
      </w:r>
      <w:r>
        <w:rPr>
          <w:rFonts w:ascii="Calibri" w:hAnsi="Calibri" w:eastAsia="Calibri" w:cs="Calibri"/>
          <w:b/>
          <w:bCs/>
          <w:spacing w:val="23"/>
          <w:sz w:val="32"/>
          <w:szCs w:val="32"/>
        </w:rPr>
        <w:t xml:space="preserve"> </w:t>
      </w:r>
      <w:r>
        <w:rPr>
          <w:rFonts w:ascii="宋体" w:hAnsi="宋体" w:eastAsia="宋体" w:cs="宋体"/>
          <w:b/>
          <w:bCs/>
          <w:spacing w:val="-6"/>
          <w:sz w:val="32"/>
          <w:szCs w:val="32"/>
        </w:rPr>
        <w:t>领用管理</w:t>
      </w:r>
      <w:bookmarkEnd w:id="9"/>
    </w:p>
    <w:p w14:paraId="11897D48">
      <w:pPr>
        <w:pStyle w:val="2"/>
        <w:spacing w:line="456" w:lineRule="auto"/>
      </w:pPr>
    </w:p>
    <w:p w14:paraId="0602E8C5">
      <w:pPr>
        <w:spacing w:before="91" w:line="431" w:lineRule="auto"/>
        <w:ind w:left="25" w:right="161" w:firstLine="540"/>
        <w:rPr>
          <w:rFonts w:ascii="宋体" w:hAnsi="宋体" w:eastAsia="宋体" w:cs="宋体"/>
          <w:sz w:val="28"/>
          <w:szCs w:val="28"/>
        </w:rPr>
      </w:pPr>
      <w:r>
        <w:rPr>
          <w:rFonts w:ascii="宋体" w:hAnsi="宋体" w:eastAsia="宋体" w:cs="宋体"/>
          <w:spacing w:val="-3"/>
          <w:sz w:val="28"/>
          <w:szCs w:val="28"/>
        </w:rPr>
        <w:t>“备件领用</w:t>
      </w:r>
      <w:r>
        <w:rPr>
          <w:rFonts w:ascii="宋体" w:hAnsi="宋体" w:eastAsia="宋体" w:cs="宋体"/>
          <w:spacing w:val="-103"/>
          <w:sz w:val="28"/>
          <w:szCs w:val="28"/>
        </w:rPr>
        <w:t xml:space="preserve"> </w:t>
      </w:r>
      <w:r>
        <w:rPr>
          <w:rFonts w:ascii="宋体" w:hAnsi="宋体" w:eastAsia="宋体" w:cs="宋体"/>
          <w:spacing w:val="-3"/>
          <w:sz w:val="28"/>
          <w:szCs w:val="28"/>
        </w:rPr>
        <w:t>”指当备件从库房拿出使用时，进</w:t>
      </w:r>
      <w:r>
        <w:rPr>
          <w:rFonts w:ascii="宋体" w:hAnsi="宋体" w:eastAsia="宋体" w:cs="宋体"/>
          <w:spacing w:val="-4"/>
          <w:sz w:val="28"/>
          <w:szCs w:val="28"/>
        </w:rPr>
        <w:t>入备件领用流程，</w:t>
      </w:r>
      <w:r>
        <w:rPr>
          <w:rFonts w:ascii="宋体" w:hAnsi="宋体" w:eastAsia="宋体" w:cs="宋体"/>
          <w:spacing w:val="-1"/>
          <w:sz w:val="28"/>
          <w:szCs w:val="28"/>
        </w:rPr>
        <w:t>由维护人员提出备件领用申请，并进行登记，当领用的备件作为测试或更换网上设备的故障件时，在使用完或更换回的坏件后进入领</w:t>
      </w:r>
      <w:r>
        <w:rPr>
          <w:rFonts w:ascii="宋体" w:hAnsi="宋体" w:eastAsia="宋体" w:cs="宋体"/>
          <w:spacing w:val="-3"/>
          <w:sz w:val="28"/>
          <w:szCs w:val="28"/>
        </w:rPr>
        <w:t>用返回流程，入库的坏件进入送修或报废流程。</w:t>
      </w:r>
    </w:p>
    <w:p w14:paraId="4936D3F9">
      <w:pPr>
        <w:spacing w:before="233" w:line="219" w:lineRule="auto"/>
        <w:ind w:left="29"/>
        <w:outlineLvl w:val="1"/>
        <w:rPr>
          <w:rFonts w:ascii="宋体" w:hAnsi="宋体" w:eastAsia="宋体" w:cs="宋体"/>
          <w:sz w:val="32"/>
          <w:szCs w:val="32"/>
        </w:rPr>
      </w:pPr>
      <w:bookmarkStart w:id="10" w:name="_Toc12470"/>
      <w:r>
        <w:rPr>
          <w:rFonts w:ascii="Calibri" w:hAnsi="Calibri" w:eastAsia="Calibri" w:cs="Calibri"/>
          <w:b/>
          <w:bCs/>
          <w:spacing w:val="-6"/>
          <w:sz w:val="32"/>
          <w:szCs w:val="32"/>
        </w:rPr>
        <w:t>5.4</w:t>
      </w:r>
      <w:r>
        <w:rPr>
          <w:rFonts w:ascii="Calibri" w:hAnsi="Calibri" w:eastAsia="Calibri" w:cs="Calibri"/>
          <w:b/>
          <w:bCs/>
          <w:spacing w:val="23"/>
          <w:sz w:val="32"/>
          <w:szCs w:val="32"/>
        </w:rPr>
        <w:t xml:space="preserve"> </w:t>
      </w:r>
      <w:r>
        <w:rPr>
          <w:rFonts w:ascii="宋体" w:hAnsi="宋体" w:eastAsia="宋体" w:cs="宋体"/>
          <w:b/>
          <w:bCs/>
          <w:spacing w:val="-6"/>
          <w:sz w:val="32"/>
          <w:szCs w:val="32"/>
        </w:rPr>
        <w:t>借用管理</w:t>
      </w:r>
      <w:bookmarkEnd w:id="10"/>
    </w:p>
    <w:p w14:paraId="1AEB068E">
      <w:pPr>
        <w:pStyle w:val="2"/>
        <w:spacing w:line="457" w:lineRule="auto"/>
      </w:pPr>
    </w:p>
    <w:p w14:paraId="3AC8F7DD">
      <w:pPr>
        <w:spacing w:before="92" w:line="430" w:lineRule="auto"/>
        <w:ind w:left="22" w:right="379" w:firstLine="562"/>
        <w:jc w:val="both"/>
        <w:rPr>
          <w:rFonts w:ascii="宋体" w:hAnsi="宋体" w:eastAsia="宋体" w:cs="宋体"/>
          <w:sz w:val="28"/>
          <w:szCs w:val="28"/>
        </w:rPr>
      </w:pPr>
      <w:r>
        <w:rPr>
          <w:rFonts w:ascii="宋体" w:hAnsi="宋体" w:eastAsia="宋体" w:cs="宋体"/>
          <w:spacing w:val="-1"/>
          <w:sz w:val="28"/>
          <w:szCs w:val="28"/>
        </w:rPr>
        <w:t>借用：由借入方发起调拨申请，运维服务部审核通过后，将申</w:t>
      </w:r>
      <w:r>
        <w:rPr>
          <w:rFonts w:ascii="宋体" w:hAnsi="宋体" w:eastAsia="宋体" w:cs="宋体"/>
          <w:sz w:val="28"/>
          <w:szCs w:val="28"/>
        </w:rPr>
        <w:t>请转发到借出方，借出方按申请单的内容对</w:t>
      </w:r>
      <w:r>
        <w:rPr>
          <w:rFonts w:ascii="宋体" w:hAnsi="宋体" w:eastAsia="宋体" w:cs="宋体"/>
          <w:spacing w:val="-1"/>
          <w:sz w:val="28"/>
          <w:szCs w:val="28"/>
        </w:rPr>
        <w:t>备件进行出库，借入方</w:t>
      </w:r>
      <w:r>
        <w:rPr>
          <w:rFonts w:ascii="宋体" w:hAnsi="宋体" w:eastAsia="宋体" w:cs="宋体"/>
          <w:sz w:val="28"/>
          <w:szCs w:val="28"/>
        </w:rPr>
        <w:t>在收到备件后进行核对和确认。完成借用手</w:t>
      </w:r>
      <w:r>
        <w:rPr>
          <w:rFonts w:ascii="宋体" w:hAnsi="宋体" w:eastAsia="宋体" w:cs="宋体"/>
          <w:spacing w:val="-1"/>
          <w:sz w:val="28"/>
          <w:szCs w:val="28"/>
        </w:rPr>
        <w:t>续后，需在规定时间内</w:t>
      </w:r>
      <w:r>
        <w:rPr>
          <w:rFonts w:ascii="宋体" w:hAnsi="宋体" w:eastAsia="宋体" w:cs="宋体"/>
          <w:spacing w:val="-2"/>
          <w:sz w:val="28"/>
          <w:szCs w:val="28"/>
        </w:rPr>
        <w:t>归还原备件或型号相同的好备件，进入还备件</w:t>
      </w:r>
      <w:r>
        <w:rPr>
          <w:rFonts w:ascii="宋体" w:hAnsi="宋体" w:eastAsia="宋体" w:cs="宋体"/>
          <w:spacing w:val="-3"/>
          <w:sz w:val="28"/>
          <w:szCs w:val="28"/>
        </w:rPr>
        <w:t>流程。</w:t>
      </w:r>
    </w:p>
    <w:p w14:paraId="7DBE0913">
      <w:pPr>
        <w:spacing w:before="4" w:line="429" w:lineRule="auto"/>
        <w:ind w:left="23" w:right="379" w:firstLine="560"/>
        <w:jc w:val="both"/>
        <w:rPr>
          <w:rFonts w:ascii="宋体" w:hAnsi="宋体" w:eastAsia="宋体" w:cs="宋体"/>
          <w:sz w:val="28"/>
          <w:szCs w:val="28"/>
        </w:rPr>
      </w:pPr>
      <w:r>
        <w:rPr>
          <w:rFonts w:ascii="宋体" w:hAnsi="宋体" w:eastAsia="宋体" w:cs="宋体"/>
          <w:spacing w:val="-1"/>
          <w:sz w:val="28"/>
          <w:szCs w:val="28"/>
        </w:rPr>
        <w:t>还备件流程：借入方在规定的时间内对借用备件进行归还，可选择原备件或型号相同的好备件进行出库，借出方在收到备件后进</w:t>
      </w:r>
      <w:r>
        <w:rPr>
          <w:rFonts w:ascii="宋体" w:hAnsi="宋体" w:eastAsia="宋体" w:cs="宋体"/>
          <w:spacing w:val="-7"/>
          <w:sz w:val="28"/>
          <w:szCs w:val="28"/>
        </w:rPr>
        <w:t>行核对和确认。</w:t>
      </w:r>
    </w:p>
    <w:p w14:paraId="378D84BB">
      <w:pPr>
        <w:spacing w:before="2" w:line="433" w:lineRule="auto"/>
        <w:ind w:left="25" w:right="379" w:firstLine="566"/>
        <w:rPr>
          <w:rFonts w:ascii="宋体" w:hAnsi="宋体" w:eastAsia="宋体" w:cs="宋体"/>
          <w:sz w:val="28"/>
          <w:szCs w:val="28"/>
        </w:rPr>
      </w:pPr>
      <w:r>
        <w:rPr>
          <w:rFonts w:ascii="宋体" w:hAnsi="宋体" w:eastAsia="宋体" w:cs="宋体"/>
          <w:spacing w:val="-1"/>
          <w:sz w:val="28"/>
          <w:szCs w:val="28"/>
        </w:rPr>
        <w:t>原则上由借入方的相关部门负责借用及返回流程中备件的物流</w:t>
      </w:r>
      <w:r>
        <w:rPr>
          <w:rFonts w:ascii="宋体" w:hAnsi="宋体" w:eastAsia="宋体" w:cs="宋体"/>
          <w:spacing w:val="-12"/>
          <w:sz w:val="28"/>
          <w:szCs w:val="28"/>
        </w:rPr>
        <w:t>配送。</w:t>
      </w:r>
    </w:p>
    <w:p w14:paraId="3B98D8F9">
      <w:pPr>
        <w:spacing w:line="433" w:lineRule="auto"/>
        <w:rPr>
          <w:rFonts w:ascii="宋体" w:hAnsi="宋体" w:eastAsia="宋体" w:cs="宋体"/>
          <w:sz w:val="28"/>
          <w:szCs w:val="28"/>
        </w:rPr>
        <w:sectPr>
          <w:footerReference r:id="rId12" w:type="default"/>
          <w:pgSz w:w="11906" w:h="16839"/>
          <w:pgMar w:top="1431" w:right="1606" w:bottom="1375" w:left="1785" w:header="0" w:footer="1211" w:gutter="0"/>
          <w:cols w:space="720" w:num="1"/>
        </w:sectPr>
      </w:pPr>
    </w:p>
    <w:p w14:paraId="649C7554">
      <w:pPr>
        <w:spacing w:before="176" w:line="220" w:lineRule="auto"/>
        <w:ind w:left="29"/>
        <w:rPr>
          <w:rFonts w:ascii="宋体" w:hAnsi="宋体" w:eastAsia="宋体" w:cs="宋体"/>
          <w:sz w:val="32"/>
          <w:szCs w:val="32"/>
        </w:rPr>
      </w:pPr>
      <w:r>
        <w:rPr>
          <w:rFonts w:ascii="Calibri" w:hAnsi="Calibri" w:eastAsia="Calibri" w:cs="Calibri"/>
          <w:b/>
          <w:bCs/>
          <w:spacing w:val="-6"/>
          <w:sz w:val="32"/>
          <w:szCs w:val="32"/>
        </w:rPr>
        <w:t>5.5</w:t>
      </w:r>
      <w:r>
        <w:rPr>
          <w:rFonts w:ascii="Calibri" w:hAnsi="Calibri" w:eastAsia="Calibri" w:cs="Calibri"/>
          <w:b/>
          <w:bCs/>
          <w:spacing w:val="23"/>
          <w:sz w:val="32"/>
          <w:szCs w:val="32"/>
        </w:rPr>
        <w:t xml:space="preserve"> </w:t>
      </w:r>
      <w:r>
        <w:rPr>
          <w:rFonts w:ascii="宋体" w:hAnsi="宋体" w:eastAsia="宋体" w:cs="宋体"/>
          <w:b/>
          <w:bCs/>
          <w:spacing w:val="-6"/>
          <w:sz w:val="32"/>
          <w:szCs w:val="32"/>
        </w:rPr>
        <w:t>坏件送修</w:t>
      </w:r>
    </w:p>
    <w:p w14:paraId="6017EB04">
      <w:pPr>
        <w:pStyle w:val="2"/>
        <w:spacing w:line="456" w:lineRule="auto"/>
      </w:pPr>
    </w:p>
    <w:p w14:paraId="2BEECADE">
      <w:pPr>
        <w:spacing w:before="91" w:line="430" w:lineRule="auto"/>
        <w:ind w:left="23" w:right="239" w:firstLine="565"/>
        <w:jc w:val="both"/>
        <w:rPr>
          <w:rFonts w:ascii="宋体" w:hAnsi="宋体" w:eastAsia="宋体" w:cs="宋体"/>
          <w:sz w:val="28"/>
          <w:szCs w:val="28"/>
        </w:rPr>
      </w:pPr>
      <w:r>
        <w:rPr>
          <w:rFonts w:ascii="宋体" w:hAnsi="宋体" w:eastAsia="宋体" w:cs="宋体"/>
          <w:spacing w:val="-1"/>
          <w:sz w:val="28"/>
          <w:szCs w:val="28"/>
        </w:rPr>
        <w:t>设备发生故障需要送修，由项目维护人员填写故障原因信息并发起送修申请，经项目经理审核通过后，维护人员按要求填写送修单，同时将送修单及坏件发送到运维服务部。由客户服务统一将坏件寄回厂家维修，对于部分情况特殊且难于集中统一送修的坏件，</w:t>
      </w:r>
      <w:r>
        <w:rPr>
          <w:rFonts w:ascii="宋体" w:hAnsi="宋体" w:eastAsia="宋体" w:cs="宋体"/>
          <w:spacing w:val="-2"/>
          <w:sz w:val="28"/>
          <w:szCs w:val="28"/>
        </w:rPr>
        <w:t>可由项目组直接送厂维修同时报运维服务部进行维修备案。</w:t>
      </w:r>
    </w:p>
    <w:p w14:paraId="07949570">
      <w:pPr>
        <w:spacing w:before="2" w:line="429" w:lineRule="auto"/>
        <w:ind w:left="23" w:right="239" w:firstLine="561"/>
        <w:rPr>
          <w:rFonts w:ascii="宋体" w:hAnsi="宋体" w:eastAsia="宋体" w:cs="宋体"/>
          <w:sz w:val="28"/>
          <w:szCs w:val="28"/>
        </w:rPr>
      </w:pPr>
      <w:r>
        <w:rPr>
          <w:rFonts w:ascii="宋体" w:hAnsi="宋体" w:eastAsia="宋体" w:cs="宋体"/>
          <w:spacing w:val="-1"/>
          <w:sz w:val="28"/>
          <w:szCs w:val="28"/>
        </w:rPr>
        <w:t>坏件修复后，返回到运维服务部，运维服务部根据送修单将好</w:t>
      </w:r>
      <w:r>
        <w:rPr>
          <w:rFonts w:ascii="宋体" w:hAnsi="宋体" w:eastAsia="宋体" w:cs="宋体"/>
          <w:spacing w:val="-2"/>
          <w:sz w:val="28"/>
          <w:szCs w:val="28"/>
        </w:rPr>
        <w:t>件返回到送修方，送修方在收到备件后进行核对和确认。</w:t>
      </w:r>
    </w:p>
    <w:p w14:paraId="58DDF132">
      <w:pPr>
        <w:spacing w:before="2" w:line="431" w:lineRule="auto"/>
        <w:ind w:left="25" w:right="239" w:firstLine="566"/>
        <w:rPr>
          <w:rFonts w:ascii="宋体" w:hAnsi="宋体" w:eastAsia="宋体" w:cs="宋体"/>
          <w:sz w:val="28"/>
          <w:szCs w:val="28"/>
        </w:rPr>
      </w:pPr>
      <w:r>
        <w:rPr>
          <w:rFonts w:ascii="宋体" w:hAnsi="宋体" w:eastAsia="宋体" w:cs="宋体"/>
          <w:spacing w:val="-1"/>
          <w:sz w:val="28"/>
          <w:szCs w:val="28"/>
        </w:rPr>
        <w:t>原则上送修过程中发生的物流配送由备件实物所在的发出方的</w:t>
      </w:r>
      <w:r>
        <w:rPr>
          <w:rFonts w:ascii="宋体" w:hAnsi="宋体" w:eastAsia="宋体" w:cs="宋体"/>
          <w:spacing w:val="-7"/>
          <w:sz w:val="28"/>
          <w:szCs w:val="28"/>
        </w:rPr>
        <w:t>相关部门负责。</w:t>
      </w:r>
    </w:p>
    <w:p w14:paraId="0DA1F4ED">
      <w:pPr>
        <w:spacing w:before="233" w:line="220" w:lineRule="auto"/>
        <w:ind w:left="29"/>
        <w:outlineLvl w:val="1"/>
        <w:rPr>
          <w:rFonts w:ascii="宋体" w:hAnsi="宋体" w:eastAsia="宋体" w:cs="宋体"/>
          <w:sz w:val="32"/>
          <w:szCs w:val="32"/>
        </w:rPr>
      </w:pPr>
      <w:bookmarkStart w:id="11" w:name="_Toc16692"/>
      <w:r>
        <w:rPr>
          <w:rFonts w:ascii="Calibri" w:hAnsi="Calibri" w:eastAsia="Calibri" w:cs="Calibri"/>
          <w:b/>
          <w:bCs/>
          <w:spacing w:val="-6"/>
          <w:sz w:val="32"/>
          <w:szCs w:val="32"/>
        </w:rPr>
        <w:t>5.6</w:t>
      </w:r>
      <w:r>
        <w:rPr>
          <w:rFonts w:ascii="Calibri" w:hAnsi="Calibri" w:eastAsia="Calibri" w:cs="Calibri"/>
          <w:b/>
          <w:bCs/>
          <w:spacing w:val="22"/>
          <w:sz w:val="32"/>
          <w:szCs w:val="32"/>
        </w:rPr>
        <w:t xml:space="preserve"> </w:t>
      </w:r>
      <w:r>
        <w:rPr>
          <w:rFonts w:ascii="宋体" w:hAnsi="宋体" w:eastAsia="宋体" w:cs="宋体"/>
          <w:b/>
          <w:bCs/>
          <w:spacing w:val="-6"/>
          <w:sz w:val="32"/>
          <w:szCs w:val="32"/>
        </w:rPr>
        <w:t>报废管理</w:t>
      </w:r>
      <w:bookmarkEnd w:id="11"/>
    </w:p>
    <w:p w14:paraId="283AF28A">
      <w:pPr>
        <w:pStyle w:val="2"/>
        <w:spacing w:line="456" w:lineRule="auto"/>
      </w:pPr>
    </w:p>
    <w:p w14:paraId="091C8E7D">
      <w:pPr>
        <w:spacing w:before="92" w:line="430" w:lineRule="auto"/>
        <w:ind w:left="28" w:firstLine="574"/>
        <w:jc w:val="both"/>
        <w:rPr>
          <w:rFonts w:ascii="宋体" w:hAnsi="宋体" w:eastAsia="宋体" w:cs="宋体"/>
          <w:sz w:val="28"/>
          <w:szCs w:val="28"/>
        </w:rPr>
      </w:pPr>
      <w:r>
        <w:rPr>
          <w:rFonts w:ascii="宋体" w:hAnsi="宋体" w:eastAsia="宋体" w:cs="宋体"/>
          <w:spacing w:val="-3"/>
          <w:sz w:val="28"/>
          <w:szCs w:val="28"/>
        </w:rPr>
        <w:t>当某备件无法修复或不具有使用价值时，要及时进行报废处理。</w:t>
      </w:r>
      <w:r>
        <w:rPr>
          <w:rFonts w:ascii="宋体" w:hAnsi="宋体" w:eastAsia="宋体" w:cs="宋体"/>
          <w:spacing w:val="-1"/>
          <w:sz w:val="28"/>
          <w:szCs w:val="28"/>
        </w:rPr>
        <w:t>备件报废原则上由备件所属的项目组发起报废申请，提交运维服务</w:t>
      </w:r>
      <w:r>
        <w:rPr>
          <w:rFonts w:ascii="宋体" w:hAnsi="宋体" w:eastAsia="宋体" w:cs="宋体"/>
          <w:spacing w:val="-2"/>
          <w:sz w:val="28"/>
          <w:szCs w:val="28"/>
        </w:rPr>
        <w:t>部审批确认。审批通过后由备件管理员将废件转入报废</w:t>
      </w:r>
      <w:r>
        <w:rPr>
          <w:rFonts w:ascii="宋体" w:hAnsi="宋体" w:eastAsia="宋体" w:cs="宋体"/>
          <w:spacing w:val="-3"/>
          <w:sz w:val="28"/>
          <w:szCs w:val="28"/>
        </w:rPr>
        <w:t>库。</w:t>
      </w:r>
    </w:p>
    <w:p w14:paraId="21831D60">
      <w:pPr>
        <w:spacing w:before="3" w:line="431" w:lineRule="auto"/>
        <w:ind w:left="31" w:right="239" w:firstLine="568"/>
        <w:rPr>
          <w:rFonts w:ascii="宋体" w:hAnsi="宋体" w:eastAsia="宋体" w:cs="宋体"/>
          <w:sz w:val="28"/>
          <w:szCs w:val="28"/>
        </w:rPr>
      </w:pPr>
      <w:r>
        <w:rPr>
          <w:rFonts w:ascii="宋体" w:hAnsi="宋体" w:eastAsia="宋体" w:cs="宋体"/>
          <w:spacing w:val="-1"/>
          <w:sz w:val="28"/>
          <w:szCs w:val="28"/>
        </w:rPr>
        <w:t>需报废备品备件如属固定资产的，由于涉及资产的变动，备件</w:t>
      </w:r>
      <w:r>
        <w:rPr>
          <w:rFonts w:ascii="宋体" w:hAnsi="宋体" w:eastAsia="宋体" w:cs="宋体"/>
          <w:spacing w:val="-2"/>
          <w:sz w:val="28"/>
          <w:szCs w:val="28"/>
        </w:rPr>
        <w:t>管理点应协助财务部按照固定资产报废流程对备件进行报废处理。</w:t>
      </w:r>
    </w:p>
    <w:p w14:paraId="18D401DA">
      <w:pPr>
        <w:numPr>
          <w:ilvl w:val="0"/>
          <w:numId w:val="1"/>
        </w:numPr>
        <w:spacing w:before="342" w:line="220" w:lineRule="auto"/>
        <w:ind w:left="30"/>
        <w:outlineLvl w:val="0"/>
        <w:rPr>
          <w:rFonts w:hint="eastAsia" w:ascii="Calibri" w:hAnsi="Calibri" w:eastAsia="宋体" w:cs="Calibri"/>
          <w:b/>
          <w:bCs/>
          <w:spacing w:val="-6"/>
          <w:sz w:val="40"/>
          <w:szCs w:val="40"/>
          <w:lang w:val="en-US" w:eastAsia="zh-CN"/>
        </w:rPr>
      </w:pPr>
      <w:bookmarkStart w:id="12" w:name="_Toc13931"/>
      <w:r>
        <w:rPr>
          <w:rFonts w:hint="eastAsia" w:ascii="Calibri" w:hAnsi="Calibri" w:eastAsia="宋体" w:cs="Calibri"/>
          <w:b/>
          <w:bCs/>
          <w:spacing w:val="-6"/>
          <w:sz w:val="40"/>
          <w:szCs w:val="40"/>
          <w:lang w:val="en-US" w:eastAsia="zh-CN"/>
        </w:rPr>
        <w:t>考核指标</w:t>
      </w:r>
      <w:bookmarkEnd w:id="12"/>
    </w:p>
    <w:tbl>
      <w:tblPr>
        <w:tblStyle w:val="7"/>
        <w:tblW w:w="7973"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8"/>
        <w:gridCol w:w="4725"/>
        <w:gridCol w:w="1260"/>
      </w:tblGrid>
      <w:tr w14:paraId="75FF33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988" w:type="dxa"/>
            <w:vAlign w:val="top"/>
          </w:tcPr>
          <w:p w14:paraId="77B36069">
            <w:pPr>
              <w:pStyle w:val="8"/>
              <w:spacing w:before="72" w:line="292" w:lineRule="auto"/>
              <w:ind w:left="598" w:right="145" w:hanging="449"/>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考核指标</w:t>
            </w:r>
          </w:p>
        </w:tc>
        <w:tc>
          <w:tcPr>
            <w:tcW w:w="4725" w:type="dxa"/>
            <w:vAlign w:val="top"/>
          </w:tcPr>
          <w:p w14:paraId="5C1AECBD">
            <w:pPr>
              <w:pStyle w:val="8"/>
              <w:spacing w:before="137" w:line="224" w:lineRule="auto"/>
              <w:ind w:left="126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计算方式</w:t>
            </w:r>
          </w:p>
        </w:tc>
        <w:tc>
          <w:tcPr>
            <w:tcW w:w="1260" w:type="dxa"/>
            <w:vAlign w:val="top"/>
          </w:tcPr>
          <w:p w14:paraId="39F5543F">
            <w:pPr>
              <w:pStyle w:val="8"/>
              <w:spacing w:before="234" w:line="220" w:lineRule="auto"/>
              <w:ind w:left="231" w:leftChars="0"/>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频次</w:t>
            </w:r>
          </w:p>
        </w:tc>
      </w:tr>
      <w:tr w14:paraId="29D3A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988" w:type="dxa"/>
            <w:vAlign w:val="top"/>
          </w:tcPr>
          <w:p w14:paraId="69A96600">
            <w:pPr>
              <w:pStyle w:val="8"/>
              <w:spacing w:before="72" w:line="292" w:lineRule="auto"/>
              <w:ind w:left="598" w:right="145" w:hanging="449"/>
              <w:rPr>
                <w:rFonts w:hint="eastAsia" w:ascii="宋体" w:hAnsi="宋体" w:eastAsia="宋体" w:cs="宋体"/>
                <w:sz w:val="24"/>
                <w:szCs w:val="24"/>
              </w:rPr>
            </w:pPr>
            <w:r>
              <w:rPr>
                <w:rFonts w:hint="eastAsia" w:ascii="宋体" w:hAnsi="宋体" w:eastAsia="宋体" w:cs="宋体"/>
                <w:spacing w:val="-2"/>
                <w:sz w:val="24"/>
                <w:szCs w:val="24"/>
              </w:rPr>
              <w:t>库存备件数据准确率</w:t>
            </w:r>
          </w:p>
        </w:tc>
        <w:tc>
          <w:tcPr>
            <w:tcW w:w="4725" w:type="dxa"/>
            <w:vAlign w:val="top"/>
          </w:tcPr>
          <w:p w14:paraId="52ED6410">
            <w:pPr>
              <w:pStyle w:val="8"/>
              <w:spacing w:before="71" w:line="220" w:lineRule="auto"/>
              <w:ind w:left="113"/>
              <w:rPr>
                <w:rFonts w:hint="eastAsia" w:ascii="宋体" w:hAnsi="宋体" w:eastAsia="宋体" w:cs="宋体"/>
                <w:sz w:val="24"/>
                <w:szCs w:val="24"/>
              </w:rPr>
            </w:pPr>
            <w:r>
              <w:rPr>
                <w:rFonts w:hint="eastAsia" w:ascii="宋体" w:hAnsi="宋体" w:eastAsia="宋体" w:cs="宋体"/>
                <w:spacing w:val="-2"/>
                <w:sz w:val="24"/>
                <w:szCs w:val="24"/>
              </w:rPr>
              <w:t>（备件信息准确的数量/备件总数）*100%</w:t>
            </w:r>
          </w:p>
        </w:tc>
        <w:tc>
          <w:tcPr>
            <w:tcW w:w="1260" w:type="dxa"/>
            <w:vAlign w:val="top"/>
          </w:tcPr>
          <w:p w14:paraId="7AA41C0C">
            <w:pPr>
              <w:pStyle w:val="8"/>
              <w:spacing w:before="234" w:line="220" w:lineRule="auto"/>
              <w:ind w:left="231" w:leftChars="0"/>
              <w:rPr>
                <w:rFonts w:hint="eastAsia" w:ascii="宋体" w:hAnsi="宋体" w:eastAsia="宋体" w:cs="宋体"/>
                <w:sz w:val="24"/>
                <w:szCs w:val="24"/>
              </w:rPr>
            </w:pPr>
            <w:r>
              <w:rPr>
                <w:rFonts w:hint="eastAsia" w:ascii="宋体" w:hAnsi="宋体" w:eastAsia="宋体" w:cs="宋体"/>
                <w:spacing w:val="-2"/>
                <w:sz w:val="24"/>
                <w:szCs w:val="24"/>
              </w:rPr>
              <w:t>按季度</w:t>
            </w:r>
          </w:p>
        </w:tc>
      </w:tr>
    </w:tbl>
    <w:p w14:paraId="6FC29C9D">
      <w:pPr>
        <w:bidi w:val="0"/>
        <w:rPr>
          <w:rFonts w:hint="default"/>
          <w:lang w:val="en-US" w:eastAsia="zh-CN"/>
        </w:rPr>
      </w:pPr>
    </w:p>
    <w:p w14:paraId="5A0DC2ED">
      <w:pPr>
        <w:spacing w:before="342" w:line="220" w:lineRule="auto"/>
        <w:ind w:left="30"/>
        <w:outlineLvl w:val="0"/>
        <w:rPr>
          <w:rFonts w:ascii="宋体" w:hAnsi="宋体" w:eastAsia="宋体" w:cs="宋体"/>
          <w:sz w:val="40"/>
          <w:szCs w:val="40"/>
        </w:rPr>
      </w:pPr>
      <w:bookmarkStart w:id="13" w:name="_Toc30949"/>
      <w:r>
        <w:rPr>
          <w:rFonts w:ascii="Calibri" w:hAnsi="Calibri" w:eastAsia="Calibri" w:cs="Calibri"/>
          <w:b/>
          <w:bCs/>
          <w:spacing w:val="-6"/>
          <w:sz w:val="40"/>
          <w:szCs w:val="40"/>
        </w:rPr>
        <w:t>7.</w:t>
      </w:r>
      <w:r>
        <w:rPr>
          <w:rFonts w:ascii="宋体" w:hAnsi="宋体" w:eastAsia="宋体" w:cs="宋体"/>
          <w:b/>
          <w:bCs/>
          <w:spacing w:val="-6"/>
          <w:sz w:val="40"/>
          <w:szCs w:val="40"/>
        </w:rPr>
        <w:t>记录表单</w:t>
      </w:r>
      <w:bookmarkEnd w:id="13"/>
    </w:p>
    <w:p w14:paraId="320321B8">
      <w:pPr>
        <w:pStyle w:val="2"/>
        <w:spacing w:line="262" w:lineRule="auto"/>
      </w:pPr>
    </w:p>
    <w:p w14:paraId="736624F1">
      <w:pPr>
        <w:pStyle w:val="2"/>
        <w:spacing w:line="263" w:lineRule="auto"/>
      </w:pPr>
    </w:p>
    <w:p w14:paraId="48843DD7">
      <w:pPr>
        <w:spacing w:before="92"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9"/>
                    <a:stretch>
                      <a:fillRect/>
                    </a:stretch>
                  </pic:blipFill>
                  <pic:spPr>
                    <a:xfrm>
                      <a:off x="0" y="0"/>
                      <a:ext cx="126237" cy="197180"/>
                    </a:xfrm>
                    <a:prstGeom prst="rect">
                      <a:avLst/>
                    </a:prstGeom>
                  </pic:spPr>
                </pic:pic>
              </a:graphicData>
            </a:graphic>
          </wp:inline>
        </w:drawing>
      </w:r>
      <w:r>
        <w:rPr>
          <w:rFonts w:ascii="宋体" w:hAnsi="宋体" w:eastAsia="宋体" w:cs="宋体"/>
          <w:spacing w:val="66"/>
          <w:sz w:val="28"/>
          <w:szCs w:val="28"/>
        </w:rPr>
        <w:t xml:space="preserve"> </w:t>
      </w:r>
      <w:r>
        <w:rPr>
          <w:rFonts w:ascii="宋体" w:hAnsi="宋体" w:eastAsia="宋体" w:cs="宋体"/>
          <w:spacing w:val="-1"/>
          <w:sz w:val="28"/>
          <w:szCs w:val="28"/>
        </w:rPr>
        <w:t>《备品备件存量清单》</w:t>
      </w:r>
    </w:p>
    <w:p w14:paraId="66C3D243">
      <w:pPr>
        <w:spacing w:before="310"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7"/>
                    <a:stretch>
                      <a:fillRect/>
                    </a:stretch>
                  </pic:blipFill>
                  <pic:spPr>
                    <a:xfrm>
                      <a:off x="0" y="0"/>
                      <a:ext cx="126237" cy="197180"/>
                    </a:xfrm>
                    <a:prstGeom prst="rect">
                      <a:avLst/>
                    </a:prstGeom>
                  </pic:spPr>
                </pic:pic>
              </a:graphicData>
            </a:graphic>
          </wp:inline>
        </w:drawing>
      </w:r>
      <w:r>
        <w:rPr>
          <w:rFonts w:ascii="宋体" w:hAnsi="宋体" w:eastAsia="宋体" w:cs="宋体"/>
          <w:spacing w:val="67"/>
          <w:sz w:val="28"/>
          <w:szCs w:val="28"/>
        </w:rPr>
        <w:t xml:space="preserve"> </w:t>
      </w:r>
      <w:r>
        <w:rPr>
          <w:rFonts w:ascii="宋体" w:hAnsi="宋体" w:eastAsia="宋体" w:cs="宋体"/>
          <w:spacing w:val="-1"/>
          <w:sz w:val="28"/>
          <w:szCs w:val="28"/>
        </w:rPr>
        <w:t>《备品备件领用登记表》</w:t>
      </w:r>
    </w:p>
    <w:p w14:paraId="425E8E1E">
      <w:pPr>
        <w:spacing w:line="225" w:lineRule="auto"/>
        <w:rPr>
          <w:rFonts w:ascii="宋体" w:hAnsi="宋体" w:eastAsia="宋体" w:cs="宋体"/>
          <w:sz w:val="28"/>
          <w:szCs w:val="28"/>
        </w:rPr>
        <w:sectPr>
          <w:footerReference r:id="rId13" w:type="default"/>
          <w:pgSz w:w="11906" w:h="16839"/>
          <w:pgMar w:top="1431" w:right="1746" w:bottom="1375" w:left="1785" w:header="0" w:footer="1211" w:gutter="0"/>
          <w:cols w:space="720" w:num="1"/>
        </w:sectPr>
      </w:pPr>
    </w:p>
    <w:p w14:paraId="77F855DD">
      <w:pPr>
        <w:spacing w:before="186"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7"/>
                    <a:stretch>
                      <a:fillRect/>
                    </a:stretch>
                  </pic:blipFill>
                  <pic:spPr>
                    <a:xfrm>
                      <a:off x="0" y="0"/>
                      <a:ext cx="126237" cy="197180"/>
                    </a:xfrm>
                    <a:prstGeom prst="rect">
                      <a:avLst/>
                    </a:prstGeom>
                  </pic:spPr>
                </pic:pic>
              </a:graphicData>
            </a:graphic>
          </wp:inline>
        </w:drawing>
      </w:r>
      <w:r>
        <w:rPr>
          <w:rFonts w:ascii="宋体" w:hAnsi="宋体" w:eastAsia="宋体" w:cs="宋体"/>
          <w:spacing w:val="67"/>
          <w:sz w:val="28"/>
          <w:szCs w:val="28"/>
        </w:rPr>
        <w:t xml:space="preserve"> </w:t>
      </w:r>
      <w:r>
        <w:rPr>
          <w:rFonts w:ascii="宋体" w:hAnsi="宋体" w:eastAsia="宋体" w:cs="宋体"/>
          <w:spacing w:val="-1"/>
          <w:sz w:val="28"/>
          <w:szCs w:val="28"/>
        </w:rPr>
        <w:t>《备品备件出入库表单》</w:t>
      </w:r>
    </w:p>
    <w:p w14:paraId="307C665B">
      <w:pPr>
        <w:spacing w:before="310"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9"/>
                    <a:stretch>
                      <a:fillRect/>
                    </a:stretch>
                  </pic:blipFill>
                  <pic:spPr>
                    <a:xfrm>
                      <a:off x="0" y="0"/>
                      <a:ext cx="126237" cy="197180"/>
                    </a:xfrm>
                    <a:prstGeom prst="rect">
                      <a:avLst/>
                    </a:prstGeom>
                  </pic:spPr>
                </pic:pic>
              </a:graphicData>
            </a:graphic>
          </wp:inline>
        </w:drawing>
      </w:r>
      <w:r>
        <w:rPr>
          <w:rFonts w:ascii="宋体" w:hAnsi="宋体" w:eastAsia="宋体" w:cs="宋体"/>
          <w:spacing w:val="68"/>
          <w:sz w:val="28"/>
          <w:szCs w:val="28"/>
        </w:rPr>
        <w:t xml:space="preserve"> </w:t>
      </w:r>
      <w:r>
        <w:rPr>
          <w:rFonts w:ascii="宋体" w:hAnsi="宋体" w:eastAsia="宋体" w:cs="宋体"/>
          <w:spacing w:val="-1"/>
          <w:sz w:val="28"/>
          <w:szCs w:val="28"/>
        </w:rPr>
        <w:t>《备品备件报废审批表单》</w:t>
      </w:r>
    </w:p>
    <w:sectPr>
      <w:footerReference r:id="rId14"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167FF">
    <w:pPr>
      <w:spacing w:line="167" w:lineRule="auto"/>
      <w:ind w:left="4127"/>
      <w:rPr>
        <w:rFonts w:ascii="Calibri" w:hAnsi="Calibri" w:eastAsia="Calibri" w:cs="Calibri"/>
        <w:sz w:val="18"/>
        <w:szCs w:val="18"/>
      </w:rPr>
    </w:pPr>
    <w:r>
      <w:rPr>
        <w:rFonts w:ascii="Calibri" w:hAnsi="Calibri" w:eastAsia="Calibri" w:cs="Calibri"/>
        <w:sz w:val="18"/>
        <w:szCs w:val="18"/>
      </w:rPr>
      <w:t>0</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9A2AE3">
    <w:pPr>
      <w:spacing w:line="167" w:lineRule="auto"/>
      <w:ind w:left="4091"/>
      <w:rPr>
        <w:rFonts w:ascii="Calibri" w:hAnsi="Calibri" w:eastAsia="Calibri" w:cs="Calibri"/>
        <w:sz w:val="18"/>
        <w:szCs w:val="18"/>
      </w:rPr>
    </w:pPr>
    <w:r>
      <w:rPr>
        <w:rFonts w:ascii="Calibri" w:hAnsi="Calibri" w:eastAsia="Calibri" w:cs="Calibri"/>
        <w:spacing w:val="-4"/>
        <w:sz w:val="18"/>
        <w:szCs w:val="18"/>
      </w:rPr>
      <w:t>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6B6BE8">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D86C7">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6DE32">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30B875">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E285B">
    <w:pPr>
      <w:spacing w:line="167" w:lineRule="auto"/>
      <w:ind w:left="4130"/>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9EB07">
    <w:pPr>
      <w:spacing w:line="165" w:lineRule="auto"/>
      <w:ind w:left="4130"/>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890CA4">
    <w:pPr>
      <w:spacing w:line="167" w:lineRule="auto"/>
      <w:ind w:left="4128"/>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9B4B2">
    <w:pPr>
      <w:spacing w:line="167" w:lineRule="auto"/>
      <w:ind w:left="4128"/>
      <w:rPr>
        <w:rFonts w:ascii="Calibri" w:hAnsi="Calibri" w:eastAsia="Calibri" w:cs="Calibri"/>
        <w:sz w:val="18"/>
        <w:szCs w:val="18"/>
      </w:rPr>
    </w:pPr>
    <w:r>
      <w:rPr>
        <w:rFonts w:ascii="Calibri" w:hAnsi="Calibri" w:eastAsia="Calibri" w:cs="Calibri"/>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FAE32A"/>
    <w:multiLevelType w:val="singleLevel"/>
    <w:tmpl w:val="65FAE32A"/>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1B20C6"/>
    <w:rsid w:val="0C0A1AFB"/>
    <w:rsid w:val="15B036FB"/>
    <w:rsid w:val="3F874C1D"/>
    <w:rsid w:val="44223166"/>
    <w:rsid w:val="47041813"/>
    <w:rsid w:val="5C7A1B0B"/>
    <w:rsid w:val="68CE0007"/>
    <w:rsid w:val="6F586C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3264</Words>
  <Characters>3341</Characters>
  <TotalTime>0</TotalTime>
  <ScaleCrop>false</ScaleCrop>
  <LinksUpToDate>false</LinksUpToDate>
  <CharactersWithSpaces>3404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2025-08-22T06:09:00Z</dcterms:created>
  <dc:creator>谢永刚</dc:creator>
  <cp:lastModifiedBy>郝宇</cp:lastModifiedBy>
  <dcterms:modified xsi:type="dcterms:W3CDTF">2025-08-27T13:43:53Z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2025-08-27T21:20:51Z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77627AF7721245DD8AAAFAF695C89D67_12</vt:lpwstr>
  </property>
</Properties>
</file>