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E3A86">
      <w:pPr>
        <w:pStyle w:val="2"/>
        <w:spacing w:line="266" w:lineRule="auto"/>
      </w:pPr>
    </w:p>
    <w:p w14:paraId="225EF90F">
      <w:pPr>
        <w:pStyle w:val="2"/>
        <w:spacing w:line="266" w:lineRule="auto"/>
      </w:pPr>
    </w:p>
    <w:p w14:paraId="78E37DB8">
      <w:pPr>
        <w:pStyle w:val="2"/>
        <w:spacing w:line="266" w:lineRule="auto"/>
      </w:pPr>
    </w:p>
    <w:p w14:paraId="049C6AAB">
      <w:pPr>
        <w:pStyle w:val="2"/>
        <w:spacing w:line="266" w:lineRule="auto"/>
      </w:pPr>
    </w:p>
    <w:p w14:paraId="663D6B62">
      <w:pPr>
        <w:pStyle w:val="2"/>
        <w:spacing w:line="266" w:lineRule="auto"/>
      </w:pPr>
    </w:p>
    <w:p w14:paraId="57B34E86">
      <w:pPr>
        <w:pStyle w:val="2"/>
        <w:spacing w:line="266" w:lineRule="auto"/>
      </w:pPr>
    </w:p>
    <w:p w14:paraId="6D6124C9">
      <w:pPr>
        <w:pStyle w:val="2"/>
        <w:spacing w:line="267" w:lineRule="auto"/>
      </w:pPr>
    </w:p>
    <w:p w14:paraId="055E37BC">
      <w:pPr>
        <w:spacing w:before="169" w:line="220" w:lineRule="auto"/>
        <w:ind w:left="553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备品备件应用提升情况总结说明</w:t>
      </w:r>
    </w:p>
    <w:p w14:paraId="1322178C">
      <w:pPr>
        <w:pStyle w:val="2"/>
        <w:spacing w:line="247" w:lineRule="auto"/>
      </w:pPr>
    </w:p>
    <w:p w14:paraId="0987AB8C">
      <w:pPr>
        <w:pStyle w:val="2"/>
        <w:spacing w:line="247" w:lineRule="auto"/>
      </w:pPr>
    </w:p>
    <w:p w14:paraId="3386A3FC">
      <w:pPr>
        <w:pStyle w:val="2"/>
        <w:spacing w:line="247" w:lineRule="auto"/>
      </w:pPr>
    </w:p>
    <w:p w14:paraId="1B9FD726">
      <w:pPr>
        <w:pStyle w:val="2"/>
        <w:spacing w:line="247" w:lineRule="auto"/>
      </w:pPr>
    </w:p>
    <w:p w14:paraId="08D584E1">
      <w:pPr>
        <w:pStyle w:val="2"/>
        <w:spacing w:line="247" w:lineRule="auto"/>
      </w:pPr>
    </w:p>
    <w:p w14:paraId="2272C872">
      <w:pPr>
        <w:pStyle w:val="2"/>
        <w:spacing w:line="248" w:lineRule="auto"/>
      </w:pPr>
    </w:p>
    <w:p w14:paraId="1018F228">
      <w:pPr>
        <w:pStyle w:val="2"/>
        <w:spacing w:line="248" w:lineRule="auto"/>
      </w:pPr>
    </w:p>
    <w:p w14:paraId="422940D9">
      <w:pPr>
        <w:pStyle w:val="2"/>
        <w:spacing w:line="248" w:lineRule="auto"/>
      </w:pPr>
    </w:p>
    <w:p w14:paraId="29563E27">
      <w:pPr>
        <w:spacing w:line="1568" w:lineRule="exact"/>
        <w:ind w:firstLine="1534"/>
      </w:pPr>
      <w:r>
        <w:rPr>
          <w:position w:val="-31"/>
        </w:rPr>
        <w:drawing>
          <wp:inline distT="0" distB="0" distL="0" distR="0">
            <wp:extent cx="3343275" cy="9956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2C0">
      <w:pPr>
        <w:pStyle w:val="2"/>
        <w:spacing w:line="246" w:lineRule="auto"/>
      </w:pPr>
    </w:p>
    <w:p w14:paraId="78C68DCA">
      <w:pPr>
        <w:pStyle w:val="2"/>
        <w:spacing w:line="246" w:lineRule="auto"/>
      </w:pPr>
    </w:p>
    <w:p w14:paraId="3BB8928B">
      <w:pPr>
        <w:pStyle w:val="2"/>
        <w:spacing w:line="246" w:lineRule="auto"/>
      </w:pPr>
    </w:p>
    <w:p w14:paraId="1AC3E06F">
      <w:pPr>
        <w:pStyle w:val="2"/>
        <w:spacing w:line="247" w:lineRule="auto"/>
      </w:pPr>
    </w:p>
    <w:p w14:paraId="6A1F27B5">
      <w:pPr>
        <w:pStyle w:val="2"/>
        <w:spacing w:line="247" w:lineRule="auto"/>
      </w:pPr>
    </w:p>
    <w:p w14:paraId="79677A44">
      <w:pPr>
        <w:pStyle w:val="2"/>
        <w:spacing w:line="247" w:lineRule="auto"/>
      </w:pPr>
    </w:p>
    <w:p w14:paraId="0F5A9355">
      <w:pPr>
        <w:pStyle w:val="2"/>
        <w:spacing w:line="247" w:lineRule="auto"/>
      </w:pPr>
    </w:p>
    <w:p w14:paraId="39F1D0A8">
      <w:pPr>
        <w:pStyle w:val="2"/>
        <w:spacing w:line="247" w:lineRule="auto"/>
      </w:pPr>
    </w:p>
    <w:p w14:paraId="06FC179C">
      <w:pPr>
        <w:pStyle w:val="2"/>
        <w:spacing w:line="247" w:lineRule="auto"/>
      </w:pPr>
    </w:p>
    <w:p w14:paraId="179343FD">
      <w:pPr>
        <w:pStyle w:val="2"/>
        <w:spacing w:line="247" w:lineRule="auto"/>
      </w:pPr>
    </w:p>
    <w:p w14:paraId="0C3BC80F">
      <w:pPr>
        <w:pStyle w:val="2"/>
        <w:spacing w:line="247" w:lineRule="auto"/>
      </w:pPr>
    </w:p>
    <w:p w14:paraId="64584B1D">
      <w:pPr>
        <w:pStyle w:val="2"/>
        <w:spacing w:line="247" w:lineRule="auto"/>
      </w:pPr>
    </w:p>
    <w:p w14:paraId="6AC858C8">
      <w:pPr>
        <w:pStyle w:val="2"/>
        <w:spacing w:line="247" w:lineRule="auto"/>
      </w:pPr>
    </w:p>
    <w:p w14:paraId="0D08BE4B">
      <w:pPr>
        <w:pStyle w:val="2"/>
        <w:spacing w:line="247" w:lineRule="auto"/>
      </w:pPr>
    </w:p>
    <w:p w14:paraId="18A6C051">
      <w:pPr>
        <w:pStyle w:val="2"/>
        <w:spacing w:line="247" w:lineRule="auto"/>
      </w:pPr>
    </w:p>
    <w:p w14:paraId="5B63972F">
      <w:pPr>
        <w:pStyle w:val="2"/>
        <w:spacing w:line="247" w:lineRule="auto"/>
      </w:pPr>
    </w:p>
    <w:p w14:paraId="346BC894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A3221B6">
      <w:pPr>
        <w:spacing w:before="224" w:line="220" w:lineRule="auto"/>
        <w:ind w:left="279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41BFDFAF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E74B7CD">
      <w:pPr>
        <w:pStyle w:val="2"/>
        <w:spacing w:line="298" w:lineRule="auto"/>
      </w:pPr>
    </w:p>
    <w:p w14:paraId="07DF05F3">
      <w:pPr>
        <w:pStyle w:val="2"/>
        <w:spacing w:line="298" w:lineRule="auto"/>
      </w:pPr>
    </w:p>
    <w:p w14:paraId="66DD3DEC">
      <w:pPr>
        <w:pStyle w:val="2"/>
        <w:spacing w:line="298" w:lineRule="auto"/>
      </w:pPr>
    </w:p>
    <w:p w14:paraId="0E2261F8">
      <w:pPr>
        <w:spacing w:before="91" w:line="220" w:lineRule="auto"/>
        <w:ind w:left="435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0BDFA8A">
      <w:pPr>
        <w:spacing w:line="117" w:lineRule="exact"/>
      </w:pPr>
    </w:p>
    <w:tbl>
      <w:tblPr>
        <w:tblStyle w:val="5"/>
        <w:tblW w:w="8646" w:type="dxa"/>
        <w:tblInd w:w="5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D8DD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3D4BE0B7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30929870">
            <w:pPr>
              <w:pStyle w:val="6"/>
              <w:spacing w:before="139" w:line="220" w:lineRule="auto"/>
              <w:ind w:left="110"/>
            </w:pPr>
            <w:r>
              <w:rPr>
                <w:spacing w:val="-1"/>
              </w:rPr>
              <w:t>备品备件应用提升情况总结说明</w:t>
            </w:r>
          </w:p>
        </w:tc>
      </w:tr>
      <w:tr w14:paraId="4F7B3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5735D64A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D8F700B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99C3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746DBA83">
            <w:pPr>
              <w:pStyle w:val="6"/>
              <w:spacing w:before="13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9F90F14">
            <w:pPr>
              <w:pStyle w:val="6"/>
              <w:spacing w:before="139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27326E34">
            <w:pPr>
              <w:pStyle w:val="6"/>
              <w:spacing w:before="139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4EBE23AA">
            <w:pPr>
              <w:pStyle w:val="6"/>
              <w:spacing w:before="139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33D3F4A5">
            <w:pPr>
              <w:pStyle w:val="6"/>
              <w:spacing w:before="139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79E16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ACBE413">
            <w:pPr>
              <w:pStyle w:val="6"/>
              <w:spacing w:before="104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5E4FEF10">
            <w:pPr>
              <w:pStyle w:val="6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3" w:type="dxa"/>
            <w:vAlign w:val="top"/>
          </w:tcPr>
          <w:p w14:paraId="6398DACD">
            <w:pPr>
              <w:pStyle w:val="6"/>
              <w:spacing w:before="74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423AD2D9">
            <w:pPr>
              <w:pStyle w:val="6"/>
              <w:spacing w:before="75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12886D3B">
            <w:pPr>
              <w:pStyle w:val="6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DFE7D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EAFA3B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3227FFE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4EFA74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3E3287B4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3AB576">
            <w:pPr>
              <w:rPr>
                <w:rFonts w:ascii="Arial"/>
                <w:sz w:val="21"/>
              </w:rPr>
            </w:pPr>
          </w:p>
        </w:tc>
      </w:tr>
      <w:tr w14:paraId="45B84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FA52873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1A83664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052F028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233BA62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729039F9">
            <w:pPr>
              <w:rPr>
                <w:rFonts w:ascii="Arial"/>
                <w:sz w:val="21"/>
              </w:rPr>
            </w:pPr>
          </w:p>
        </w:tc>
      </w:tr>
      <w:tr w14:paraId="0B042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8933BF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2A0DC631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19670D1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0D2FEC7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6E546C17">
            <w:pPr>
              <w:rPr>
                <w:rFonts w:ascii="Arial"/>
                <w:sz w:val="21"/>
              </w:rPr>
            </w:pPr>
          </w:p>
        </w:tc>
      </w:tr>
    </w:tbl>
    <w:p w14:paraId="56F46B11">
      <w:pPr>
        <w:pStyle w:val="2"/>
      </w:pPr>
    </w:p>
    <w:p w14:paraId="5F3DB971">
      <w:pPr>
        <w:sectPr>
          <w:headerReference r:id="rId5" w:type="default"/>
          <w:footerReference r:id="rId6" w:type="default"/>
          <w:pgSz w:w="11906" w:h="16839"/>
          <w:pgMar w:top="1246" w:right="1050" w:bottom="1375" w:left="1050" w:header="1231" w:footer="983" w:gutter="0"/>
          <w:cols w:space="720" w:num="1"/>
        </w:sectPr>
      </w:pPr>
    </w:p>
    <w:p w14:paraId="548F4FBF">
      <w:pPr>
        <w:pStyle w:val="2"/>
        <w:spacing w:line="273" w:lineRule="auto"/>
      </w:pPr>
    </w:p>
    <w:p w14:paraId="76A1B0A3">
      <w:pPr>
        <w:pStyle w:val="2"/>
        <w:spacing w:line="274" w:lineRule="auto"/>
      </w:pPr>
    </w:p>
    <w:p w14:paraId="6DD7FA86">
      <w:pPr>
        <w:pStyle w:val="2"/>
        <w:spacing w:line="274" w:lineRule="auto"/>
      </w:pPr>
    </w:p>
    <w:p w14:paraId="49735F30">
      <w:pPr>
        <w:spacing w:before="120" w:line="220" w:lineRule="auto"/>
        <w:ind w:left="53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37"/>
          <w:szCs w:val="37"/>
        </w:rPr>
        <w:t>1.</w:t>
      </w:r>
      <w:r>
        <w:rPr>
          <w:rFonts w:ascii="Times New Roman" w:hAnsi="Times New Roman" w:eastAsia="Times New Roman" w:cs="Times New Roman"/>
          <w:b/>
          <w:bCs/>
          <w:spacing w:val="71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备品备件应用不断提升</w:t>
      </w:r>
    </w:p>
    <w:p w14:paraId="3F5A157E">
      <w:pPr>
        <w:spacing w:before="106" w:line="359" w:lineRule="auto"/>
        <w:ind w:left="38" w:right="15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ITSS 对备件库的管理要求，使备件从采购到入库到使用整个过程都能够得</w:t>
      </w:r>
      <w:r>
        <w:rPr>
          <w:rFonts w:ascii="宋体" w:hAnsi="宋体" w:eastAsia="宋体" w:cs="宋体"/>
          <w:sz w:val="28"/>
          <w:szCs w:val="28"/>
        </w:rPr>
        <w:t>到有序管理。通过对备件库存和使用的管理，使备件</w:t>
      </w:r>
      <w:r>
        <w:rPr>
          <w:rFonts w:ascii="宋体" w:hAnsi="宋体" w:eastAsia="宋体" w:cs="宋体"/>
          <w:spacing w:val="-1"/>
          <w:sz w:val="28"/>
          <w:szCs w:val="28"/>
        </w:rPr>
        <w:t>管理实现规范化管理并满</w:t>
      </w:r>
      <w:r>
        <w:rPr>
          <w:rFonts w:ascii="宋体" w:hAnsi="宋体" w:eastAsia="宋体" w:cs="宋体"/>
          <w:sz w:val="28"/>
          <w:szCs w:val="28"/>
        </w:rPr>
        <w:t>足运维服务的需要。通过对备品备件的采购、领用、</w:t>
      </w:r>
      <w:r>
        <w:rPr>
          <w:rFonts w:ascii="宋体" w:hAnsi="宋体" w:eastAsia="宋体" w:cs="宋体"/>
          <w:spacing w:val="-1"/>
          <w:sz w:val="28"/>
          <w:szCs w:val="28"/>
        </w:rPr>
        <w:t>调拨和抽样多种手段，从</w:t>
      </w:r>
      <w:r>
        <w:rPr>
          <w:rFonts w:ascii="宋体" w:hAnsi="宋体" w:eastAsia="宋体" w:cs="宋体"/>
          <w:sz w:val="28"/>
          <w:szCs w:val="28"/>
        </w:rPr>
        <w:t>而保证KPI指标可以完全满足公司的业务需求。我司开始试</w:t>
      </w:r>
      <w:r>
        <w:rPr>
          <w:rFonts w:ascii="宋体" w:hAnsi="宋体" w:eastAsia="宋体" w:cs="宋体"/>
          <w:spacing w:val="-1"/>
          <w:sz w:val="28"/>
          <w:szCs w:val="28"/>
        </w:rPr>
        <w:t>运行ITSS成熟度三级</w:t>
      </w:r>
      <w:r>
        <w:rPr>
          <w:rFonts w:ascii="宋体" w:hAnsi="宋体" w:eastAsia="宋体" w:cs="宋体"/>
          <w:sz w:val="28"/>
          <w:szCs w:val="28"/>
        </w:rPr>
        <w:t>模型，建立了公司备件管理制度及供应商管理制度并</w:t>
      </w:r>
      <w:r>
        <w:rPr>
          <w:rFonts w:ascii="宋体" w:hAnsi="宋体" w:eastAsia="宋体" w:cs="宋体"/>
          <w:spacing w:val="-1"/>
          <w:sz w:val="28"/>
          <w:szCs w:val="28"/>
        </w:rPr>
        <w:t>不断完善。由于运维项目</w:t>
      </w:r>
      <w:r>
        <w:rPr>
          <w:rFonts w:ascii="宋体" w:hAnsi="宋体" w:eastAsia="宋体" w:cs="宋体"/>
          <w:sz w:val="28"/>
          <w:szCs w:val="28"/>
        </w:rPr>
        <w:t>较多，2017年之前公司备件管理工作混乱，备件管理</w:t>
      </w:r>
      <w:r>
        <w:rPr>
          <w:rFonts w:ascii="宋体" w:hAnsi="宋体" w:eastAsia="宋体" w:cs="宋体"/>
          <w:spacing w:val="-1"/>
          <w:sz w:val="28"/>
          <w:szCs w:val="28"/>
        </w:rPr>
        <w:t>制度基本空白的情况，在</w:t>
      </w:r>
      <w:r>
        <w:rPr>
          <w:rFonts w:ascii="宋体" w:hAnsi="宋体" w:eastAsia="宋体" w:cs="宋体"/>
          <w:sz w:val="28"/>
          <w:szCs w:val="28"/>
        </w:rPr>
        <w:t>借鉴有关企业备件管理经验的基础上不断建立健全设备管理</w:t>
      </w:r>
      <w:r>
        <w:rPr>
          <w:rFonts w:ascii="宋体" w:hAnsi="宋体" w:eastAsia="宋体" w:cs="宋体"/>
          <w:spacing w:val="-1"/>
          <w:sz w:val="28"/>
          <w:szCs w:val="28"/>
        </w:rPr>
        <w:t>制度工作。ITSS 对</w:t>
      </w:r>
      <w:r>
        <w:rPr>
          <w:rFonts w:ascii="宋体" w:hAnsi="宋体" w:eastAsia="宋体" w:cs="宋体"/>
          <w:spacing w:val="-2"/>
          <w:sz w:val="28"/>
          <w:szCs w:val="28"/>
        </w:rPr>
        <w:t>备件库的管理要求，使备件从采购到入库到使用整个过程都能够得到有序管理。</w:t>
      </w:r>
      <w:r>
        <w:rPr>
          <w:rFonts w:ascii="宋体" w:hAnsi="宋体" w:eastAsia="宋体" w:cs="宋体"/>
          <w:sz w:val="28"/>
          <w:szCs w:val="28"/>
        </w:rPr>
        <w:t>通过对备件库存和使用的管理，使备件管理实现规范</w:t>
      </w:r>
      <w:r>
        <w:rPr>
          <w:rFonts w:ascii="宋体" w:hAnsi="宋体" w:eastAsia="宋体" w:cs="宋体"/>
          <w:spacing w:val="-1"/>
          <w:sz w:val="28"/>
          <w:szCs w:val="28"/>
        </w:rPr>
        <w:t>化管理并满足运维服务的</w:t>
      </w:r>
      <w:r>
        <w:rPr>
          <w:rFonts w:ascii="宋体" w:hAnsi="宋体" w:eastAsia="宋体" w:cs="宋体"/>
          <w:sz w:val="28"/>
          <w:szCs w:val="28"/>
        </w:rPr>
        <w:t>需要。通过对备品备件的采购、领用、调拨和抽样多种手</w:t>
      </w:r>
      <w:r>
        <w:rPr>
          <w:rFonts w:ascii="宋体" w:hAnsi="宋体" w:eastAsia="宋体" w:cs="宋体"/>
          <w:spacing w:val="-1"/>
          <w:sz w:val="28"/>
          <w:szCs w:val="28"/>
        </w:rPr>
        <w:t>段，从而保证KPI指标</w:t>
      </w:r>
      <w:r>
        <w:rPr>
          <w:rFonts w:ascii="宋体" w:hAnsi="宋体" w:eastAsia="宋体" w:cs="宋体"/>
          <w:sz w:val="28"/>
          <w:szCs w:val="28"/>
        </w:rPr>
        <w:t>可以完全满足公司的业务需求。明确的备件响应方式</w:t>
      </w:r>
      <w:r>
        <w:rPr>
          <w:rFonts w:ascii="宋体" w:hAnsi="宋体" w:eastAsia="宋体" w:cs="宋体"/>
          <w:spacing w:val="-1"/>
          <w:sz w:val="28"/>
          <w:szCs w:val="28"/>
        </w:rPr>
        <w:t>和级别定义，能够满足服务级别协议(SLA)所要求的备件支持</w:t>
      </w:r>
    </w:p>
    <w:p w14:paraId="385A976B">
      <w:pPr>
        <w:spacing w:before="125" w:line="315" w:lineRule="auto"/>
        <w:ind w:left="458" w:right="255" w:hanging="41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a)</w:t>
      </w:r>
      <w:r>
        <w:rPr>
          <w:rFonts w:ascii="宋体" w:hAnsi="宋体" w:eastAsia="宋体" w:cs="宋体"/>
          <w:spacing w:val="3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明确的备件响应方式和级别定义，能够满足服务</w:t>
      </w:r>
      <w:r>
        <w:rPr>
          <w:rFonts w:ascii="宋体" w:hAnsi="宋体" w:eastAsia="宋体" w:cs="宋体"/>
          <w:spacing w:val="-2"/>
          <w:sz w:val="28"/>
          <w:szCs w:val="28"/>
        </w:rPr>
        <w:t>级别协议(SLA)所要求的备</w:t>
      </w:r>
      <w:r>
        <w:rPr>
          <w:rFonts w:ascii="宋体" w:hAnsi="宋体" w:eastAsia="宋体" w:cs="宋体"/>
          <w:spacing w:val="-10"/>
          <w:sz w:val="28"/>
          <w:szCs w:val="28"/>
        </w:rPr>
        <w:t>件支持。</w:t>
      </w:r>
    </w:p>
    <w:p w14:paraId="0D9BDBBB">
      <w:pPr>
        <w:spacing w:before="290" w:line="219" w:lineRule="auto"/>
        <w:ind w:left="3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b) 实施备件的供应商管理，保证备件的及时交付和备件可用性。</w:t>
      </w:r>
    </w:p>
    <w:p w14:paraId="36AFC4F7">
      <w:pPr>
        <w:spacing w:before="294" w:line="315" w:lineRule="auto"/>
        <w:ind w:left="460" w:right="115" w:hanging="4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c) 通过落实备件管理制度对备件进行入库和出库管理，提升备件管理的规范性</w:t>
      </w:r>
      <w:r>
        <w:rPr>
          <w:rFonts w:ascii="宋体" w:hAnsi="宋体" w:eastAsia="宋体" w:cs="宋体"/>
          <w:spacing w:val="-10"/>
          <w:sz w:val="28"/>
          <w:szCs w:val="28"/>
        </w:rPr>
        <w:t>和效率。</w:t>
      </w:r>
    </w:p>
    <w:p w14:paraId="0C0E1070">
      <w:pPr>
        <w:spacing w:before="292" w:line="315" w:lineRule="auto"/>
        <w:ind w:left="460" w:right="115" w:hanging="4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d) 定期对备件状态进行检测，实现备件的可用性管理，确保备件功能满足运维</w:t>
      </w:r>
      <w:r>
        <w:rPr>
          <w:rFonts w:ascii="宋体" w:hAnsi="宋体" w:eastAsia="宋体" w:cs="宋体"/>
          <w:spacing w:val="-5"/>
          <w:sz w:val="28"/>
          <w:szCs w:val="28"/>
        </w:rPr>
        <w:t>要求，提升备件可用率。</w:t>
      </w:r>
    </w:p>
    <w:p w14:paraId="53263AF3">
      <w:pPr>
        <w:spacing w:line="315" w:lineRule="auto"/>
        <w:rPr>
          <w:rFonts w:ascii="宋体" w:hAnsi="宋体" w:eastAsia="宋体" w:cs="宋体"/>
          <w:sz w:val="28"/>
          <w:szCs w:val="28"/>
        </w:rPr>
        <w:sectPr>
          <w:footerReference r:id="rId7" w:type="default"/>
          <w:pgSz w:w="11906" w:h="16839"/>
          <w:pgMar w:top="1246" w:right="1050" w:bottom="1375" w:left="1050" w:header="1231" w:footer="983" w:gutter="0"/>
          <w:cols w:space="720" w:num="1"/>
        </w:sectPr>
      </w:pPr>
    </w:p>
    <w:p w14:paraId="72FD0244">
      <w:pPr>
        <w:pStyle w:val="2"/>
        <w:spacing w:line="273" w:lineRule="auto"/>
      </w:pPr>
    </w:p>
    <w:p w14:paraId="0E2EA177">
      <w:pPr>
        <w:pStyle w:val="2"/>
        <w:spacing w:line="274" w:lineRule="auto"/>
      </w:pPr>
    </w:p>
    <w:p w14:paraId="34989A40">
      <w:pPr>
        <w:pStyle w:val="2"/>
        <w:spacing w:line="274" w:lineRule="auto"/>
      </w:pPr>
    </w:p>
    <w:p w14:paraId="7842B4C2">
      <w:pPr>
        <w:spacing w:before="120" w:line="220" w:lineRule="auto"/>
        <w:ind w:left="37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7"/>
          <w:szCs w:val="37"/>
        </w:rPr>
        <w:t>2.</w:t>
      </w:r>
      <w:r>
        <w:rPr>
          <w:rFonts w:ascii="Times New Roman" w:hAnsi="Times New Roman" w:eastAsia="Times New Roman" w:cs="Times New Roman"/>
          <w:b/>
          <w:bCs/>
          <w:spacing w:val="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37"/>
          <w:szCs w:val="37"/>
        </w:rPr>
        <w:t>库存备件数据准确率不断提升</w:t>
      </w:r>
    </w:p>
    <w:p w14:paraId="3DAD1D4B">
      <w:pPr>
        <w:pStyle w:val="2"/>
        <w:spacing w:line="273" w:lineRule="auto"/>
      </w:pPr>
    </w:p>
    <w:p w14:paraId="0CF8D3B3">
      <w:pPr>
        <w:pStyle w:val="2"/>
        <w:spacing w:line="274" w:lineRule="auto"/>
      </w:pPr>
    </w:p>
    <w:p w14:paraId="1DA3CCCF">
      <w:pPr>
        <w:spacing w:before="91" w:line="219" w:lineRule="auto"/>
        <w:ind w:left="60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从2017年开始，我司重新规划库房布局，制作新货架，并按用途对备件库</w:t>
      </w:r>
    </w:p>
    <w:p w14:paraId="159A6EA1">
      <w:pPr>
        <w:spacing w:before="212" w:line="220" w:lineRule="auto"/>
        <w:ind w:left="3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进行分类，对备品备件进行集中存放，统一管理。并通</w:t>
      </w:r>
      <w:r>
        <w:rPr>
          <w:rFonts w:ascii="宋体" w:hAnsi="宋体" w:eastAsia="宋体" w:cs="宋体"/>
          <w:spacing w:val="-1"/>
          <w:sz w:val="28"/>
          <w:szCs w:val="28"/>
        </w:rPr>
        <w:t>过运维工具等先进手段</w:t>
      </w:r>
    </w:p>
    <w:p w14:paraId="2C449203">
      <w:pPr>
        <w:spacing w:before="211" w:line="220" w:lineRule="auto"/>
        <w:ind w:left="4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来协助管理，提高效率。通过运维工具的使用，</w:t>
      </w:r>
      <w:r>
        <w:rPr>
          <w:rFonts w:ascii="宋体" w:hAnsi="宋体" w:eastAsia="宋体" w:cs="宋体"/>
          <w:spacing w:val="-1"/>
          <w:sz w:val="28"/>
          <w:szCs w:val="28"/>
        </w:rPr>
        <w:t>把备品备件的需求、计划与使</w:t>
      </w:r>
    </w:p>
    <w:p w14:paraId="645260E3">
      <w:pPr>
        <w:spacing w:before="211" w:line="220" w:lineRule="auto"/>
        <w:ind w:left="4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用紧密的结合到了一起，真正做到了备品备</w:t>
      </w:r>
      <w:r>
        <w:rPr>
          <w:rFonts w:ascii="宋体" w:hAnsi="宋体" w:eastAsia="宋体" w:cs="宋体"/>
          <w:spacing w:val="-1"/>
          <w:sz w:val="28"/>
          <w:szCs w:val="28"/>
        </w:rPr>
        <w:t>件的化利用，从而达到了理公司降</w:t>
      </w:r>
    </w:p>
    <w:p w14:paraId="7F1E846A">
      <w:pPr>
        <w:spacing w:before="211" w:line="219" w:lineRule="auto"/>
        <w:ind w:left="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低多余库存，节约成本的要求。公司通过多年的备件</w:t>
      </w:r>
      <w:r>
        <w:rPr>
          <w:rFonts w:ascii="宋体" w:hAnsi="宋体" w:eastAsia="宋体" w:cs="宋体"/>
          <w:spacing w:val="-1"/>
          <w:sz w:val="28"/>
          <w:szCs w:val="28"/>
        </w:rPr>
        <w:t>库建设，实现备件支持的</w:t>
      </w:r>
    </w:p>
    <w:p w14:paraId="38422873">
      <w:pPr>
        <w:spacing w:before="212" w:line="220" w:lineRule="auto"/>
        <w:ind w:left="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及时响应，满足运维项目备件支持 SLA 的要求，库存</w:t>
      </w:r>
      <w:r>
        <w:rPr>
          <w:rFonts w:ascii="宋体" w:hAnsi="宋体" w:eastAsia="宋体" w:cs="宋体"/>
          <w:spacing w:val="-1"/>
          <w:sz w:val="28"/>
          <w:szCs w:val="28"/>
        </w:rPr>
        <w:t>备件数据准确率由原来的</w:t>
      </w:r>
    </w:p>
    <w:p w14:paraId="43D36AC1">
      <w:pPr>
        <w:spacing w:before="211" w:line="220" w:lineRule="auto"/>
        <w:ind w:left="4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不定期统计，到现在的每季度一次，且由对库存备件数据准确率要</w:t>
      </w:r>
      <w:r>
        <w:rPr>
          <w:rFonts w:ascii="宋体" w:hAnsi="宋体" w:eastAsia="宋体" w:cs="宋体"/>
          <w:spacing w:val="-3"/>
          <w:sz w:val="28"/>
          <w:szCs w:val="28"/>
        </w:rPr>
        <w:t>求逐步提升，</w:t>
      </w:r>
    </w:p>
    <w:p w14:paraId="5DA3E273">
      <w:pPr>
        <w:spacing w:before="212" w:line="381" w:lineRule="auto"/>
        <w:ind w:left="30" w:firstLine="4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由2017年-2019年的85%，到2020年87%，再到2021年90%，再到2022年的92%，2023</w:t>
      </w:r>
      <w:r>
        <w:rPr>
          <w:rFonts w:ascii="宋体" w:hAnsi="宋体" w:eastAsia="宋体" w:cs="宋体"/>
          <w:sz w:val="28"/>
          <w:szCs w:val="28"/>
        </w:rPr>
        <w:t>年备件指标为93，2024年为94%，2025年准确率要求达到</w:t>
      </w:r>
      <w:r>
        <w:rPr>
          <w:rFonts w:ascii="宋体" w:hAnsi="宋体" w:eastAsia="宋体" w:cs="宋体"/>
          <w:spacing w:val="-1"/>
          <w:sz w:val="28"/>
          <w:szCs w:val="28"/>
        </w:rPr>
        <w:t>95%，经过统计，2025年</w:t>
      </w:r>
      <w:r>
        <w:rPr>
          <w:rFonts w:ascii="宋体" w:hAnsi="宋体" w:eastAsia="宋体" w:cs="宋体"/>
          <w:sz w:val="28"/>
          <w:szCs w:val="28"/>
        </w:rPr>
        <w:t>第一、二季度的据准确率要求达到96%，经过统计</w:t>
      </w:r>
      <w:r>
        <w:rPr>
          <w:rFonts w:ascii="宋体" w:hAnsi="宋体" w:eastAsia="宋体" w:cs="宋体"/>
          <w:spacing w:val="-1"/>
          <w:sz w:val="28"/>
          <w:szCs w:val="28"/>
        </w:rPr>
        <w:t>，2025年第一、二季度的库存备件数据准确率达到99%。</w:t>
      </w:r>
    </w:p>
    <w:p w14:paraId="1D5159C5">
      <w:pPr>
        <w:pStyle w:val="2"/>
        <w:spacing w:line="296" w:lineRule="auto"/>
      </w:pPr>
    </w:p>
    <w:p w14:paraId="0F1E3441">
      <w:pPr>
        <w:spacing w:before="121" w:line="220" w:lineRule="auto"/>
        <w:ind w:left="34"/>
        <w:outlineLvl w:val="1"/>
        <w:rPr>
          <w:rFonts w:ascii="宋体" w:hAnsi="宋体" w:eastAsia="宋体" w:cs="宋体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37"/>
          <w:szCs w:val="37"/>
        </w:rPr>
        <w:t>3.</w:t>
      </w:r>
      <w:r>
        <w:rPr>
          <w:rFonts w:ascii="Times New Roman" w:hAnsi="Times New Roman" w:eastAsia="Times New Roman" w:cs="Times New Roman"/>
          <w:b/>
          <w:bCs/>
          <w:spacing w:val="76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7"/>
          <w:szCs w:val="37"/>
        </w:rPr>
        <w:t>备件可用率不断提升</w:t>
      </w:r>
    </w:p>
    <w:p w14:paraId="2A7C35A6">
      <w:pPr>
        <w:spacing w:before="99" w:line="359" w:lineRule="auto"/>
        <w:ind w:left="39" w:right="420"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公司从引入ITSS标准后，已经通过每年的供应商考核对供应商名录进行优</w:t>
      </w:r>
      <w:r>
        <w:rPr>
          <w:rFonts w:ascii="宋体" w:hAnsi="宋体" w:eastAsia="宋体" w:cs="宋体"/>
          <w:sz w:val="28"/>
          <w:szCs w:val="28"/>
        </w:rPr>
        <w:t>化，而且通过供应商的评价工作，让公司的供应商</w:t>
      </w:r>
      <w:r>
        <w:rPr>
          <w:rFonts w:ascii="宋体" w:hAnsi="宋体" w:eastAsia="宋体" w:cs="宋体"/>
          <w:spacing w:val="-1"/>
          <w:sz w:val="28"/>
          <w:szCs w:val="28"/>
        </w:rPr>
        <w:t>意识到了竞争，明显感觉供</w:t>
      </w:r>
      <w:r>
        <w:rPr>
          <w:rFonts w:ascii="宋体" w:hAnsi="宋体" w:eastAsia="宋体" w:cs="宋体"/>
          <w:spacing w:val="-5"/>
          <w:sz w:val="28"/>
          <w:szCs w:val="28"/>
        </w:rPr>
        <w:t>应商的服务是在提升的。</w:t>
      </w:r>
    </w:p>
    <w:p w14:paraId="42B728F6">
      <w:pPr>
        <w:spacing w:before="6" w:line="359" w:lineRule="auto"/>
        <w:ind w:left="41" w:right="420" w:firstLine="56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一方面加强与备件库和供应商的合作与沟通，及时了解各备品备件的库存</w:t>
      </w:r>
      <w:r>
        <w:rPr>
          <w:rFonts w:ascii="宋体" w:hAnsi="宋体" w:eastAsia="宋体" w:cs="宋体"/>
          <w:sz w:val="28"/>
          <w:szCs w:val="28"/>
        </w:rPr>
        <w:t>情况。同时对公司各种主要设备编制了备件计</w:t>
      </w:r>
      <w:r>
        <w:rPr>
          <w:rFonts w:ascii="宋体" w:hAnsi="宋体" w:eastAsia="宋体" w:cs="宋体"/>
          <w:spacing w:val="-1"/>
          <w:sz w:val="28"/>
          <w:szCs w:val="28"/>
        </w:rPr>
        <w:t>划，主要设备的备品备件均已购</w:t>
      </w:r>
      <w:r>
        <w:rPr>
          <w:rFonts w:ascii="宋体" w:hAnsi="宋体" w:eastAsia="宋体" w:cs="宋体"/>
          <w:sz w:val="28"/>
          <w:szCs w:val="28"/>
        </w:rPr>
        <w:t>回，满足了公司的各项技改任务需要，也确保</w:t>
      </w:r>
      <w:r>
        <w:rPr>
          <w:rFonts w:ascii="宋体" w:hAnsi="宋体" w:eastAsia="宋体" w:cs="宋体"/>
          <w:spacing w:val="-1"/>
          <w:sz w:val="28"/>
          <w:szCs w:val="28"/>
        </w:rPr>
        <w:t>了公司设备的正常运转。同时落</w:t>
      </w:r>
      <w:r>
        <w:rPr>
          <w:rFonts w:ascii="宋体" w:hAnsi="宋体" w:eastAsia="宋体" w:cs="宋体"/>
          <w:sz w:val="28"/>
          <w:szCs w:val="28"/>
        </w:rPr>
        <w:t>实了公司各项新增设备采购的汇总审核工作，</w:t>
      </w:r>
      <w:r>
        <w:rPr>
          <w:rFonts w:ascii="宋体" w:hAnsi="宋体" w:eastAsia="宋体" w:cs="宋体"/>
          <w:spacing w:val="-1"/>
          <w:sz w:val="28"/>
          <w:szCs w:val="28"/>
        </w:rPr>
        <w:t>统一把关进一步规范了公司新增</w:t>
      </w:r>
      <w:r>
        <w:rPr>
          <w:rFonts w:ascii="宋体" w:hAnsi="宋体" w:eastAsia="宋体" w:cs="宋体"/>
          <w:sz w:val="28"/>
          <w:szCs w:val="28"/>
        </w:rPr>
        <w:t>设备采购计划，在满足公司正常生产的前提下</w:t>
      </w:r>
      <w:r>
        <w:rPr>
          <w:rFonts w:ascii="宋体" w:hAnsi="宋体" w:eastAsia="宋体" w:cs="宋体"/>
          <w:spacing w:val="-1"/>
          <w:sz w:val="28"/>
          <w:szCs w:val="28"/>
        </w:rPr>
        <w:t>不断优化备品备件的采购，避免</w:t>
      </w:r>
      <w:r>
        <w:rPr>
          <w:rFonts w:ascii="宋体" w:hAnsi="宋体" w:eastAsia="宋体" w:cs="宋体"/>
          <w:sz w:val="28"/>
          <w:szCs w:val="28"/>
        </w:rPr>
        <w:t>了设备采购的盲目性和重复性。稳步提高我司</w:t>
      </w:r>
      <w:r>
        <w:rPr>
          <w:rFonts w:ascii="宋体" w:hAnsi="宋体" w:eastAsia="宋体" w:cs="宋体"/>
          <w:spacing w:val="-1"/>
          <w:sz w:val="28"/>
          <w:szCs w:val="28"/>
        </w:rPr>
        <w:t>的运维效率及客户满意度。通过</w:t>
      </w:r>
    </w:p>
    <w:p w14:paraId="607EC98B">
      <w:pPr>
        <w:spacing w:line="359" w:lineRule="auto"/>
        <w:rPr>
          <w:rFonts w:ascii="宋体" w:hAnsi="宋体" w:eastAsia="宋体" w:cs="宋体"/>
          <w:sz w:val="28"/>
          <w:szCs w:val="28"/>
        </w:rPr>
        <w:sectPr>
          <w:headerReference r:id="rId8" w:type="default"/>
          <w:footerReference r:id="rId9" w:type="default"/>
          <w:pgSz w:w="11906" w:h="16839"/>
          <w:pgMar w:top="1246" w:right="885" w:bottom="1375" w:left="1050" w:header="1231" w:footer="983" w:gutter="0"/>
          <w:cols w:space="720" w:num="1"/>
        </w:sectPr>
      </w:pPr>
    </w:p>
    <w:p w14:paraId="796C0218">
      <w:pPr>
        <w:spacing w:before="234" w:line="360" w:lineRule="auto"/>
        <w:ind w:left="38" w:right="255" w:firstLine="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不断的对供应商进行评价和管理，间接保证了公司对客户提供备件更换、送修</w:t>
      </w:r>
      <w:r>
        <w:rPr>
          <w:rFonts w:ascii="宋体" w:hAnsi="宋体" w:eastAsia="宋体" w:cs="宋体"/>
          <w:sz w:val="28"/>
          <w:szCs w:val="28"/>
        </w:rPr>
        <w:t>等服务过程的效率。通过不断完善的备件可用率，按</w:t>
      </w:r>
      <w:r>
        <w:rPr>
          <w:rFonts w:ascii="宋体" w:hAnsi="宋体" w:eastAsia="宋体" w:cs="宋体"/>
          <w:spacing w:val="-1"/>
          <w:sz w:val="28"/>
          <w:szCs w:val="28"/>
        </w:rPr>
        <w:t>照行业对备品备件的严格</w:t>
      </w:r>
      <w:r>
        <w:rPr>
          <w:rFonts w:ascii="宋体" w:hAnsi="宋体" w:eastAsia="宋体" w:cs="宋体"/>
          <w:sz w:val="28"/>
          <w:szCs w:val="28"/>
        </w:rPr>
        <w:t>要求，公司运用多维度的管理，对备品备件的持续可</w:t>
      </w:r>
      <w:r>
        <w:rPr>
          <w:rFonts w:ascii="宋体" w:hAnsi="宋体" w:eastAsia="宋体" w:cs="宋体"/>
          <w:spacing w:val="-1"/>
          <w:sz w:val="28"/>
          <w:szCs w:val="28"/>
        </w:rPr>
        <w:t>靠性持续优化，可用率从</w:t>
      </w:r>
      <w:r>
        <w:rPr>
          <w:rFonts w:ascii="宋体" w:hAnsi="宋体" w:eastAsia="宋体" w:cs="宋体"/>
          <w:sz w:val="28"/>
          <w:szCs w:val="28"/>
        </w:rPr>
        <w:t>2019年度前的85%，2020年达到87%，2021</w:t>
      </w:r>
      <w:r>
        <w:rPr>
          <w:rFonts w:ascii="宋体" w:hAnsi="宋体" w:eastAsia="宋体" w:cs="宋体"/>
          <w:spacing w:val="-1"/>
          <w:sz w:val="28"/>
          <w:szCs w:val="28"/>
        </w:rPr>
        <w:t>年达到90%,2022年达到92%，2023年达到93%，2024年达到94%，2025年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可用率</w:t>
      </w:r>
      <w:bookmarkStart w:id="0" w:name="_GoBack"/>
      <w:bookmarkEnd w:id="0"/>
      <w:r>
        <w:rPr>
          <w:rFonts w:ascii="宋体" w:hAnsi="宋体" w:eastAsia="宋体" w:cs="宋体"/>
          <w:spacing w:val="-1"/>
          <w:sz w:val="28"/>
          <w:szCs w:val="28"/>
        </w:rPr>
        <w:t>达到95%。经考核，2025年第一、二</w:t>
      </w:r>
      <w:r>
        <w:rPr>
          <w:rFonts w:ascii="宋体" w:hAnsi="宋体" w:eastAsia="宋体" w:cs="宋体"/>
          <w:spacing w:val="2"/>
          <w:sz w:val="28"/>
          <w:szCs w:val="28"/>
        </w:rPr>
        <w:t>季度的备件</w:t>
      </w:r>
      <w:r>
        <w:rPr>
          <w:rFonts w:hint="eastAsia" w:ascii="宋体" w:hAnsi="宋体" w:eastAsia="宋体" w:cs="宋体"/>
          <w:spacing w:val="2"/>
          <w:sz w:val="28"/>
          <w:szCs w:val="28"/>
          <w:lang w:val="en-US" w:eastAsia="zh-CN"/>
        </w:rPr>
        <w:t>可用率</w:t>
      </w:r>
      <w:r>
        <w:rPr>
          <w:rFonts w:ascii="宋体" w:hAnsi="宋体" w:eastAsia="宋体" w:cs="宋体"/>
          <w:spacing w:val="2"/>
          <w:sz w:val="28"/>
          <w:szCs w:val="28"/>
        </w:rPr>
        <w:t>到96%。通过和交付团队的</w:t>
      </w:r>
      <w:r>
        <w:rPr>
          <w:rFonts w:ascii="宋体" w:hAnsi="宋体" w:eastAsia="宋体" w:cs="宋体"/>
          <w:spacing w:val="1"/>
          <w:sz w:val="28"/>
          <w:szCs w:val="28"/>
        </w:rPr>
        <w:t>有效协作，充分保证备件响应</w:t>
      </w:r>
      <w:r>
        <w:rPr>
          <w:rFonts w:ascii="宋体" w:hAnsi="宋体" w:eastAsia="宋体" w:cs="宋体"/>
          <w:sz w:val="28"/>
          <w:szCs w:val="28"/>
        </w:rPr>
        <w:t>的 SLA达成率。</w:t>
      </w:r>
    </w:p>
    <w:sectPr>
      <w:headerReference r:id="rId10" w:type="default"/>
      <w:footerReference r:id="rId11" w:type="default"/>
      <w:pgSz w:w="11906" w:h="16839"/>
      <w:pgMar w:top="1246" w:right="1050" w:bottom="1375" w:left="1050" w:header="1231" w:footer="9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D5190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2051" o:spid="_x0000_s2051" style="position:absolute;left:0pt;margin-left:53.2pt;margin-top:773.15pt;height:0.5pt;width:486.25pt;mso-position-horizontal-relative:page;mso-position-vertical-relative:page;z-index:251661312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2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8FE7A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2052" o:spid="_x0000_s2052" style="position:absolute;left:0pt;margin-left:53.2pt;margin-top:773.15pt;height:0.5pt;width:486.25pt;mso-position-horizontal-relative:page;mso-position-vertical-relative:page;z-index:251662336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3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79A2C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2055" o:spid="_x0000_s2055" style="position:absolute;left:0pt;margin-left:53.2pt;margin-top:773.15pt;height:0.5pt;width:486.25pt;mso-position-horizontal-relative:page;mso-position-vertical-relative:page;z-index:251665408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5"/>
        <w:sz w:val="18"/>
        <w:szCs w:val="18"/>
      </w:rPr>
      <w:t xml:space="preserve">第 </w:t>
    </w:r>
    <w:r>
      <w:rPr>
        <w:rFonts w:ascii="Calibri" w:hAnsi="Calibri" w:eastAsia="Calibri" w:cs="Calibri"/>
        <w:spacing w:val="-5"/>
        <w:sz w:val="18"/>
        <w:szCs w:val="18"/>
      </w:rPr>
      <w:t>4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5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5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5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5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64238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2058" o:spid="_x0000_s2058" style="position:absolute;left:0pt;margin-left:53.2pt;margin-top:773.15pt;height:0.5pt;width:486.25pt;mso-position-horizontal-relative:page;mso-position-vertical-relative:page;z-index:251668480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6ED9B">
    <w:pPr>
      <w:pStyle w:val="2"/>
      <w:spacing w:line="52" w:lineRule="auto"/>
      <w:rPr>
        <w:sz w:val="2"/>
      </w:rPr>
    </w:pPr>
    <w:r>
      <w:pict>
        <v:shape id="_x0000_s2049" o:spid="_x0000_s2049" style="position:absolute;left:0pt;margin-left:52.55pt;margin-top:61.55pt;height:0.75pt;width:490.25pt;mso-position-horizontal-relative:page;mso-position-vertical-relative:page;z-index:251660288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4" o:spid="_x0000_s2050" o:spt="75" type="#_x0000_t75" style="position:absolute;left:0pt;margin-left:133.35pt;margin-top:255.25pt;height:330.15pt;width:329.5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C9B22">
    <w:pPr>
      <w:pStyle w:val="2"/>
      <w:spacing w:line="52" w:lineRule="auto"/>
      <w:rPr>
        <w:sz w:val="2"/>
      </w:rPr>
    </w:pPr>
    <w:r>
      <w:pict>
        <v:shape id="_x0000_s2053" o:spid="_x0000_s2053" style="position:absolute;left:0pt;margin-left:52.55pt;margin-top:61.55pt;height:0.75pt;width:490.25pt;mso-position-horizontal-relative:page;mso-position-vertical-relative:page;z-index:251664384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12" o:spid="_x0000_s2054" o:spt="75" type="#_x0000_t75" style="position:absolute;left:0pt;margin-left:133.35pt;margin-top:255.25pt;height:330.15pt;width:329.55pt;mso-position-horizontal-relative:page;mso-position-vertical-relative:page;z-index:-251653120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D288E">
    <w:pPr>
      <w:pStyle w:val="2"/>
      <w:spacing w:line="52" w:lineRule="auto"/>
      <w:rPr>
        <w:sz w:val="2"/>
      </w:rPr>
    </w:pPr>
    <w:r>
      <w:pict>
        <v:shape id="_x0000_s2056" o:spid="_x0000_s2056" style="position:absolute;left:0pt;margin-left:52.55pt;margin-top:61.55pt;height:0.75pt;width:490.25pt;mso-position-horizontal-relative:page;mso-position-vertical-relative:page;z-index:251667456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  <w:r>
      <w:pict>
        <v:shape id="WordPictureWatermark18" o:spid="_x0000_s2057" o:spt="75" type="#_x0000_t75" style="position:absolute;left:0pt;margin-left:133.35pt;margin-top:255.25pt;height:330.15pt;width:329.55pt;mso-position-horizontal-relative:page;mso-position-vertical-relative:page;z-index:-25165004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B606153"/>
    <w:rsid w:val="243E6375"/>
    <w:rsid w:val="3A12684C"/>
    <w:rsid w:val="620677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1480</Words>
  <Characters>1625</Characters>
  <TotalTime>0</TotalTime>
  <ScaleCrop>false</ScaleCrop>
  <LinksUpToDate>false</LinksUpToDate>
  <CharactersWithSpaces>1643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2025-08-19T16:25:00Z</dcterms:created>
  <dc:creator>吕阳</dc:creator>
  <cp:lastModifiedBy>郝宇</cp:lastModifiedBy>
  <dcterms:modified xsi:type="dcterms:W3CDTF">2025-08-21T15:16:36Z</dcterms:modified>
  <dc:title>国核信息科技有限公司企业标准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2025-08-21T23:15:44Z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9D61F20197F4464A9A6640375146DF2F_12</vt:lpwstr>
  </property>
</Properties>
</file>