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633160">
      <w:pPr>
        <w:pStyle w:val="4"/>
        <w:spacing w:line="260" w:lineRule="auto"/>
      </w:pPr>
    </w:p>
    <w:p w14:paraId="2EFF6607">
      <w:pPr>
        <w:pStyle w:val="4"/>
        <w:spacing w:line="260" w:lineRule="auto"/>
      </w:pPr>
    </w:p>
    <w:p w14:paraId="570A707E">
      <w:pPr>
        <w:pStyle w:val="4"/>
        <w:spacing w:line="260" w:lineRule="auto"/>
      </w:pPr>
    </w:p>
    <w:p w14:paraId="4C8D3EE1">
      <w:pPr>
        <w:pStyle w:val="4"/>
        <w:spacing w:line="260" w:lineRule="auto"/>
      </w:pPr>
    </w:p>
    <w:p w14:paraId="2637FDB4">
      <w:pPr>
        <w:pStyle w:val="4"/>
        <w:spacing w:line="260" w:lineRule="auto"/>
      </w:pPr>
    </w:p>
    <w:p w14:paraId="7257D876">
      <w:pPr>
        <w:pStyle w:val="4"/>
        <w:spacing w:line="260" w:lineRule="auto"/>
      </w:pPr>
    </w:p>
    <w:p w14:paraId="66327E46">
      <w:pPr>
        <w:pStyle w:val="4"/>
        <w:spacing w:line="260" w:lineRule="auto"/>
      </w:pPr>
    </w:p>
    <w:p w14:paraId="2AAD8A0F">
      <w:pPr>
        <w:pStyle w:val="4"/>
        <w:spacing w:line="260" w:lineRule="auto"/>
      </w:pPr>
    </w:p>
    <w:p w14:paraId="25993CEC">
      <w:pPr>
        <w:pStyle w:val="4"/>
        <w:spacing w:line="260" w:lineRule="auto"/>
      </w:pPr>
    </w:p>
    <w:p w14:paraId="37770F6B">
      <w:pPr>
        <w:pStyle w:val="4"/>
        <w:spacing w:line="260" w:lineRule="auto"/>
      </w:pPr>
    </w:p>
    <w:p w14:paraId="5E33C924">
      <w:pPr>
        <w:spacing w:before="169" w:line="220" w:lineRule="auto"/>
        <w:ind w:left="1345"/>
        <w:outlineLvl w:val="0"/>
        <w:rPr>
          <w:rFonts w:ascii="宋体" w:hAnsi="宋体" w:eastAsia="宋体" w:cs="宋体"/>
          <w:sz w:val="52"/>
          <w:szCs w:val="52"/>
        </w:rPr>
      </w:pPr>
      <w:bookmarkStart w:id="0" w:name="_Toc16613"/>
      <w:r>
        <w:rPr>
          <w:rFonts w:hint="eastAsia" w:ascii="宋体" w:hAnsi="宋体" w:eastAsia="宋体" w:cs="宋体"/>
          <w:b/>
          <w:bCs/>
          <w:spacing w:val="-8"/>
          <w:sz w:val="52"/>
          <w:szCs w:val="52"/>
          <w:lang w:val="en-US" w:eastAsia="zh-CN"/>
        </w:rPr>
        <w:t>服务数据</w:t>
      </w:r>
      <w:r>
        <w:rPr>
          <w:rFonts w:ascii="宋体" w:hAnsi="宋体" w:eastAsia="宋体" w:cs="宋体"/>
          <w:b/>
          <w:bCs/>
          <w:spacing w:val="-8"/>
          <w:sz w:val="52"/>
          <w:szCs w:val="52"/>
        </w:rPr>
        <w:t>应用提升情况说明</w:t>
      </w:r>
      <w:bookmarkEnd w:id="0"/>
    </w:p>
    <w:p w14:paraId="738BA7DF">
      <w:pPr>
        <w:pStyle w:val="4"/>
        <w:spacing w:line="247" w:lineRule="auto"/>
      </w:pPr>
    </w:p>
    <w:p w14:paraId="5E5CD739">
      <w:pPr>
        <w:pStyle w:val="4"/>
        <w:spacing w:line="247" w:lineRule="auto"/>
      </w:pPr>
    </w:p>
    <w:p w14:paraId="4C4698A0">
      <w:pPr>
        <w:pStyle w:val="4"/>
        <w:spacing w:line="247" w:lineRule="auto"/>
      </w:pPr>
    </w:p>
    <w:p w14:paraId="64686779">
      <w:pPr>
        <w:pStyle w:val="4"/>
        <w:spacing w:line="247" w:lineRule="auto"/>
      </w:pPr>
    </w:p>
    <w:p w14:paraId="3DF7DC7D">
      <w:pPr>
        <w:pStyle w:val="4"/>
        <w:spacing w:line="247" w:lineRule="auto"/>
      </w:pPr>
    </w:p>
    <w:p w14:paraId="5A28B3FC">
      <w:pPr>
        <w:pStyle w:val="4"/>
        <w:spacing w:line="247" w:lineRule="auto"/>
      </w:pPr>
    </w:p>
    <w:p w14:paraId="038527AF">
      <w:pPr>
        <w:pStyle w:val="4"/>
        <w:spacing w:line="248" w:lineRule="auto"/>
      </w:pPr>
    </w:p>
    <w:p w14:paraId="59A486A8">
      <w:pPr>
        <w:pStyle w:val="4"/>
        <w:spacing w:line="248" w:lineRule="auto"/>
      </w:pPr>
    </w:p>
    <w:p w14:paraId="1FF09466">
      <w:pPr>
        <w:spacing w:line="1570" w:lineRule="exact"/>
        <w:ind w:firstLine="1553"/>
      </w:pPr>
      <w:r>
        <w:rPr>
          <w:position w:val="-31"/>
        </w:rPr>
        <w:drawing>
          <wp:inline distT="0" distB="0" distL="0" distR="0">
            <wp:extent cx="3341370" cy="99631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9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3D46">
      <w:pPr>
        <w:pStyle w:val="4"/>
        <w:spacing w:line="246" w:lineRule="auto"/>
      </w:pPr>
    </w:p>
    <w:p w14:paraId="0E9D47D3">
      <w:pPr>
        <w:pStyle w:val="4"/>
        <w:spacing w:line="246" w:lineRule="auto"/>
      </w:pPr>
    </w:p>
    <w:p w14:paraId="7B664223">
      <w:pPr>
        <w:pStyle w:val="4"/>
        <w:spacing w:line="246" w:lineRule="auto"/>
      </w:pPr>
    </w:p>
    <w:p w14:paraId="54285839">
      <w:pPr>
        <w:pStyle w:val="4"/>
        <w:spacing w:line="246" w:lineRule="auto"/>
      </w:pPr>
    </w:p>
    <w:p w14:paraId="0C6AF818">
      <w:pPr>
        <w:pStyle w:val="4"/>
        <w:spacing w:line="247" w:lineRule="auto"/>
      </w:pPr>
    </w:p>
    <w:p w14:paraId="2A5E11A0">
      <w:pPr>
        <w:pStyle w:val="4"/>
        <w:spacing w:line="247" w:lineRule="auto"/>
      </w:pPr>
    </w:p>
    <w:p w14:paraId="0D48B551">
      <w:pPr>
        <w:pStyle w:val="4"/>
        <w:spacing w:line="247" w:lineRule="auto"/>
      </w:pPr>
    </w:p>
    <w:p w14:paraId="19B4C6A4">
      <w:pPr>
        <w:pStyle w:val="4"/>
        <w:spacing w:line="247" w:lineRule="auto"/>
      </w:pPr>
    </w:p>
    <w:p w14:paraId="015BC7A3">
      <w:pPr>
        <w:pStyle w:val="4"/>
        <w:spacing w:line="247" w:lineRule="auto"/>
      </w:pPr>
    </w:p>
    <w:p w14:paraId="17EC7B22">
      <w:pPr>
        <w:pStyle w:val="4"/>
        <w:spacing w:line="247" w:lineRule="auto"/>
      </w:pPr>
    </w:p>
    <w:p w14:paraId="6767DC12">
      <w:pPr>
        <w:pStyle w:val="4"/>
        <w:spacing w:line="247" w:lineRule="auto"/>
      </w:pPr>
    </w:p>
    <w:p w14:paraId="7CC67398">
      <w:pPr>
        <w:pStyle w:val="4"/>
        <w:spacing w:line="247" w:lineRule="auto"/>
      </w:pPr>
    </w:p>
    <w:p w14:paraId="64B3FD78">
      <w:pPr>
        <w:pStyle w:val="4"/>
        <w:spacing w:line="247" w:lineRule="auto"/>
      </w:pPr>
    </w:p>
    <w:p w14:paraId="5ECF4DB4">
      <w:pPr>
        <w:pStyle w:val="4"/>
        <w:spacing w:line="247" w:lineRule="auto"/>
      </w:pPr>
    </w:p>
    <w:p w14:paraId="4F28633F">
      <w:pPr>
        <w:pStyle w:val="4"/>
        <w:spacing w:line="247" w:lineRule="auto"/>
      </w:pPr>
    </w:p>
    <w:p w14:paraId="7F62DF68">
      <w:pPr>
        <w:pStyle w:val="4"/>
        <w:spacing w:line="247" w:lineRule="auto"/>
      </w:pPr>
    </w:p>
    <w:p w14:paraId="01E3F5C2">
      <w:pPr>
        <w:spacing w:before="117" w:line="219" w:lineRule="auto"/>
        <w:ind w:left="167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2"/>
          <w:sz w:val="36"/>
          <w:szCs w:val="36"/>
        </w:rPr>
        <w:t>青岛慧海联创信息技术有限公司</w:t>
      </w:r>
    </w:p>
    <w:p w14:paraId="3BABA94C">
      <w:pPr>
        <w:spacing w:before="224" w:line="220" w:lineRule="auto"/>
        <w:ind w:left="2808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2025年</w:t>
      </w:r>
      <w:r>
        <w:rPr>
          <w:rFonts w:ascii="宋体" w:hAnsi="宋体" w:eastAsia="宋体" w:cs="宋体"/>
          <w:spacing w:val="-72"/>
          <w:sz w:val="36"/>
          <w:szCs w:val="36"/>
        </w:rPr>
        <w:t xml:space="preserve"> </w:t>
      </w:r>
      <w:r>
        <w:rPr>
          <w:rFonts w:ascii="宋体" w:hAnsi="宋体" w:eastAsia="宋体" w:cs="宋体"/>
          <w:spacing w:val="-10"/>
          <w:sz w:val="36"/>
          <w:szCs w:val="36"/>
        </w:rPr>
        <w:t>6</w:t>
      </w:r>
      <w:r>
        <w:rPr>
          <w:rFonts w:ascii="宋体" w:hAnsi="宋体" w:eastAsia="宋体" w:cs="宋体"/>
          <w:spacing w:val="-67"/>
          <w:sz w:val="36"/>
          <w:szCs w:val="36"/>
        </w:rPr>
        <w:t xml:space="preserve"> </w:t>
      </w:r>
      <w:r>
        <w:rPr>
          <w:rFonts w:ascii="宋体" w:hAnsi="宋体" w:eastAsia="宋体" w:cs="宋体"/>
          <w:spacing w:val="-10"/>
          <w:sz w:val="36"/>
          <w:szCs w:val="36"/>
        </w:rPr>
        <w:t>月</w:t>
      </w:r>
      <w:r>
        <w:rPr>
          <w:rFonts w:ascii="宋体" w:hAnsi="宋体" w:eastAsia="宋体" w:cs="宋体"/>
          <w:spacing w:val="-72"/>
          <w:sz w:val="36"/>
          <w:szCs w:val="36"/>
        </w:rPr>
        <w:t xml:space="preserve"> </w:t>
      </w:r>
      <w:r>
        <w:rPr>
          <w:rFonts w:ascii="宋体" w:hAnsi="宋体" w:eastAsia="宋体" w:cs="宋体"/>
          <w:spacing w:val="-10"/>
          <w:sz w:val="36"/>
          <w:szCs w:val="36"/>
        </w:rPr>
        <w:t>2</w:t>
      </w:r>
      <w:r>
        <w:rPr>
          <w:rFonts w:ascii="宋体" w:hAnsi="宋体" w:eastAsia="宋体" w:cs="宋体"/>
          <w:spacing w:val="-73"/>
          <w:sz w:val="36"/>
          <w:szCs w:val="36"/>
        </w:rPr>
        <w:t xml:space="preserve"> </w:t>
      </w:r>
      <w:r>
        <w:rPr>
          <w:rFonts w:ascii="宋体" w:hAnsi="宋体" w:eastAsia="宋体" w:cs="宋体"/>
          <w:spacing w:val="-10"/>
          <w:sz w:val="36"/>
          <w:szCs w:val="36"/>
        </w:rPr>
        <w:t>0 日</w:t>
      </w:r>
    </w:p>
    <w:p w14:paraId="114D9B04">
      <w:pPr>
        <w:spacing w:line="220" w:lineRule="auto"/>
        <w:rPr>
          <w:rFonts w:ascii="宋体" w:hAnsi="宋体" w:eastAsia="宋体" w:cs="宋体"/>
          <w:sz w:val="36"/>
          <w:szCs w:val="36"/>
        </w:rPr>
        <w:sectPr>
          <w:headerReference r:id="rId5" w:type="default"/>
          <w:pgSz w:w="11906" w:h="16839"/>
          <w:pgMar w:top="1097" w:right="1767" w:bottom="0" w:left="1768" w:header="1082" w:footer="0" w:gutter="0"/>
          <w:cols w:space="720" w:num="1"/>
        </w:sectPr>
      </w:pPr>
    </w:p>
    <w:p w14:paraId="6896B4A1">
      <w:pPr>
        <w:pStyle w:val="4"/>
        <w:spacing w:line="297" w:lineRule="auto"/>
      </w:pPr>
    </w:p>
    <w:p w14:paraId="64E2EE8B">
      <w:pPr>
        <w:pStyle w:val="4"/>
        <w:spacing w:line="297" w:lineRule="auto"/>
      </w:pPr>
    </w:p>
    <w:p w14:paraId="74409F5A">
      <w:pPr>
        <w:pStyle w:val="4"/>
        <w:spacing w:line="298" w:lineRule="auto"/>
      </w:pPr>
    </w:p>
    <w:p w14:paraId="796FD7FA">
      <w:pPr>
        <w:spacing w:before="91" w:line="220" w:lineRule="auto"/>
        <w:ind w:left="3778"/>
        <w:outlineLvl w:val="0"/>
        <w:rPr>
          <w:rFonts w:ascii="宋体" w:hAnsi="宋体" w:eastAsia="宋体" w:cs="宋体"/>
          <w:sz w:val="28"/>
          <w:szCs w:val="28"/>
        </w:rPr>
      </w:pPr>
      <w:bookmarkStart w:id="1" w:name="_Toc12306"/>
      <w:r>
        <w:rPr>
          <w:rFonts w:ascii="宋体" w:hAnsi="宋体" w:eastAsia="宋体" w:cs="宋体"/>
          <w:spacing w:val="-3"/>
          <w:sz w:val="28"/>
          <w:szCs w:val="28"/>
        </w:rPr>
        <w:t>文档信息</w:t>
      </w:r>
      <w:bookmarkEnd w:id="1"/>
    </w:p>
    <w:p w14:paraId="6F7C5F87">
      <w:pPr>
        <w:spacing w:line="131" w:lineRule="exact"/>
      </w:pPr>
    </w:p>
    <w:tbl>
      <w:tblPr>
        <w:tblStyle w:val="9"/>
        <w:tblW w:w="8639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2"/>
        <w:gridCol w:w="1557"/>
        <w:gridCol w:w="2121"/>
        <w:gridCol w:w="1698"/>
        <w:gridCol w:w="1561"/>
      </w:tblGrid>
      <w:tr w14:paraId="6C73E7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1702" w:type="dxa"/>
            <w:vAlign w:val="top"/>
          </w:tcPr>
          <w:p w14:paraId="0A271C58">
            <w:pPr>
              <w:pStyle w:val="10"/>
              <w:spacing w:before="139" w:line="220" w:lineRule="auto"/>
              <w:ind w:left="224"/>
            </w:pPr>
            <w:r>
              <w:rPr>
                <w:spacing w:val="-2"/>
              </w:rPr>
              <w:t>文档名称编号</w:t>
            </w:r>
          </w:p>
        </w:tc>
        <w:tc>
          <w:tcPr>
            <w:tcW w:w="6937" w:type="dxa"/>
            <w:gridSpan w:val="4"/>
            <w:vAlign w:val="top"/>
          </w:tcPr>
          <w:p w14:paraId="64B7A832">
            <w:pPr>
              <w:pStyle w:val="10"/>
              <w:spacing w:before="139" w:line="220" w:lineRule="auto"/>
              <w:ind w:left="108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pacing w:val="-1"/>
                <w:lang w:val="en-US" w:eastAsia="zh-CN"/>
              </w:rPr>
              <w:t>最终软件库</w:t>
            </w:r>
            <w:r>
              <w:rPr>
                <w:spacing w:val="-1"/>
              </w:rPr>
              <w:t>应用提升情况说明</w:t>
            </w:r>
            <w:r>
              <w:rPr>
                <w:rFonts w:hint="eastAsia"/>
                <w:spacing w:val="-1"/>
                <w:lang w:val="en-US" w:eastAsia="zh-CN"/>
              </w:rPr>
              <w:t>(HHLZ-ITSS-FWSJ)</w:t>
            </w:r>
          </w:p>
        </w:tc>
      </w:tr>
      <w:tr w14:paraId="5299C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 w:hRule="atLeast"/>
        </w:trPr>
        <w:tc>
          <w:tcPr>
            <w:tcW w:w="1702" w:type="dxa"/>
            <w:vAlign w:val="top"/>
          </w:tcPr>
          <w:p w14:paraId="1F22C9DA">
            <w:pPr>
              <w:pStyle w:val="10"/>
              <w:spacing w:before="136" w:line="220" w:lineRule="auto"/>
              <w:ind w:left="434"/>
            </w:pPr>
            <w:r>
              <w:rPr>
                <w:spacing w:val="-2"/>
              </w:rPr>
              <w:t>编制单位</w:t>
            </w:r>
          </w:p>
        </w:tc>
        <w:tc>
          <w:tcPr>
            <w:tcW w:w="6937" w:type="dxa"/>
            <w:gridSpan w:val="4"/>
            <w:vAlign w:val="top"/>
          </w:tcPr>
          <w:p w14:paraId="1847A1D9">
            <w:pPr>
              <w:pStyle w:val="10"/>
              <w:spacing w:before="137" w:line="219" w:lineRule="auto"/>
              <w:ind w:left="108"/>
            </w:pPr>
            <w:r>
              <w:rPr>
                <w:spacing w:val="-1"/>
              </w:rPr>
              <w:t>青岛慧海联创信息技术有限公司</w:t>
            </w:r>
          </w:p>
        </w:tc>
      </w:tr>
      <w:tr w14:paraId="645964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 w:hRule="atLeast"/>
        </w:trPr>
        <w:tc>
          <w:tcPr>
            <w:tcW w:w="1702" w:type="dxa"/>
            <w:vAlign w:val="top"/>
          </w:tcPr>
          <w:p w14:paraId="03894C85">
            <w:pPr>
              <w:pStyle w:val="10"/>
              <w:spacing w:before="139" w:line="219" w:lineRule="auto"/>
              <w:ind w:left="434"/>
            </w:pPr>
            <w:r>
              <w:rPr>
                <w:spacing w:val="-2"/>
              </w:rPr>
              <w:t>文档版本</w:t>
            </w:r>
          </w:p>
        </w:tc>
        <w:tc>
          <w:tcPr>
            <w:tcW w:w="1557" w:type="dxa"/>
            <w:vAlign w:val="top"/>
          </w:tcPr>
          <w:p w14:paraId="70047507">
            <w:pPr>
              <w:pStyle w:val="10"/>
              <w:spacing w:before="139" w:line="219" w:lineRule="auto"/>
              <w:ind w:left="360"/>
            </w:pPr>
            <w:r>
              <w:rPr>
                <w:spacing w:val="-2"/>
              </w:rPr>
              <w:t>版本日期</w:t>
            </w:r>
          </w:p>
        </w:tc>
        <w:tc>
          <w:tcPr>
            <w:tcW w:w="2121" w:type="dxa"/>
            <w:vAlign w:val="top"/>
          </w:tcPr>
          <w:p w14:paraId="1EDF90ED">
            <w:pPr>
              <w:pStyle w:val="10"/>
              <w:spacing w:before="139" w:line="219" w:lineRule="auto"/>
              <w:ind w:left="645"/>
            </w:pPr>
            <w:r>
              <w:rPr>
                <w:spacing w:val="-2"/>
              </w:rPr>
              <w:t>版本说明</w:t>
            </w:r>
          </w:p>
        </w:tc>
        <w:tc>
          <w:tcPr>
            <w:tcW w:w="1698" w:type="dxa"/>
            <w:vAlign w:val="top"/>
          </w:tcPr>
          <w:p w14:paraId="67A677EA">
            <w:pPr>
              <w:pStyle w:val="10"/>
              <w:spacing w:before="139" w:line="220" w:lineRule="auto"/>
              <w:ind w:left="593"/>
            </w:pPr>
            <w:r>
              <w:rPr>
                <w:spacing w:val="-5"/>
              </w:rPr>
              <w:t>作</w:t>
            </w:r>
            <w:r>
              <w:rPr>
                <w:spacing w:val="9"/>
              </w:rPr>
              <w:t xml:space="preserve"> </w:t>
            </w:r>
            <w:r>
              <w:rPr>
                <w:spacing w:val="-5"/>
              </w:rPr>
              <w:t>者</w:t>
            </w:r>
          </w:p>
        </w:tc>
        <w:tc>
          <w:tcPr>
            <w:tcW w:w="1561" w:type="dxa"/>
            <w:vAlign w:val="top"/>
          </w:tcPr>
          <w:p w14:paraId="48D19791">
            <w:pPr>
              <w:pStyle w:val="10"/>
              <w:spacing w:before="139" w:line="220" w:lineRule="auto"/>
              <w:ind w:left="586"/>
            </w:pPr>
            <w:r>
              <w:rPr>
                <w:spacing w:val="-5"/>
              </w:rPr>
              <w:t>审核</w:t>
            </w:r>
          </w:p>
        </w:tc>
      </w:tr>
      <w:tr w14:paraId="66E7C0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702" w:type="dxa"/>
            <w:vAlign w:val="top"/>
          </w:tcPr>
          <w:p w14:paraId="32DCE708">
            <w:pPr>
              <w:pStyle w:val="10"/>
              <w:spacing w:before="104" w:line="239" w:lineRule="auto"/>
              <w:ind w:left="637"/>
            </w:pPr>
            <w:r>
              <w:rPr>
                <w:spacing w:val="-1"/>
              </w:rPr>
              <w:t>V1.0</w:t>
            </w:r>
          </w:p>
        </w:tc>
        <w:tc>
          <w:tcPr>
            <w:tcW w:w="1557" w:type="dxa"/>
            <w:vAlign w:val="top"/>
          </w:tcPr>
          <w:p w14:paraId="3FEEFC3F">
            <w:pPr>
              <w:pStyle w:val="10"/>
              <w:spacing w:before="104"/>
              <w:ind w:left="362"/>
            </w:pPr>
            <w:r>
              <w:rPr>
                <w:spacing w:val="-2"/>
              </w:rPr>
              <w:t>2025-6-20</w:t>
            </w:r>
          </w:p>
        </w:tc>
        <w:tc>
          <w:tcPr>
            <w:tcW w:w="2121" w:type="dxa"/>
            <w:vAlign w:val="top"/>
          </w:tcPr>
          <w:p w14:paraId="3BF3DD72">
            <w:pPr>
              <w:pStyle w:val="10"/>
              <w:spacing w:before="74" w:line="219" w:lineRule="auto"/>
              <w:ind w:left="647"/>
            </w:pPr>
            <w:r>
              <w:rPr>
                <w:spacing w:val="-3"/>
              </w:rPr>
              <w:t>发布版本</w:t>
            </w:r>
          </w:p>
        </w:tc>
        <w:tc>
          <w:tcPr>
            <w:tcW w:w="1698" w:type="dxa"/>
            <w:vAlign w:val="top"/>
          </w:tcPr>
          <w:p w14:paraId="6221AC9B">
            <w:pPr>
              <w:pStyle w:val="10"/>
              <w:spacing w:before="75" w:line="220" w:lineRule="auto"/>
              <w:ind w:left="550"/>
            </w:pPr>
            <w:r>
              <w:rPr>
                <w:spacing w:val="-5"/>
              </w:rPr>
              <w:t>宫海亭</w:t>
            </w:r>
          </w:p>
        </w:tc>
        <w:tc>
          <w:tcPr>
            <w:tcW w:w="1561" w:type="dxa"/>
            <w:vAlign w:val="top"/>
          </w:tcPr>
          <w:p w14:paraId="1400F166">
            <w:pPr>
              <w:pStyle w:val="10"/>
              <w:spacing w:before="74" w:line="220" w:lineRule="auto"/>
              <w:ind w:left="476"/>
            </w:pPr>
            <w:r>
              <w:rPr>
                <w:spacing w:val="-3"/>
              </w:rPr>
              <w:t>张仲全</w:t>
            </w:r>
          </w:p>
        </w:tc>
      </w:tr>
      <w:tr w14:paraId="1C388D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702" w:type="dxa"/>
            <w:vAlign w:val="top"/>
          </w:tcPr>
          <w:p w14:paraId="031C4FD3">
            <w:pPr>
              <w:rPr>
                <w:rFonts w:ascii="Arial"/>
                <w:sz w:val="21"/>
              </w:rPr>
            </w:pPr>
          </w:p>
        </w:tc>
        <w:tc>
          <w:tcPr>
            <w:tcW w:w="1557" w:type="dxa"/>
            <w:vAlign w:val="top"/>
          </w:tcPr>
          <w:p w14:paraId="26BD590B">
            <w:pPr>
              <w:rPr>
                <w:rFonts w:ascii="Arial"/>
                <w:sz w:val="21"/>
              </w:rPr>
            </w:pPr>
          </w:p>
        </w:tc>
        <w:tc>
          <w:tcPr>
            <w:tcW w:w="2121" w:type="dxa"/>
            <w:vAlign w:val="top"/>
          </w:tcPr>
          <w:p w14:paraId="041474DB">
            <w:pPr>
              <w:rPr>
                <w:rFonts w:ascii="Arial"/>
                <w:sz w:val="21"/>
              </w:rPr>
            </w:pPr>
          </w:p>
        </w:tc>
        <w:tc>
          <w:tcPr>
            <w:tcW w:w="1698" w:type="dxa"/>
            <w:vAlign w:val="top"/>
          </w:tcPr>
          <w:p w14:paraId="6BADAA54">
            <w:pPr>
              <w:rPr>
                <w:rFonts w:ascii="Arial"/>
                <w:sz w:val="21"/>
              </w:rPr>
            </w:pPr>
          </w:p>
        </w:tc>
        <w:tc>
          <w:tcPr>
            <w:tcW w:w="1561" w:type="dxa"/>
            <w:vAlign w:val="top"/>
          </w:tcPr>
          <w:p w14:paraId="5D189245">
            <w:pPr>
              <w:rPr>
                <w:rFonts w:ascii="Arial"/>
                <w:sz w:val="21"/>
              </w:rPr>
            </w:pPr>
          </w:p>
        </w:tc>
      </w:tr>
      <w:tr w14:paraId="6257E1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1702" w:type="dxa"/>
            <w:vAlign w:val="top"/>
          </w:tcPr>
          <w:p w14:paraId="0C207C78">
            <w:pPr>
              <w:rPr>
                <w:rFonts w:ascii="Arial"/>
                <w:sz w:val="21"/>
              </w:rPr>
            </w:pPr>
          </w:p>
        </w:tc>
        <w:tc>
          <w:tcPr>
            <w:tcW w:w="1557" w:type="dxa"/>
            <w:vAlign w:val="top"/>
          </w:tcPr>
          <w:p w14:paraId="3CE4D6EA">
            <w:pPr>
              <w:rPr>
                <w:rFonts w:ascii="Arial"/>
                <w:sz w:val="21"/>
              </w:rPr>
            </w:pPr>
          </w:p>
        </w:tc>
        <w:tc>
          <w:tcPr>
            <w:tcW w:w="2121" w:type="dxa"/>
            <w:vAlign w:val="top"/>
          </w:tcPr>
          <w:p w14:paraId="13180122">
            <w:pPr>
              <w:rPr>
                <w:rFonts w:ascii="Arial"/>
                <w:sz w:val="21"/>
              </w:rPr>
            </w:pPr>
          </w:p>
        </w:tc>
        <w:tc>
          <w:tcPr>
            <w:tcW w:w="1698" w:type="dxa"/>
            <w:vAlign w:val="top"/>
          </w:tcPr>
          <w:p w14:paraId="5BC7C3FC">
            <w:pPr>
              <w:rPr>
                <w:rFonts w:ascii="Arial"/>
                <w:sz w:val="21"/>
              </w:rPr>
            </w:pPr>
          </w:p>
        </w:tc>
        <w:tc>
          <w:tcPr>
            <w:tcW w:w="1561" w:type="dxa"/>
            <w:vAlign w:val="top"/>
          </w:tcPr>
          <w:p w14:paraId="5D407DE5">
            <w:pPr>
              <w:rPr>
                <w:rFonts w:ascii="Arial"/>
                <w:sz w:val="21"/>
              </w:rPr>
            </w:pPr>
          </w:p>
        </w:tc>
      </w:tr>
      <w:tr w14:paraId="15E8F6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9" w:hRule="atLeast"/>
        </w:trPr>
        <w:tc>
          <w:tcPr>
            <w:tcW w:w="1702" w:type="dxa"/>
            <w:vAlign w:val="top"/>
          </w:tcPr>
          <w:p w14:paraId="5EB51B8D">
            <w:pPr>
              <w:rPr>
                <w:rFonts w:ascii="Arial"/>
                <w:sz w:val="21"/>
              </w:rPr>
            </w:pPr>
          </w:p>
        </w:tc>
        <w:tc>
          <w:tcPr>
            <w:tcW w:w="1557" w:type="dxa"/>
            <w:vAlign w:val="top"/>
          </w:tcPr>
          <w:p w14:paraId="5E763D3C">
            <w:pPr>
              <w:rPr>
                <w:rFonts w:ascii="Arial"/>
                <w:sz w:val="21"/>
              </w:rPr>
            </w:pPr>
          </w:p>
        </w:tc>
        <w:tc>
          <w:tcPr>
            <w:tcW w:w="2121" w:type="dxa"/>
            <w:vAlign w:val="top"/>
          </w:tcPr>
          <w:p w14:paraId="0E50EF06">
            <w:pPr>
              <w:rPr>
                <w:rFonts w:ascii="Arial"/>
                <w:sz w:val="21"/>
              </w:rPr>
            </w:pPr>
          </w:p>
        </w:tc>
        <w:tc>
          <w:tcPr>
            <w:tcW w:w="1698" w:type="dxa"/>
            <w:vAlign w:val="top"/>
          </w:tcPr>
          <w:p w14:paraId="5C369CC1">
            <w:pPr>
              <w:rPr>
                <w:rFonts w:ascii="Arial"/>
                <w:sz w:val="21"/>
              </w:rPr>
            </w:pPr>
          </w:p>
        </w:tc>
        <w:tc>
          <w:tcPr>
            <w:tcW w:w="1561" w:type="dxa"/>
            <w:vAlign w:val="top"/>
          </w:tcPr>
          <w:p w14:paraId="5E85FDA4">
            <w:pPr>
              <w:rPr>
                <w:rFonts w:ascii="Arial"/>
                <w:sz w:val="21"/>
              </w:rPr>
            </w:pPr>
          </w:p>
        </w:tc>
      </w:tr>
    </w:tbl>
    <w:p w14:paraId="0FCC609A">
      <w:pPr>
        <w:pStyle w:val="4"/>
      </w:pPr>
    </w:p>
    <w:p w14:paraId="66A88464">
      <w:pPr>
        <w:sectPr>
          <w:headerReference r:id="rId6" w:type="default"/>
          <w:pgSz w:w="11906" w:h="16839"/>
          <w:pgMar w:top="1097" w:right="1627" w:bottom="0" w:left="1628" w:header="1082" w:footer="0" w:gutter="0"/>
          <w:cols w:space="720" w:num="1"/>
        </w:sectPr>
      </w:pPr>
      <w:bookmarkStart w:id="8" w:name="_GoBack"/>
      <w:bookmarkEnd w:id="8"/>
    </w:p>
    <w:p w14:paraId="663AAC5B">
      <w:pPr>
        <w:pStyle w:val="4"/>
        <w:spacing w:line="258" w:lineRule="auto"/>
      </w:pPr>
    </w:p>
    <w:p w14:paraId="021F5442">
      <w:pPr>
        <w:pStyle w:val="4"/>
        <w:spacing w:line="258" w:lineRule="auto"/>
      </w:pPr>
    </w:p>
    <w:p w14:paraId="05ECEDBA">
      <w:pPr>
        <w:pStyle w:val="4"/>
        <w:spacing w:line="258" w:lineRule="auto"/>
      </w:pPr>
    </w:p>
    <w:p w14:paraId="3B6D8B3F">
      <w:pPr>
        <w:pStyle w:val="4"/>
        <w:spacing w:line="258" w:lineRule="auto"/>
      </w:pPr>
    </w:p>
    <w:p w14:paraId="041BE505">
      <w:pPr>
        <w:pStyle w:val="4"/>
        <w:spacing w:line="258" w:lineRule="auto"/>
      </w:pPr>
    </w:p>
    <w:p w14:paraId="6EE8CBDC">
      <w:pPr>
        <w:pStyle w:val="4"/>
        <w:spacing w:line="258" w:lineRule="auto"/>
      </w:pPr>
    </w:p>
    <w:sdt>
      <w:sdtPr>
        <w:rPr>
          <w:rFonts w:ascii="宋体" w:hAnsi="宋体" w:eastAsia="宋体" w:cs="Arial"/>
          <w:snapToGrid w:val="0"/>
          <w:color w:val="000000"/>
          <w:kern w:val="0"/>
          <w:sz w:val="21"/>
          <w:szCs w:val="21"/>
          <w:lang w:val="en-US" w:eastAsia="en-US" w:bidi="ar-SA"/>
        </w:rPr>
        <w:id w:val="147473109"/>
        <w15:color w:val="DBDBDB"/>
        <w:docPartObj>
          <w:docPartGallery w:val="Table of Contents"/>
          <w:docPartUnique/>
        </w:docPartObj>
      </w:sdtPr>
      <w:sdtEndPr>
        <w:rPr>
          <w:rFonts w:ascii="Cambria" w:hAnsi="Cambria" w:eastAsia="Cambria" w:cs="Cambria"/>
          <w:snapToGrid w:val="0"/>
          <w:color w:val="000000"/>
          <w:kern w:val="0"/>
          <w:sz w:val="21"/>
          <w:szCs w:val="24"/>
          <w:lang w:val="en-US" w:eastAsia="en-US" w:bidi="ar-SA"/>
        </w:rPr>
      </w:sdtEndPr>
      <w:sdtContent>
        <w:p w14:paraId="3B5C45B4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2710FD19">
          <w:pPr>
            <w:pStyle w:val="5"/>
            <w:tabs>
              <w:tab w:val="right" w:leader="dot" w:pos="9724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ascii="Cambria" w:hAnsi="Cambria" w:eastAsia="Cambria" w:cs="Cambria"/>
              <w:sz w:val="24"/>
              <w:szCs w:val="24"/>
            </w:rPr>
            <w:fldChar w:fldCharType="begin"/>
          </w:r>
          <w:r>
            <w:rPr>
              <w:rFonts w:ascii="Cambria" w:hAnsi="Cambria" w:eastAsia="Cambria" w:cs="Cambria"/>
              <w:sz w:val="24"/>
              <w:szCs w:val="24"/>
            </w:rPr>
            <w:instrText xml:space="preserve">TOC \o "1-3" \h \u </w:instrText>
          </w:r>
          <w:r>
            <w:rPr>
              <w:rFonts w:ascii="Cambria" w:hAnsi="Cambria" w:eastAsia="Cambria" w:cs="Cambria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_Toc16613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  <w:lang w:val="en-US" w:eastAsia="zh-CN"/>
            </w:rPr>
            <w:t>服务数据</w:t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应用提升情况说明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_Toc16613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1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21213B6F">
          <w:pPr>
            <w:pStyle w:val="5"/>
            <w:tabs>
              <w:tab w:val="right" w:leader="dot" w:pos="9724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_Toc12306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pacing w:val="-3"/>
              <w:sz w:val="24"/>
              <w:szCs w:val="24"/>
            </w:rPr>
            <w:t>文档信息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_Toc12306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2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3851C90B">
          <w:pPr>
            <w:pStyle w:val="5"/>
            <w:tabs>
              <w:tab w:val="right" w:leader="dot" w:pos="9724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_Toc31292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1．慧海联创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  <w:lang w:val="en-US" w:eastAsia="zh-CN"/>
            </w:rPr>
            <w:t>服务数据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概况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_Toc31292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4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2802633C">
          <w:pPr>
            <w:pStyle w:val="5"/>
            <w:tabs>
              <w:tab w:val="right" w:leader="dot" w:pos="9724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_Toc28701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2.严格要求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  <w:lang w:val="en-US" w:eastAsia="zh-CN"/>
            </w:rPr>
            <w:t>服务数据管理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工作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_Toc28701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4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5833EE69">
          <w:pPr>
            <w:pStyle w:val="6"/>
            <w:tabs>
              <w:tab w:val="right" w:leader="dot" w:pos="9724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_Toc32524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  <w:lang w:val="en-US" w:eastAsia="zh-CN"/>
            </w:rPr>
            <w:t>2.1指标完成情况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_Toc32524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5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0DBCAAC0">
          <w:pPr>
            <w:pStyle w:val="6"/>
            <w:tabs>
              <w:tab w:val="right" w:leader="dot" w:pos="9724"/>
            </w:tabs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_Toc30587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  <w:lang w:val="en-US" w:eastAsia="zh-CN"/>
            </w:rPr>
            <w:t>2.2问题改进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_Toc30587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5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5AA19AEF">
          <w:pPr>
            <w:spacing w:line="220" w:lineRule="auto"/>
            <w:rPr>
              <w:rFonts w:ascii="Cambria" w:hAnsi="Cambria" w:eastAsia="Cambria" w:cs="Cambria"/>
              <w:snapToGrid w:val="0"/>
              <w:color w:val="000000"/>
              <w:kern w:val="0"/>
              <w:sz w:val="21"/>
              <w:szCs w:val="24"/>
              <w:lang w:val="en-US" w:eastAsia="en-US" w:bidi="ar-SA"/>
            </w:rPr>
          </w:pPr>
          <w:r>
            <w:rPr>
              <w:rFonts w:ascii="Cambria" w:hAnsi="Cambria" w:eastAsia="Cambria" w:cs="Cambria"/>
              <w:szCs w:val="24"/>
            </w:rPr>
            <w:fldChar w:fldCharType="end"/>
          </w:r>
        </w:p>
      </w:sdtContent>
    </w:sdt>
    <w:p w14:paraId="74519158">
      <w:pPr>
        <w:spacing w:line="220" w:lineRule="auto"/>
        <w:rPr>
          <w:rFonts w:ascii="Cambria" w:hAnsi="Cambria" w:eastAsia="Cambria" w:cs="Cambria"/>
          <w:snapToGrid w:val="0"/>
          <w:color w:val="000000"/>
          <w:kern w:val="0"/>
          <w:sz w:val="21"/>
          <w:szCs w:val="24"/>
          <w:lang w:val="en-US" w:eastAsia="en-US" w:bidi="ar-SA"/>
        </w:rPr>
        <w:sectPr>
          <w:headerReference r:id="rId7" w:type="default"/>
          <w:footerReference r:id="rId8" w:type="default"/>
          <w:pgSz w:w="11906" w:h="16839"/>
          <w:pgMar w:top="400" w:right="1090" w:bottom="1157" w:left="1092" w:header="0" w:footer="990" w:gutter="0"/>
          <w:cols w:space="720" w:num="1"/>
        </w:sectPr>
      </w:pPr>
    </w:p>
    <w:p w14:paraId="068CED0B">
      <w:pPr>
        <w:pStyle w:val="4"/>
        <w:spacing w:line="242" w:lineRule="auto"/>
      </w:pPr>
    </w:p>
    <w:p w14:paraId="352F270E">
      <w:pPr>
        <w:pStyle w:val="4"/>
        <w:spacing w:line="242" w:lineRule="auto"/>
      </w:pPr>
    </w:p>
    <w:p w14:paraId="5C3A3182">
      <w:pPr>
        <w:pStyle w:val="4"/>
        <w:spacing w:line="243" w:lineRule="auto"/>
      </w:pPr>
    </w:p>
    <w:p w14:paraId="3BD5A88C">
      <w:pPr>
        <w:pStyle w:val="4"/>
        <w:spacing w:line="243" w:lineRule="auto"/>
      </w:pPr>
    </w:p>
    <w:p w14:paraId="76E76724">
      <w:pPr>
        <w:pStyle w:val="2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eastAsia" w:ascii="宋体" w:hAnsi="宋体" w:eastAsia="宋体" w:cs="宋体"/>
          <w:sz w:val="28"/>
          <w:szCs w:val="28"/>
        </w:rPr>
      </w:pPr>
      <w:bookmarkStart w:id="2" w:name="bookmark1"/>
      <w:bookmarkEnd w:id="2"/>
      <w:bookmarkStart w:id="3" w:name="_Toc31292"/>
      <w:r>
        <w:rPr>
          <w:rFonts w:hint="eastAsia" w:ascii="宋体" w:hAnsi="宋体" w:eastAsia="宋体" w:cs="宋体"/>
          <w:sz w:val="28"/>
          <w:szCs w:val="28"/>
        </w:rPr>
        <w:t>1．慧海联创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服务数据</w:t>
      </w:r>
      <w:r>
        <w:rPr>
          <w:rFonts w:hint="eastAsia" w:ascii="宋体" w:hAnsi="宋体" w:eastAsia="宋体" w:cs="宋体"/>
          <w:sz w:val="28"/>
          <w:szCs w:val="28"/>
        </w:rPr>
        <w:t>概况</w:t>
      </w:r>
      <w:bookmarkEnd w:id="3"/>
    </w:p>
    <w:p w14:paraId="3B321529">
      <w:pPr>
        <w:spacing w:before="266" w:line="348" w:lineRule="auto"/>
        <w:ind w:left="1" w:right="287" w:firstLine="559"/>
        <w:rPr>
          <w:rFonts w:hint="eastAsia" w:ascii="宋体" w:hAnsi="宋体" w:eastAsia="宋体" w:cs="宋体"/>
          <w:spacing w:val="-1"/>
          <w:sz w:val="28"/>
          <w:szCs w:val="28"/>
          <w:lang w:val="en-US" w:eastAsia="zh-CN"/>
        </w:rPr>
      </w:pPr>
      <w:bookmarkStart w:id="4" w:name="bookmark1"/>
      <w:bookmarkEnd w:id="4"/>
      <w:r>
        <w:rPr>
          <w:rFonts w:hint="eastAsia" w:ascii="宋体" w:hAnsi="宋体" w:eastAsia="宋体" w:cs="宋体"/>
          <w:spacing w:val="-1"/>
          <w:sz w:val="28"/>
          <w:szCs w:val="28"/>
          <w:lang w:val="en-US" w:eastAsia="zh-CN"/>
        </w:rPr>
        <w:t>随着公司《服务数据管理制度》的制定和实施，明确了流程执行原则，服务数据的使用和管理能力逐渐提升。服务数据是运维过程中产生的各类数据集合，包括系统性能数据（如 CPU 使用率、响应时间）、服务台工单数据（如故障类型、处理时长）、用户反馈数据等。其核心作用是 “驱动运维从‘被动响应 ’向‘主动优化 ’转型 ”。</w:t>
      </w:r>
    </w:p>
    <w:p w14:paraId="5BACFA7C">
      <w:pPr>
        <w:pStyle w:val="2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eastAsia" w:ascii="宋体" w:hAnsi="宋体" w:eastAsia="宋体" w:cs="宋体"/>
          <w:sz w:val="28"/>
          <w:szCs w:val="28"/>
        </w:rPr>
      </w:pPr>
      <w:bookmarkStart w:id="5" w:name="_Toc28701"/>
      <w:r>
        <w:rPr>
          <w:rFonts w:hint="eastAsia" w:ascii="宋体" w:hAnsi="宋体" w:eastAsia="宋体" w:cs="宋体"/>
          <w:sz w:val="28"/>
          <w:szCs w:val="28"/>
        </w:rPr>
        <w:t>2.严格要求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服务数据管理</w:t>
      </w:r>
      <w:r>
        <w:rPr>
          <w:rFonts w:hint="eastAsia" w:ascii="宋体" w:hAnsi="宋体" w:eastAsia="宋体" w:cs="宋体"/>
          <w:sz w:val="28"/>
          <w:szCs w:val="28"/>
        </w:rPr>
        <w:t>工作</w:t>
      </w:r>
      <w:bookmarkEnd w:id="5"/>
    </w:p>
    <w:p w14:paraId="79660777">
      <w:pPr>
        <w:spacing w:before="266" w:line="348" w:lineRule="auto"/>
        <w:ind w:left="1" w:right="287" w:firstLine="559"/>
        <w:rPr>
          <w:rFonts w:hint="eastAsia" w:ascii="宋体" w:hAnsi="宋体" w:eastAsia="宋体" w:cs="宋体"/>
          <w:spacing w:val="-1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pacing w:val="-1"/>
          <w:sz w:val="28"/>
          <w:szCs w:val="28"/>
          <w:lang w:val="en-US" w:eastAsia="zh-CN"/>
        </w:rPr>
        <w:t>数据采集与分析</w:t>
      </w:r>
    </w:p>
    <w:p w14:paraId="44DC1C6F">
      <w:pPr>
        <w:spacing w:before="266" w:line="348" w:lineRule="auto"/>
        <w:ind w:left="1" w:right="287" w:firstLine="559"/>
        <w:rPr>
          <w:rFonts w:hint="eastAsia" w:ascii="宋体" w:hAnsi="宋体" w:eastAsia="宋体" w:cs="宋体"/>
          <w:spacing w:val="-1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pacing w:val="-1"/>
          <w:sz w:val="28"/>
          <w:szCs w:val="28"/>
          <w:lang w:val="en-US" w:eastAsia="zh-CN"/>
        </w:rPr>
        <w:t>采集范围：包括监控数据系统性能数据等。运用H3C智能管理中心进行可视化分析，通过数据分析确保数据安全和数据质量。H3C智能管理中心仪表盘可视化展示：</w:t>
      </w:r>
    </w:p>
    <w:p w14:paraId="2B4C9F64">
      <w:pPr>
        <w:spacing w:before="267" w:line="360" w:lineRule="auto"/>
        <w:ind w:right="357"/>
        <w:jc w:val="both"/>
      </w:pPr>
      <w:r>
        <w:drawing>
          <wp:inline distT="0" distB="0" distL="114300" distR="114300">
            <wp:extent cx="6027420" cy="2858770"/>
            <wp:effectExtent l="0" t="0" r="762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28690" cy="2790190"/>
            <wp:effectExtent l="0" t="0" r="635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EF9A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6" w:name="_Toc32524"/>
      <w:r>
        <w:rPr>
          <w:rFonts w:hint="eastAsia"/>
          <w:sz w:val="24"/>
          <w:szCs w:val="24"/>
          <w:lang w:val="en-US" w:eastAsia="zh-CN"/>
        </w:rPr>
        <w:t>2.1指标完成情况</w:t>
      </w:r>
      <w:bookmarkEnd w:id="6"/>
    </w:p>
    <w:p w14:paraId="46F13D99">
      <w:pPr>
        <w:spacing w:before="78" w:line="362" w:lineRule="auto"/>
        <w:ind w:left="24" w:right="123" w:firstLine="23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3"/>
          <w:sz w:val="24"/>
          <w:szCs w:val="24"/>
        </w:rPr>
        <w:t>运维服务</w:t>
      </w:r>
      <w:r>
        <w:rPr>
          <w:rFonts w:ascii="宋体" w:hAnsi="宋体" w:eastAsia="宋体" w:cs="宋体"/>
          <w:sz w:val="24"/>
          <w:szCs w:val="24"/>
        </w:rPr>
        <w:t>KPI</w:t>
      </w:r>
      <w:r>
        <w:rPr>
          <w:rFonts w:ascii="宋体" w:hAnsi="宋体" w:eastAsia="宋体" w:cs="宋体"/>
          <w:spacing w:val="-4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3"/>
          <w:sz w:val="24"/>
          <w:szCs w:val="24"/>
        </w:rPr>
        <w:t>指标中</w:t>
      </w:r>
      <w:r>
        <w:rPr>
          <w:rFonts w:hint="eastAsia" w:ascii="宋体" w:hAnsi="宋体" w:eastAsia="宋体" w:cs="宋体"/>
          <w:spacing w:val="3"/>
          <w:sz w:val="24"/>
          <w:szCs w:val="24"/>
          <w:lang w:val="en-US" w:eastAsia="zh-CN"/>
        </w:rPr>
        <w:t>要求服务数据的季度分析利用次数≥1次</w:t>
      </w:r>
      <w:r>
        <w:rPr>
          <w:rFonts w:ascii="宋体" w:hAnsi="宋体" w:eastAsia="宋体" w:cs="宋体"/>
          <w:spacing w:val="2"/>
          <w:sz w:val="24"/>
          <w:szCs w:val="24"/>
        </w:rPr>
        <w:t>，</w:t>
      </w:r>
      <w:r>
        <w:rPr>
          <w:rFonts w:hint="eastAsia" w:ascii="宋体" w:hAnsi="宋体" w:eastAsia="宋体" w:cs="宋体"/>
          <w:spacing w:val="2"/>
          <w:sz w:val="24"/>
          <w:szCs w:val="24"/>
          <w:lang w:val="en-US" w:eastAsia="zh-CN"/>
        </w:rPr>
        <w:t>2025年第一、二季度服务数据分析利用次数</w:t>
      </w:r>
      <w:r>
        <w:rPr>
          <w:rFonts w:ascii="宋体" w:hAnsi="宋体" w:eastAsia="宋体" w:cs="宋体"/>
          <w:spacing w:val="-4"/>
          <w:sz w:val="24"/>
          <w:szCs w:val="24"/>
        </w:rPr>
        <w:t>达到公司指标要求。目前公司服务数据管理情况良好，但仍有提升的空间。</w:t>
      </w:r>
    </w:p>
    <w:p w14:paraId="2B6E43AF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7" w:name="_Toc30587"/>
      <w:r>
        <w:rPr>
          <w:rFonts w:hint="eastAsia"/>
          <w:sz w:val="24"/>
          <w:szCs w:val="24"/>
          <w:lang w:val="en-US" w:eastAsia="zh-CN"/>
        </w:rPr>
        <w:t>2.2问题改进</w:t>
      </w:r>
      <w:bookmarkEnd w:id="7"/>
    </w:p>
    <w:p w14:paraId="038803FA">
      <w:pPr>
        <w:spacing w:before="78" w:line="362" w:lineRule="auto"/>
        <w:ind w:left="24" w:right="123" w:firstLine="239"/>
        <w:rPr>
          <w:rFonts w:ascii="宋体" w:hAnsi="宋体" w:eastAsia="宋体" w:cs="宋体"/>
          <w:spacing w:val="-4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数据孤岛现象依然存在，部分系统的数据尚未接入数据库汇总，导致数据分析的全面性受到影响。</w:t>
      </w:r>
    </w:p>
    <w:p w14:paraId="7E643389">
      <w:pPr>
        <w:rPr>
          <w:rFonts w:hint="default"/>
          <w:lang w:val="en-US" w:eastAsia="zh-CN"/>
        </w:rPr>
      </w:pPr>
    </w:p>
    <w:sectPr>
      <w:headerReference r:id="rId9" w:type="default"/>
      <w:footerReference r:id="rId10" w:type="default"/>
      <w:pgSz w:w="11906" w:h="16839"/>
      <w:pgMar w:top="400" w:right="1305" w:bottom="885" w:left="1088" w:header="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162F6A">
    <w:pPr>
      <w:spacing w:line="178" w:lineRule="auto"/>
      <w:ind w:left="4822"/>
      <w:rPr>
        <w:rFonts w:ascii="Cambria" w:hAnsi="Cambria" w:eastAsia="Cambria" w:cs="Cambria"/>
        <w:sz w:val="18"/>
        <w:szCs w:val="18"/>
      </w:rPr>
    </w:pPr>
    <w:r>
      <w:rPr>
        <w:rFonts w:ascii="Cambria" w:hAnsi="Cambria" w:eastAsia="Cambria" w:cs="Cambria"/>
        <w:sz w:val="18"/>
        <w:szCs w:val="18"/>
      </w:rPr>
      <w:t>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15CB47">
    <w:pPr>
      <w:spacing w:line="177" w:lineRule="auto"/>
      <w:ind w:left="4827"/>
      <w:rPr>
        <w:rFonts w:ascii="Cambria" w:hAnsi="Cambria" w:eastAsia="Cambria" w:cs="Cambria"/>
        <w:sz w:val="18"/>
        <w:szCs w:val="18"/>
      </w:rPr>
    </w:pPr>
    <w:r>
      <w:rPr>
        <w:rFonts w:ascii="Cambria" w:hAnsi="Cambria" w:eastAsia="Cambria" w:cs="Cambria"/>
        <w:sz w:val="18"/>
        <w:szCs w:val="18"/>
      </w:rPr>
      <w:t>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385341">
    <w:pPr>
      <w:pStyle w:val="4"/>
      <w:spacing w:line="52" w:lineRule="auto"/>
      <w:rPr>
        <w:sz w:val="2"/>
      </w:rPr>
    </w:pPr>
    <w:r>
      <w:pict>
        <v:shape id="_x0000_s4097" o:spid="_x0000_s4097" style="position:absolute;left:0pt;margin-left:88.4pt;margin-top:54.1pt;height:0.75pt;width:418.5pt;mso-position-horizontal-relative:page;mso-position-vertical-relative:page;z-index:251659264;mso-width-relative:page;mso-height-relative:page;" filled="f" stroked="t" coordsize="8370,15" o:allowincell="f" path="m0,7l8369,7e">
          <v:fill on="f" focussize="0,0"/>
          <v:stroke color="#000000" miterlimit="10" joinstyle="miter"/>
          <v:imagedata o:title=""/>
          <o:lock v:ext="edi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95873A">
    <w:pPr>
      <w:pStyle w:val="4"/>
      <w:spacing w:line="52" w:lineRule="auto"/>
      <w:rPr>
        <w:sz w:val="2"/>
      </w:rPr>
    </w:pPr>
    <w:r>
      <w:pict>
        <v:shape id="_x0000_s4098" o:spid="_x0000_s4098" style="position:absolute;left:0pt;margin-left:88.4pt;margin-top:54.1pt;height:0.75pt;width:418.5pt;mso-position-horizontal-relative:page;mso-position-vertical-relative:page;z-index:251660288;mso-width-relative:page;mso-height-relative:page;" filled="f" stroked="t" coordsize="8370,15" o:allowincell="f" path="m0,7l8369,7e">
          <v:fill on="f" focussize="0,0"/>
          <v:stroke color="#000000" miterlimit="10" joinstyle="miter"/>
          <v:imagedata o:title=""/>
          <o:lock v:ext="edi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34C966">
    <w:pPr>
      <w:pStyle w:val="4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234E94">
    <w:pPr>
      <w:pStyle w:val="4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documentProtection w:enforcement="0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00312627"/>
    <w:rsid w:val="00EE260F"/>
    <w:rsid w:val="01C20BC1"/>
    <w:rsid w:val="0261487E"/>
    <w:rsid w:val="03DD1CE2"/>
    <w:rsid w:val="04044D63"/>
    <w:rsid w:val="04216C12"/>
    <w:rsid w:val="042518DB"/>
    <w:rsid w:val="047D34C5"/>
    <w:rsid w:val="06541E98"/>
    <w:rsid w:val="07EC6998"/>
    <w:rsid w:val="0A7964DD"/>
    <w:rsid w:val="0A8455AD"/>
    <w:rsid w:val="0AD16319"/>
    <w:rsid w:val="0C937D2A"/>
    <w:rsid w:val="0D9F625A"/>
    <w:rsid w:val="109A0F5B"/>
    <w:rsid w:val="11C20769"/>
    <w:rsid w:val="13884674"/>
    <w:rsid w:val="13C407C9"/>
    <w:rsid w:val="14482D93"/>
    <w:rsid w:val="147A0C8E"/>
    <w:rsid w:val="147B69EE"/>
    <w:rsid w:val="16661B6F"/>
    <w:rsid w:val="172E45E9"/>
    <w:rsid w:val="17BD7F23"/>
    <w:rsid w:val="183879D7"/>
    <w:rsid w:val="18DA0A8E"/>
    <w:rsid w:val="1A543EDD"/>
    <w:rsid w:val="1D7A639C"/>
    <w:rsid w:val="1DCD0BC2"/>
    <w:rsid w:val="1EA35FEA"/>
    <w:rsid w:val="217A4BBD"/>
    <w:rsid w:val="21D267A7"/>
    <w:rsid w:val="22275D7A"/>
    <w:rsid w:val="222C235B"/>
    <w:rsid w:val="23D26B19"/>
    <w:rsid w:val="25F72C80"/>
    <w:rsid w:val="261F21D6"/>
    <w:rsid w:val="26D94133"/>
    <w:rsid w:val="28CA642A"/>
    <w:rsid w:val="292A6EC8"/>
    <w:rsid w:val="29EE439A"/>
    <w:rsid w:val="2AE87C5D"/>
    <w:rsid w:val="2BD33847"/>
    <w:rsid w:val="2BF30A26"/>
    <w:rsid w:val="2F30072C"/>
    <w:rsid w:val="2F8C1E45"/>
    <w:rsid w:val="310B75DF"/>
    <w:rsid w:val="318068F9"/>
    <w:rsid w:val="3186745D"/>
    <w:rsid w:val="329D695D"/>
    <w:rsid w:val="356E638F"/>
    <w:rsid w:val="35731BF7"/>
    <w:rsid w:val="3628478F"/>
    <w:rsid w:val="36F6488E"/>
    <w:rsid w:val="38D95B3B"/>
    <w:rsid w:val="3B767F91"/>
    <w:rsid w:val="3C3025F0"/>
    <w:rsid w:val="3D6C58AA"/>
    <w:rsid w:val="3D7477C9"/>
    <w:rsid w:val="3D9E24A4"/>
    <w:rsid w:val="3E18333B"/>
    <w:rsid w:val="3F530770"/>
    <w:rsid w:val="404B17A6"/>
    <w:rsid w:val="408847A8"/>
    <w:rsid w:val="412F0DC7"/>
    <w:rsid w:val="414D154E"/>
    <w:rsid w:val="417D7DF9"/>
    <w:rsid w:val="422B0EBE"/>
    <w:rsid w:val="42B24968"/>
    <w:rsid w:val="42B850ED"/>
    <w:rsid w:val="4440539A"/>
    <w:rsid w:val="444430DC"/>
    <w:rsid w:val="45232CF2"/>
    <w:rsid w:val="45442C68"/>
    <w:rsid w:val="45576E3F"/>
    <w:rsid w:val="456B28EB"/>
    <w:rsid w:val="467D0B27"/>
    <w:rsid w:val="482C45B3"/>
    <w:rsid w:val="48906E9A"/>
    <w:rsid w:val="49EB7B56"/>
    <w:rsid w:val="4CFD4B8D"/>
    <w:rsid w:val="4D432AB4"/>
    <w:rsid w:val="4E233D62"/>
    <w:rsid w:val="4E9C50B5"/>
    <w:rsid w:val="50AA7753"/>
    <w:rsid w:val="51AB479B"/>
    <w:rsid w:val="51C370F3"/>
    <w:rsid w:val="51D650B0"/>
    <w:rsid w:val="530028C4"/>
    <w:rsid w:val="538916D4"/>
    <w:rsid w:val="53F91DB5"/>
    <w:rsid w:val="5697353F"/>
    <w:rsid w:val="56D6261E"/>
    <w:rsid w:val="56EC2EAE"/>
    <w:rsid w:val="585F62DF"/>
    <w:rsid w:val="5A5359CF"/>
    <w:rsid w:val="5A9B0F31"/>
    <w:rsid w:val="5AAE33CB"/>
    <w:rsid w:val="5C29043E"/>
    <w:rsid w:val="5C390BF5"/>
    <w:rsid w:val="5C9F0AF8"/>
    <w:rsid w:val="5D3159ED"/>
    <w:rsid w:val="5FDC1FC3"/>
    <w:rsid w:val="64504D2E"/>
    <w:rsid w:val="65B65064"/>
    <w:rsid w:val="65CE6852"/>
    <w:rsid w:val="66042274"/>
    <w:rsid w:val="66124991"/>
    <w:rsid w:val="66F552F2"/>
    <w:rsid w:val="67446DCC"/>
    <w:rsid w:val="68C76FC4"/>
    <w:rsid w:val="68E1689C"/>
    <w:rsid w:val="6933534A"/>
    <w:rsid w:val="6A2D4008"/>
    <w:rsid w:val="6B5E5F82"/>
    <w:rsid w:val="6B8502DC"/>
    <w:rsid w:val="6B865305"/>
    <w:rsid w:val="6B9F6CC6"/>
    <w:rsid w:val="6D635AD2"/>
    <w:rsid w:val="6DEC3D19"/>
    <w:rsid w:val="71B77266"/>
    <w:rsid w:val="72007D93"/>
    <w:rsid w:val="72BB3CBA"/>
    <w:rsid w:val="7319311D"/>
    <w:rsid w:val="73214465"/>
    <w:rsid w:val="741B5358"/>
    <w:rsid w:val="7463285B"/>
    <w:rsid w:val="74F11C15"/>
    <w:rsid w:val="76634D94"/>
    <w:rsid w:val="769B008A"/>
    <w:rsid w:val="779F3BAA"/>
    <w:rsid w:val="77F02662"/>
    <w:rsid w:val="788A03B6"/>
    <w:rsid w:val="7AF73827"/>
    <w:rsid w:val="7B845591"/>
    <w:rsid w:val="7BFE17E7"/>
    <w:rsid w:val="7C266648"/>
    <w:rsid w:val="7D821FA4"/>
    <w:rsid w:val="7DC205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table" w:customStyle="1" w:styleId="9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Table Text"/>
    <w:basedOn w:val="1"/>
    <w:semiHidden/>
    <w:qFormat/>
    <w:uiPriority w:val="0"/>
    <w:rPr>
      <w:rFonts w:ascii="宋体" w:hAnsi="宋体" w:eastAsia="宋体" w:cs="宋体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7"/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554</Words>
  <Characters>608</Characters>
  <TotalTime>0</TotalTime>
  <ScaleCrop>false</ScaleCrop>
  <LinksUpToDate>false</LinksUpToDate>
  <CharactersWithSpaces>629</CharactersWithSpaces>
  <Application>WPS Office_12.1.0.21915_F1E327BC-269C-435d-A152-05C5408002CA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2025-08-19T16:09:00Z</dcterms:created>
  <dc:creator>健 张</dc:creator>
  <cp:lastModifiedBy>郝宇</cp:lastModifiedBy>
  <dcterms:modified xsi:type="dcterms:W3CDTF">2025-08-21T22:20:02Z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wqlLaW5nc29mdCBQREYgdG8gV1BTIDExNQ</vt:lpwstr>
  </property>
  <property fmtid="{D5CDD505-2E9C-101B-9397-08002B2CF9AE}" pid="3" name="Created">
    <vt:filetime>2025-08-19T16:30:13Z</vt:filetime>
  </property>
  <property fmtid="{D5CDD505-2E9C-101B-9397-08002B2CF9AE}" pid="4" name="KSOTemplateDocerSaveRecord">
    <vt:lpwstr>eyJoZGlkIjoiMDY5NmFjMmM4ZTljMGJiZDAxN2JmYTc0NGI0NmFiNDgiLCJ1c2VySWQiOiIxMDc1MzgyOSJ9</vt:lpwstr>
  </property>
  <property fmtid="{D5CDD505-2E9C-101B-9397-08002B2CF9AE}" pid="5" name="KSOProductBuildVer">
    <vt:lpwstr>2052-12.1.0.21915</vt:lpwstr>
  </property>
  <property fmtid="{D5CDD505-2E9C-101B-9397-08002B2CF9AE}" pid="6" name="ICV">
    <vt:lpwstr>EA03877D88BA48329BBA99C646CC4FBF_12</vt:lpwstr>
  </property>
</Properties>
</file>