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1F87D">
      <w:pPr>
        <w:pStyle w:val="2"/>
        <w:spacing w:line="284" w:lineRule="auto"/>
      </w:pPr>
    </w:p>
    <w:p w14:paraId="45B0D6B0">
      <w:pPr>
        <w:spacing w:before="169" w:line="220" w:lineRule="auto"/>
        <w:ind w:left="2107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运维工具自评报告</w:t>
      </w:r>
    </w:p>
    <w:p w14:paraId="4CA4A1DC">
      <w:pPr>
        <w:pStyle w:val="2"/>
        <w:spacing w:line="259" w:lineRule="auto"/>
      </w:pPr>
    </w:p>
    <w:p w14:paraId="066AB00C">
      <w:pPr>
        <w:pStyle w:val="2"/>
        <w:spacing w:line="259" w:lineRule="auto"/>
      </w:pPr>
    </w:p>
    <w:p w14:paraId="230A5184">
      <w:pPr>
        <w:pStyle w:val="2"/>
        <w:spacing w:line="259" w:lineRule="auto"/>
      </w:pPr>
    </w:p>
    <w:p w14:paraId="45724973">
      <w:pPr>
        <w:pStyle w:val="2"/>
        <w:spacing w:line="259" w:lineRule="auto"/>
      </w:pPr>
    </w:p>
    <w:p w14:paraId="27054915">
      <w:pPr>
        <w:pStyle w:val="2"/>
        <w:spacing w:line="259" w:lineRule="auto"/>
      </w:pPr>
    </w:p>
    <w:p w14:paraId="447B08E3">
      <w:pPr>
        <w:pStyle w:val="2"/>
        <w:spacing w:line="260" w:lineRule="auto"/>
      </w:pPr>
    </w:p>
    <w:p w14:paraId="476CFFCE">
      <w:pPr>
        <w:pStyle w:val="2"/>
        <w:spacing w:line="260" w:lineRule="auto"/>
      </w:pPr>
    </w:p>
    <w:p w14:paraId="21A6BB5D">
      <w:pPr>
        <w:pStyle w:val="2"/>
        <w:spacing w:line="260" w:lineRule="auto"/>
      </w:pPr>
    </w:p>
    <w:p w14:paraId="44FFDCF8">
      <w:pPr>
        <w:pStyle w:val="2"/>
        <w:spacing w:line="260" w:lineRule="auto"/>
      </w:pPr>
    </w:p>
    <w:p w14:paraId="21562F64">
      <w:pPr>
        <w:pStyle w:val="2"/>
        <w:spacing w:line="260" w:lineRule="auto"/>
      </w:pPr>
    </w:p>
    <w:p w14:paraId="5391B7AA">
      <w:pPr>
        <w:pStyle w:val="2"/>
        <w:spacing w:line="260" w:lineRule="auto"/>
      </w:pPr>
    </w:p>
    <w:p w14:paraId="273469C8">
      <w:pPr>
        <w:pStyle w:val="2"/>
        <w:spacing w:line="260" w:lineRule="auto"/>
      </w:pPr>
    </w:p>
    <w:p w14:paraId="5C966E75">
      <w:pPr>
        <w:pStyle w:val="2"/>
        <w:spacing w:line="260" w:lineRule="auto"/>
      </w:pPr>
    </w:p>
    <w:p w14:paraId="271A2BD8">
      <w:pPr>
        <w:pStyle w:val="2"/>
        <w:spacing w:line="260" w:lineRule="auto"/>
      </w:pPr>
    </w:p>
    <w:p w14:paraId="2D83EEF5">
      <w:pPr>
        <w:spacing w:line="1293" w:lineRule="exact"/>
        <w:ind w:firstLine="1991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40A">
      <w:pPr>
        <w:pStyle w:val="2"/>
        <w:spacing w:line="245" w:lineRule="auto"/>
      </w:pPr>
    </w:p>
    <w:p w14:paraId="14D2B701">
      <w:pPr>
        <w:pStyle w:val="2"/>
        <w:spacing w:line="245" w:lineRule="auto"/>
      </w:pPr>
    </w:p>
    <w:p w14:paraId="581B4A53">
      <w:pPr>
        <w:pStyle w:val="2"/>
        <w:spacing w:line="245" w:lineRule="auto"/>
      </w:pPr>
    </w:p>
    <w:p w14:paraId="70139CA8">
      <w:pPr>
        <w:pStyle w:val="2"/>
        <w:spacing w:line="245" w:lineRule="auto"/>
      </w:pPr>
    </w:p>
    <w:p w14:paraId="2485B4A9">
      <w:pPr>
        <w:pStyle w:val="2"/>
        <w:spacing w:line="245" w:lineRule="auto"/>
      </w:pPr>
    </w:p>
    <w:p w14:paraId="2CFFE61E">
      <w:pPr>
        <w:pStyle w:val="2"/>
        <w:spacing w:line="245" w:lineRule="auto"/>
      </w:pPr>
    </w:p>
    <w:p w14:paraId="6DEC97B9">
      <w:pPr>
        <w:pStyle w:val="2"/>
        <w:spacing w:line="245" w:lineRule="auto"/>
      </w:pPr>
    </w:p>
    <w:p w14:paraId="76A6E98E">
      <w:pPr>
        <w:pStyle w:val="2"/>
        <w:spacing w:line="245" w:lineRule="auto"/>
      </w:pPr>
    </w:p>
    <w:p w14:paraId="2DD8C7F3">
      <w:pPr>
        <w:pStyle w:val="2"/>
        <w:spacing w:line="245" w:lineRule="auto"/>
      </w:pPr>
    </w:p>
    <w:p w14:paraId="446A0B14">
      <w:pPr>
        <w:pStyle w:val="2"/>
        <w:spacing w:line="245" w:lineRule="auto"/>
      </w:pPr>
    </w:p>
    <w:p w14:paraId="78BFE09B">
      <w:pPr>
        <w:pStyle w:val="2"/>
        <w:spacing w:line="245" w:lineRule="auto"/>
      </w:pPr>
    </w:p>
    <w:p w14:paraId="1F7FF540">
      <w:pPr>
        <w:pStyle w:val="2"/>
        <w:spacing w:line="245" w:lineRule="auto"/>
      </w:pPr>
    </w:p>
    <w:p w14:paraId="7009993B">
      <w:pPr>
        <w:pStyle w:val="2"/>
        <w:spacing w:line="245" w:lineRule="auto"/>
      </w:pPr>
    </w:p>
    <w:p w14:paraId="6A7B1D3F">
      <w:pPr>
        <w:pStyle w:val="2"/>
        <w:spacing w:line="245" w:lineRule="auto"/>
      </w:pPr>
    </w:p>
    <w:p w14:paraId="22DAF771">
      <w:pPr>
        <w:pStyle w:val="2"/>
        <w:spacing w:line="245" w:lineRule="auto"/>
      </w:pPr>
    </w:p>
    <w:p w14:paraId="6C69647C">
      <w:pPr>
        <w:pStyle w:val="2"/>
        <w:spacing w:line="245" w:lineRule="auto"/>
      </w:pPr>
    </w:p>
    <w:p w14:paraId="576F9DE6">
      <w:pPr>
        <w:pStyle w:val="2"/>
        <w:spacing w:line="245" w:lineRule="auto"/>
      </w:pPr>
    </w:p>
    <w:p w14:paraId="0A78CA39">
      <w:pPr>
        <w:pStyle w:val="2"/>
        <w:spacing w:line="245" w:lineRule="auto"/>
      </w:pPr>
    </w:p>
    <w:p w14:paraId="4C91D995">
      <w:pPr>
        <w:pStyle w:val="2"/>
        <w:spacing w:line="245" w:lineRule="auto"/>
      </w:pPr>
    </w:p>
    <w:p w14:paraId="57E46DE1">
      <w:pPr>
        <w:pStyle w:val="2"/>
        <w:spacing w:line="245" w:lineRule="auto"/>
      </w:pPr>
    </w:p>
    <w:p w14:paraId="05AA8FF1">
      <w:pPr>
        <w:pStyle w:val="2"/>
        <w:spacing w:line="245" w:lineRule="auto"/>
      </w:pPr>
    </w:p>
    <w:p w14:paraId="70E87060">
      <w:pPr>
        <w:pStyle w:val="2"/>
        <w:spacing w:line="246" w:lineRule="auto"/>
      </w:pPr>
    </w:p>
    <w:p w14:paraId="6066BCED">
      <w:pPr>
        <w:spacing w:before="117" w:line="219" w:lineRule="auto"/>
        <w:ind w:left="1661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DB98D70">
      <w:pPr>
        <w:spacing w:before="117" w:line="219" w:lineRule="auto"/>
        <w:ind w:left="1661"/>
        <w:jc w:val="center"/>
        <w:rPr>
          <w:rFonts w:hint="default" w:ascii="宋体" w:hAnsi="宋体" w:eastAsia="宋体" w:cs="宋体"/>
          <w:spacing w:val="-1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1"/>
          <w:sz w:val="36"/>
          <w:szCs w:val="36"/>
        </w:rPr>
        <w:t>-0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6</w:t>
      </w:r>
      <w:r>
        <w:rPr>
          <w:rFonts w:ascii="宋体" w:hAnsi="宋体" w:eastAsia="宋体" w:cs="宋体"/>
          <w:spacing w:val="-1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1"/>
          <w:sz w:val="36"/>
          <w:szCs w:val="36"/>
          <w:lang w:val="en-US" w:eastAsia="zh-CN"/>
        </w:rPr>
        <w:t>20</w:t>
      </w:r>
    </w:p>
    <w:p w14:paraId="24140E5E">
      <w:pPr>
        <w:rPr>
          <w:rFonts w:ascii="宋体" w:hAnsi="宋体" w:eastAsia="宋体" w:cs="宋体"/>
          <w:spacing w:val="-2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br w:type="page"/>
      </w:r>
    </w:p>
    <w:p w14:paraId="23CB57B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0D86CC3E">
      <w:pPr>
        <w:spacing w:line="16" w:lineRule="exact"/>
      </w:pPr>
    </w:p>
    <w:tbl>
      <w:tblPr>
        <w:tblStyle w:val="6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63"/>
        <w:gridCol w:w="2094"/>
        <w:gridCol w:w="1557"/>
        <w:gridCol w:w="1953"/>
      </w:tblGrid>
      <w:tr w14:paraId="443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704" w:type="dxa"/>
            <w:vAlign w:val="top"/>
          </w:tcPr>
          <w:p w14:paraId="051141CF">
            <w:pPr>
              <w:pStyle w:val="7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1A35254">
            <w:pPr>
              <w:pStyle w:val="7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运维工具评估报告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YWGJZP</w:t>
            </w:r>
            <w:r>
              <w:rPr>
                <w:spacing w:val="-1"/>
              </w:rPr>
              <w:t>）</w:t>
            </w:r>
          </w:p>
        </w:tc>
      </w:tr>
      <w:tr w14:paraId="524E5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04" w:type="dxa"/>
            <w:vAlign w:val="top"/>
          </w:tcPr>
          <w:p w14:paraId="1ADA7B0E">
            <w:pPr>
              <w:pStyle w:val="7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7AA81B04">
            <w:pPr>
              <w:pStyle w:val="7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1EB80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  <w:jc w:val="center"/>
        </w:trPr>
        <w:tc>
          <w:tcPr>
            <w:tcW w:w="1704" w:type="dxa"/>
            <w:vAlign w:val="top"/>
          </w:tcPr>
          <w:p w14:paraId="0FA74CB4">
            <w:pPr>
              <w:pStyle w:val="7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763" w:type="dxa"/>
            <w:vAlign w:val="top"/>
          </w:tcPr>
          <w:p w14:paraId="0E5078DD">
            <w:pPr>
              <w:pStyle w:val="7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094" w:type="dxa"/>
            <w:vAlign w:val="top"/>
          </w:tcPr>
          <w:p w14:paraId="74E5C1E5">
            <w:pPr>
              <w:pStyle w:val="7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E7986D1">
            <w:pPr>
              <w:pStyle w:val="7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A8EED17">
            <w:pPr>
              <w:pStyle w:val="7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2A2741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86F38E2">
            <w:pPr>
              <w:pStyle w:val="7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763" w:type="dxa"/>
            <w:vAlign w:val="top"/>
          </w:tcPr>
          <w:p w14:paraId="460C4842">
            <w:pPr>
              <w:pStyle w:val="7"/>
              <w:spacing w:before="163"/>
              <w:ind w:left="361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094" w:type="dxa"/>
            <w:vAlign w:val="top"/>
          </w:tcPr>
          <w:p w14:paraId="1B39E7D5">
            <w:pPr>
              <w:pStyle w:val="7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1172DE7">
            <w:pPr>
              <w:pStyle w:val="7"/>
              <w:spacing w:before="134" w:line="220" w:lineRule="auto"/>
              <w:ind w:left="48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  <w:bookmarkStart w:id="5" w:name="_GoBack"/>
            <w:bookmarkEnd w:id="5"/>
          </w:p>
        </w:tc>
        <w:tc>
          <w:tcPr>
            <w:tcW w:w="1953" w:type="dxa"/>
            <w:vAlign w:val="top"/>
          </w:tcPr>
          <w:p w14:paraId="62B7BE55">
            <w:pPr>
              <w:pStyle w:val="7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52A7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1B0AEF6C">
            <w:pPr>
              <w:pStyle w:val="7"/>
              <w:spacing w:before="164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5124A3CB">
            <w:pPr>
              <w:pStyle w:val="7"/>
              <w:spacing w:before="164"/>
              <w:ind w:left="361"/>
            </w:pPr>
          </w:p>
        </w:tc>
        <w:tc>
          <w:tcPr>
            <w:tcW w:w="2094" w:type="dxa"/>
            <w:vAlign w:val="top"/>
          </w:tcPr>
          <w:p w14:paraId="32ABE758">
            <w:pPr>
              <w:pStyle w:val="7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1C6EA26">
            <w:pPr>
              <w:pStyle w:val="7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245EB6B">
            <w:pPr>
              <w:pStyle w:val="7"/>
              <w:spacing w:before="134" w:line="220" w:lineRule="auto"/>
              <w:ind w:left="672"/>
            </w:pPr>
          </w:p>
        </w:tc>
      </w:tr>
      <w:tr w14:paraId="55425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471E0D2E">
            <w:pPr>
              <w:pStyle w:val="7"/>
              <w:spacing w:before="165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7B18A293">
            <w:pPr>
              <w:pStyle w:val="7"/>
              <w:spacing w:before="165"/>
              <w:ind w:left="361"/>
            </w:pPr>
          </w:p>
        </w:tc>
        <w:tc>
          <w:tcPr>
            <w:tcW w:w="2094" w:type="dxa"/>
            <w:vAlign w:val="top"/>
          </w:tcPr>
          <w:p w14:paraId="50E9CC6A">
            <w:pPr>
              <w:pStyle w:val="7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44186F60">
            <w:pPr>
              <w:pStyle w:val="7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2A4D336">
            <w:pPr>
              <w:pStyle w:val="7"/>
              <w:spacing w:before="135" w:line="220" w:lineRule="auto"/>
              <w:ind w:left="672"/>
            </w:pPr>
          </w:p>
        </w:tc>
      </w:tr>
      <w:tr w14:paraId="455F9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704" w:type="dxa"/>
            <w:vAlign w:val="top"/>
          </w:tcPr>
          <w:p w14:paraId="22C0438F">
            <w:pPr>
              <w:pStyle w:val="7"/>
              <w:spacing w:before="166" w:line="239" w:lineRule="auto"/>
              <w:ind w:left="638"/>
            </w:pPr>
          </w:p>
        </w:tc>
        <w:tc>
          <w:tcPr>
            <w:tcW w:w="1763" w:type="dxa"/>
            <w:vAlign w:val="top"/>
          </w:tcPr>
          <w:p w14:paraId="3E00521A">
            <w:pPr>
              <w:pStyle w:val="7"/>
              <w:spacing w:before="166"/>
              <w:ind w:left="361"/>
            </w:pPr>
          </w:p>
        </w:tc>
        <w:tc>
          <w:tcPr>
            <w:tcW w:w="2094" w:type="dxa"/>
            <w:vAlign w:val="top"/>
          </w:tcPr>
          <w:p w14:paraId="02D01323">
            <w:pPr>
              <w:pStyle w:val="7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24393F4">
            <w:pPr>
              <w:pStyle w:val="7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3C9A1DDD">
            <w:pPr>
              <w:pStyle w:val="7"/>
              <w:spacing w:before="136" w:line="220" w:lineRule="auto"/>
              <w:ind w:left="672"/>
            </w:pPr>
          </w:p>
        </w:tc>
      </w:tr>
      <w:tr w14:paraId="23557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04" w:type="dxa"/>
            <w:vAlign w:val="top"/>
          </w:tcPr>
          <w:p w14:paraId="3DE6F63C">
            <w:pPr>
              <w:rPr>
                <w:rFonts w:ascii="Arial"/>
                <w:sz w:val="21"/>
              </w:rPr>
            </w:pPr>
          </w:p>
        </w:tc>
        <w:tc>
          <w:tcPr>
            <w:tcW w:w="1763" w:type="dxa"/>
            <w:vAlign w:val="top"/>
          </w:tcPr>
          <w:p w14:paraId="51C9940A">
            <w:pPr>
              <w:rPr>
                <w:rFonts w:ascii="Arial"/>
                <w:sz w:val="21"/>
              </w:rPr>
            </w:pPr>
          </w:p>
        </w:tc>
        <w:tc>
          <w:tcPr>
            <w:tcW w:w="2094" w:type="dxa"/>
            <w:vAlign w:val="top"/>
          </w:tcPr>
          <w:p w14:paraId="074785D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032DD8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25225DA">
            <w:pPr>
              <w:rPr>
                <w:rFonts w:ascii="Arial"/>
                <w:sz w:val="21"/>
              </w:rPr>
            </w:pPr>
          </w:p>
        </w:tc>
      </w:tr>
    </w:tbl>
    <w:p w14:paraId="1C4399B0">
      <w:pPr>
        <w:spacing w:before="116" w:line="221" w:lineRule="auto"/>
        <w:ind w:left="5767" w:leftChars="0"/>
      </w:pPr>
      <w:sdt>
        <w:sdtPr>
          <w:rPr>
            <w:rFonts w:ascii="宋体" w:hAnsi="宋体" w:eastAsia="宋体" w:cs="宋体"/>
            <w:sz w:val="24"/>
            <w:szCs w:val="24"/>
          </w:rPr>
          <w:id w:val="147477268"/>
          <w:showingPlcHdr/>
          <w:docPartObj>
            <w:docPartGallery w:val="Table of Contents"/>
            <w:docPartUnique/>
          </w:docPartObj>
        </w:sdtPr>
        <w:sdtEndPr>
          <w:rPr>
            <w:rFonts w:ascii="宋体" w:hAnsi="宋体" w:eastAsia="宋体" w:cs="宋体"/>
            <w:sz w:val="24"/>
            <w:szCs w:val="24"/>
          </w:rPr>
        </w:sdtEndPr>
        <w:sdtContent>
          <w:bookmarkStart w:id="0" w:name="bookmark9"/>
          <w:bookmarkEnd w:id="0"/>
          <w:r>
            <w:rPr>
              <w:rFonts w:hint="eastAsia" w:ascii="宋体" w:hAnsi="宋体" w:eastAsia="宋体" w:cs="宋体"/>
              <w:sz w:val="24"/>
              <w:szCs w:val="24"/>
              <w:lang w:eastAsia="zh-CN"/>
            </w:rPr>
            <w:t xml:space="preserve">     </w:t>
          </w:r>
        </w:sdtContent>
      </w:sdt>
    </w:p>
    <w:p w14:paraId="3E51EC48">
      <w:pPr>
        <w:rPr>
          <w:rFonts w:ascii="宋体" w:hAnsi="宋体" w:eastAsia="宋体" w:cs="宋体"/>
          <w:b/>
          <w:bCs/>
          <w:spacing w:val="1"/>
          <w:sz w:val="31"/>
          <w:szCs w:val="31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br w:type="page"/>
      </w:r>
    </w:p>
    <w:p w14:paraId="6BCB8A7E">
      <w:pPr>
        <w:spacing w:before="219" w:line="225" w:lineRule="auto"/>
        <w:ind w:left="1836"/>
        <w:outlineLvl w:val="0"/>
        <w:rPr>
          <w:rFonts w:hint="default" w:ascii="宋体" w:hAnsi="宋体" w:eastAsia="宋体" w:cs="宋体"/>
          <w:sz w:val="31"/>
          <w:szCs w:val="31"/>
          <w:lang w:val="en-US" w:eastAsia="zh-CN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1、</w:t>
      </w:r>
      <w:r>
        <w:rPr>
          <w:rFonts w:hint="eastAsia" w:ascii="宋体" w:hAnsi="宋体" w:eastAsia="宋体" w:cs="宋体"/>
          <w:b/>
          <w:bCs/>
          <w:spacing w:val="1"/>
          <w:sz w:val="31"/>
          <w:szCs w:val="31"/>
          <w:lang w:val="en-US" w:eastAsia="zh-CN"/>
        </w:rPr>
        <w:t>360安全云数字化协作平台</w:t>
      </w:r>
    </w:p>
    <w:p w14:paraId="670BCC1C"/>
    <w:p w14:paraId="6F686DC7"/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0544A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55328F50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2EE283B4">
            <w:pPr>
              <w:pStyle w:val="7"/>
              <w:spacing w:before="196" w:line="220" w:lineRule="auto"/>
              <w:ind w:left="11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</w:p>
        </w:tc>
      </w:tr>
      <w:tr w14:paraId="560FA7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7BD478A6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266E42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335" w:hRule="atLeast"/>
        </w:trPr>
        <w:tc>
          <w:tcPr>
            <w:tcW w:w="8930" w:type="dxa"/>
            <w:gridSpan w:val="2"/>
            <w:vAlign w:val="top"/>
          </w:tcPr>
          <w:p w14:paraId="1EAD6E59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pacing w:val="-6"/>
                <w:sz w:val="24"/>
                <w:szCs w:val="24"/>
              </w:rPr>
              <w:t>服务台与事件管理、问题管理、变更管理、发布管理、服务级别管理、报表统计与绩效管理、系统管理、日常管理、客户视图（用户视图）、服务级别管理、巡检管理、知识库管理，并提供灵活的流程和表单设计工具，可定制业务流程，提高服务团队的生产效率，改善最终用户的满意度。</w:t>
            </w:r>
          </w:p>
          <w:p w14:paraId="5DF47BE4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pacing w:val="-6"/>
                <w:sz w:val="24"/>
                <w:szCs w:val="24"/>
              </w:rPr>
              <w:t>可根据用户需求灵活自定义和调整，需二次开发；可明确各管理流程的角色和职责，梳理业务过程，保证流程的快速交付；基于标准的流程、表单、绩效指标、可快速复制行业最佳实践；提供灵活高效的自定义管理平台，流程自定义，表单自定义，权限自定义，报表自定义；灵活定制的多种统计报表和量化考核指标为决策提供依据；电子邮件、短信等功能，让信息部门的 IT 服务管理更加严谨而高效。</w:t>
            </w:r>
          </w:p>
          <w:p w14:paraId="461207EE">
            <w:pPr>
              <w:pStyle w:val="7"/>
              <w:spacing w:before="79" w:line="290" w:lineRule="auto"/>
              <w:ind w:left="121" w:right="107" w:hanging="3"/>
              <w:rPr>
                <w:sz w:val="24"/>
                <w:szCs w:val="24"/>
              </w:rPr>
            </w:pPr>
            <w:r>
              <w:rPr>
                <w:rFonts w:hint="eastAsia"/>
                <w:spacing w:val="-6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pacing w:val="-6"/>
                <w:sz w:val="24"/>
                <w:szCs w:val="24"/>
              </w:rPr>
              <w:t>另外，它可以作为运维服务部控制平台，能够与多种网络管理系统无缝整合，构建一体化的运维管理解决方案。</w:t>
            </w:r>
          </w:p>
        </w:tc>
      </w:tr>
      <w:tr w14:paraId="15B920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59277B1D">
            <w:pPr>
              <w:pStyle w:val="7"/>
              <w:spacing w:before="79" w:line="290" w:lineRule="auto"/>
              <w:ind w:left="121" w:right="107" w:hanging="3"/>
              <w:rPr>
                <w:rFonts w:hint="eastAsia"/>
                <w:spacing w:val="-6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5435A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A9ACF5B">
            <w:pPr>
              <w:pStyle w:val="7"/>
              <w:spacing w:before="79" w:line="290" w:lineRule="auto"/>
              <w:ind w:left="121" w:right="107" w:hanging="3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目前公司已经在运维服务中部署并</w:t>
            </w:r>
            <w:r>
              <w:rPr>
                <w:spacing w:val="-3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此工具，实现公司运维服务的事件管理、问题管理、服务</w:t>
            </w:r>
            <w:r>
              <w:rPr>
                <w:spacing w:val="-1"/>
                <w:sz w:val="24"/>
                <w:szCs w:val="24"/>
              </w:rPr>
              <w:t>请求管理、配置管理、变</w:t>
            </w:r>
            <w:r>
              <w:rPr>
                <w:sz w:val="24"/>
                <w:szCs w:val="24"/>
              </w:rPr>
              <w:t>更和发布管理。主要运用于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市民服务中心智能化</w:t>
            </w:r>
            <w:r>
              <w:rPr>
                <w:spacing w:val="-1"/>
                <w:sz w:val="24"/>
                <w:szCs w:val="24"/>
              </w:rPr>
              <w:t>项目中，并取得</w:t>
            </w:r>
            <w:r>
              <w:rPr>
                <w:spacing w:val="-4"/>
                <w:sz w:val="24"/>
                <w:szCs w:val="24"/>
              </w:rPr>
              <w:t>了良好的效果。</w:t>
            </w:r>
          </w:p>
        </w:tc>
      </w:tr>
      <w:tr w14:paraId="7C018B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7DD5F2D1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6AFD9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vAlign w:val="top"/>
          </w:tcPr>
          <w:p w14:paraId="6F6015A0">
            <w:pPr>
              <w:pStyle w:val="7"/>
              <w:spacing w:before="79" w:line="290" w:lineRule="auto"/>
              <w:ind w:left="121" w:right="107" w:hanging="3"/>
              <w:rPr>
                <w:spacing w:val="-2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通过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val="en-US" w:eastAsia="zh-CN"/>
              </w:rPr>
              <w:t>360安全云数字化协作平台</w:t>
            </w:r>
            <w:r>
              <w:rPr>
                <w:spacing w:val="-3"/>
                <w:sz w:val="24"/>
                <w:szCs w:val="24"/>
              </w:rPr>
              <w:t>的使用，</w:t>
            </w:r>
            <w:r>
              <w:rPr>
                <w:spacing w:val="-6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自动的流程驱动，合规的审批，清晰的 SLA 要求，以及更新信息的及时通知，实</w:t>
            </w:r>
            <w:r>
              <w:rPr>
                <w:spacing w:val="-2"/>
                <w:sz w:val="24"/>
                <w:szCs w:val="24"/>
              </w:rPr>
              <w:t>现更高客户满意度。</w:t>
            </w:r>
          </w:p>
        </w:tc>
      </w:tr>
      <w:tr w14:paraId="76957F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05B39A79">
            <w:pPr>
              <w:pStyle w:val="7"/>
              <w:spacing w:before="198" w:line="219" w:lineRule="auto"/>
              <w:ind w:left="12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4EADBC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28D6EAB0">
            <w:pPr>
              <w:pStyle w:val="7"/>
              <w:spacing w:before="197" w:line="220" w:lineRule="auto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2AB135E9">
      <w:pPr>
        <w:pStyle w:val="2"/>
      </w:pPr>
    </w:p>
    <w:p w14:paraId="0F0EEFE8">
      <w:pPr>
        <w:rPr>
          <w:rFonts w:ascii="宋体" w:hAnsi="宋体" w:eastAsia="宋体" w:cs="宋体"/>
          <w:b/>
          <w:bCs/>
          <w:spacing w:val="2"/>
          <w:sz w:val="31"/>
          <w:szCs w:val="31"/>
        </w:rPr>
      </w:pPr>
      <w:bookmarkStart w:id="1" w:name="bookmark4"/>
      <w:bookmarkEnd w:id="1"/>
      <w:bookmarkStart w:id="2" w:name="bookmark3"/>
      <w:bookmarkEnd w:id="2"/>
      <w:r>
        <w:rPr>
          <w:rFonts w:ascii="宋体" w:hAnsi="宋体" w:eastAsia="宋体" w:cs="宋体"/>
          <w:b/>
          <w:bCs/>
          <w:spacing w:val="2"/>
          <w:sz w:val="31"/>
          <w:szCs w:val="31"/>
        </w:rPr>
        <w:br w:type="page"/>
      </w:r>
    </w:p>
    <w:p w14:paraId="79C772E8">
      <w:pPr>
        <w:spacing w:before="218" w:line="225" w:lineRule="auto"/>
        <w:ind w:left="1816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2"/>
          <w:sz w:val="31"/>
          <w:szCs w:val="31"/>
        </w:rPr>
        <w:t>2、</w:t>
      </w:r>
      <w:r>
        <w:rPr>
          <w:rFonts w:hint="eastAsia" w:ascii="宋体" w:hAnsi="宋体" w:eastAsia="宋体" w:cs="宋体"/>
          <w:b/>
          <w:bCs/>
          <w:spacing w:val="2"/>
          <w:sz w:val="31"/>
          <w:szCs w:val="31"/>
          <w:lang w:val="en-US" w:eastAsia="zh-CN"/>
        </w:rPr>
        <w:t>H3C智能管理中心</w:t>
      </w:r>
    </w:p>
    <w:p w14:paraId="55896407">
      <w:pPr>
        <w:spacing w:before="1"/>
      </w:pPr>
    </w:p>
    <w:p w14:paraId="61B84535">
      <w:pPr>
        <w:spacing w:before="1"/>
      </w:pPr>
    </w:p>
    <w:tbl>
      <w:tblPr>
        <w:tblStyle w:val="6"/>
        <w:tblW w:w="8930" w:type="dxa"/>
        <w:tblInd w:w="168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7706"/>
      </w:tblGrid>
      <w:tr w14:paraId="18ED1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24" w:type="dxa"/>
            <w:vAlign w:val="top"/>
          </w:tcPr>
          <w:p w14:paraId="2390310D">
            <w:pPr>
              <w:pStyle w:val="7"/>
              <w:spacing w:before="196" w:line="221" w:lineRule="auto"/>
              <w:ind w:left="13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工具名称</w:t>
            </w:r>
          </w:p>
        </w:tc>
        <w:tc>
          <w:tcPr>
            <w:tcW w:w="7706" w:type="dxa"/>
            <w:vAlign w:val="top"/>
          </w:tcPr>
          <w:p w14:paraId="0377CBE3">
            <w:pPr>
              <w:pStyle w:val="7"/>
              <w:spacing w:before="196" w:line="219" w:lineRule="auto"/>
              <w:ind w:left="131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</w:p>
        </w:tc>
      </w:tr>
      <w:tr w14:paraId="0FB1FD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9C3C793">
            <w:pPr>
              <w:pStyle w:val="7"/>
              <w:spacing w:before="191" w:line="221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主要功能</w:t>
            </w:r>
          </w:p>
        </w:tc>
      </w:tr>
      <w:tr w14:paraId="6B1A34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8930" w:type="dxa"/>
            <w:gridSpan w:val="2"/>
            <w:vAlign w:val="top"/>
          </w:tcPr>
          <w:p w14:paraId="59AAC0AD">
            <w:pPr>
              <w:pStyle w:val="7"/>
              <w:spacing w:before="272" w:line="361" w:lineRule="auto"/>
              <w:ind w:left="116" w:right="27" w:hanging="1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1.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H3C智能管理中心</w:t>
            </w:r>
            <w:r>
              <w:rPr>
                <w:rFonts w:hint="eastAsia"/>
                <w:spacing w:val="-3"/>
                <w:sz w:val="24"/>
                <w:szCs w:val="24"/>
              </w:rPr>
              <w:t>用于监视大量交换机、路由器、主机及存储设备、数据库等大批服务是否正常,并提供可视化信息查询和运维对象的实时监控。保证了客户日常运维工作的顺利开展，提升了运维工程师的网络管控水平，降低了管理层的日常工作量，为决策层提供了可靠的数据依据。监控管理系统主要功能：监控网络服务；监控主机资源（处理器负荷、磁盘利用率等）</w:t>
            </w:r>
          </w:p>
        </w:tc>
      </w:tr>
      <w:tr w14:paraId="2CFFA8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13E078F5">
            <w:pPr>
              <w:pStyle w:val="7"/>
              <w:spacing w:before="194" w:line="220" w:lineRule="auto"/>
              <w:ind w:left="117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应用情况</w:t>
            </w:r>
          </w:p>
        </w:tc>
      </w:tr>
      <w:tr w14:paraId="7E55D3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930" w:type="dxa"/>
            <w:gridSpan w:val="2"/>
            <w:vAlign w:val="top"/>
          </w:tcPr>
          <w:p w14:paraId="00D1E778">
            <w:pPr>
              <w:pStyle w:val="7"/>
              <w:spacing w:before="275" w:line="360" w:lineRule="auto"/>
              <w:ind w:left="117" w:right="48" w:firstLine="7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pacing w:val="-2"/>
                <w:sz w:val="24"/>
                <w:szCs w:val="24"/>
              </w:rPr>
              <w:t>公司已经针对此工具进行了多次内部培训。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目前公司已经在运维服务中部署并</w:t>
            </w:r>
            <w:r>
              <w:rPr>
                <w:spacing w:val="-3"/>
                <w:sz w:val="24"/>
                <w:szCs w:val="24"/>
              </w:rPr>
              <w:t>使用</w:t>
            </w:r>
            <w:r>
              <w:rPr>
                <w:sz w:val="24"/>
                <w:szCs w:val="24"/>
              </w:rPr>
              <w:t>此工具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在网络管理和网络预警方面表现良好。</w:t>
            </w:r>
          </w:p>
        </w:tc>
      </w:tr>
      <w:tr w14:paraId="728480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930" w:type="dxa"/>
            <w:gridSpan w:val="2"/>
            <w:vAlign w:val="top"/>
          </w:tcPr>
          <w:p w14:paraId="0D3E3C29">
            <w:pPr>
              <w:pStyle w:val="7"/>
              <w:spacing w:before="196" w:line="219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收益情况</w:t>
            </w:r>
          </w:p>
        </w:tc>
      </w:tr>
      <w:tr w14:paraId="415760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</w:trPr>
        <w:tc>
          <w:tcPr>
            <w:tcW w:w="8930" w:type="dxa"/>
            <w:gridSpan w:val="2"/>
            <w:vAlign w:val="top"/>
          </w:tcPr>
          <w:p w14:paraId="57754EE0">
            <w:pPr>
              <w:pStyle w:val="7"/>
              <w:spacing w:before="272" w:line="361" w:lineRule="auto"/>
              <w:ind w:left="116" w:right="27" w:hanging="1"/>
              <w:jc w:val="both"/>
              <w:rPr>
                <w:rFonts w:hint="eastAsia"/>
                <w:spacing w:val="-3"/>
                <w:sz w:val="24"/>
                <w:szCs w:val="24"/>
              </w:rPr>
            </w:pPr>
            <w:r>
              <w:rPr>
                <w:rFonts w:hint="eastAsia"/>
                <w:spacing w:val="-3"/>
                <w:sz w:val="24"/>
                <w:szCs w:val="24"/>
              </w:rPr>
              <w:t>提高了运维人员发现问题、分析解决和解决问题的能力</w:t>
            </w:r>
          </w:p>
        </w:tc>
      </w:tr>
      <w:tr w14:paraId="6085BF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3528851D">
            <w:pPr>
              <w:pStyle w:val="7"/>
              <w:spacing w:before="194" w:line="219" w:lineRule="auto"/>
              <w:ind w:left="12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改进需求</w:t>
            </w:r>
          </w:p>
        </w:tc>
      </w:tr>
      <w:tr w14:paraId="063696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930" w:type="dxa"/>
            <w:gridSpan w:val="2"/>
            <w:shd w:val="clear" w:color="auto" w:fill="auto"/>
            <w:vAlign w:val="top"/>
          </w:tcPr>
          <w:p w14:paraId="4756C531">
            <w:pPr>
              <w:pStyle w:val="7"/>
              <w:spacing w:before="196" w:line="220" w:lineRule="auto"/>
              <w:ind w:left="12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spacing w:val="-9"/>
                <w:sz w:val="24"/>
                <w:szCs w:val="24"/>
              </w:rPr>
              <w:t>暂无</w:t>
            </w:r>
          </w:p>
        </w:tc>
      </w:tr>
    </w:tbl>
    <w:p w14:paraId="5208FC53">
      <w:pPr>
        <w:spacing w:line="23" w:lineRule="auto"/>
        <w:rPr>
          <w:rFonts w:ascii="Arial"/>
          <w:sz w:val="2"/>
        </w:rPr>
      </w:pPr>
    </w:p>
    <w:p w14:paraId="7CB15ECD">
      <w:pPr>
        <w:pStyle w:val="2"/>
      </w:pPr>
      <w:bookmarkStart w:id="3" w:name="bookmark5"/>
      <w:bookmarkEnd w:id="3"/>
      <w:bookmarkStart w:id="4" w:name="bookmark6"/>
      <w:bookmarkEnd w:id="4"/>
    </w:p>
    <w:sectPr>
      <w:headerReference r:id="rId5" w:type="default"/>
      <w:footerReference r:id="rId6" w:type="default"/>
      <w:pgSz w:w="11906" w:h="16839"/>
      <w:pgMar w:top="1437" w:right="1283" w:bottom="1152" w:left="0" w:header="927" w:footer="9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213A1B">
    <w:pPr>
      <w:spacing w:line="169" w:lineRule="auto"/>
      <w:ind w:left="5913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6CAC5">
    <w:pPr>
      <w:spacing w:before="47" w:line="232" w:lineRule="auto"/>
      <w:ind w:left="7874" w:right="516" w:hanging="817"/>
      <w:rPr>
        <w:rFonts w:ascii="仿宋" w:hAnsi="仿宋" w:eastAsia="仿宋" w:cs="仿宋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F46D15"/>
    <w:rsid w:val="02F079B0"/>
    <w:rsid w:val="03547F3F"/>
    <w:rsid w:val="03A06584"/>
    <w:rsid w:val="05AF5900"/>
    <w:rsid w:val="07046D5D"/>
    <w:rsid w:val="08752E31"/>
    <w:rsid w:val="088A4403"/>
    <w:rsid w:val="0969226A"/>
    <w:rsid w:val="09C13E54"/>
    <w:rsid w:val="0A086F7F"/>
    <w:rsid w:val="0B492353"/>
    <w:rsid w:val="0B602DC9"/>
    <w:rsid w:val="0C564D28"/>
    <w:rsid w:val="0CC06645"/>
    <w:rsid w:val="0CCE0D62"/>
    <w:rsid w:val="0DAB4BFF"/>
    <w:rsid w:val="0DDF1BCC"/>
    <w:rsid w:val="0FF02D9D"/>
    <w:rsid w:val="10501A8E"/>
    <w:rsid w:val="11E0601F"/>
    <w:rsid w:val="121D25EB"/>
    <w:rsid w:val="14B051F1"/>
    <w:rsid w:val="14F52C04"/>
    <w:rsid w:val="16691AFB"/>
    <w:rsid w:val="16A50D85"/>
    <w:rsid w:val="179A794E"/>
    <w:rsid w:val="18025D64"/>
    <w:rsid w:val="18EC2F10"/>
    <w:rsid w:val="1B7B0307"/>
    <w:rsid w:val="1CA92C52"/>
    <w:rsid w:val="1CB02232"/>
    <w:rsid w:val="1D152095"/>
    <w:rsid w:val="1E3429EF"/>
    <w:rsid w:val="1EBA55D7"/>
    <w:rsid w:val="1F3031B6"/>
    <w:rsid w:val="1F63358C"/>
    <w:rsid w:val="1F664E2A"/>
    <w:rsid w:val="1FD62AA2"/>
    <w:rsid w:val="22665141"/>
    <w:rsid w:val="22CA56D0"/>
    <w:rsid w:val="2376433B"/>
    <w:rsid w:val="24311EAA"/>
    <w:rsid w:val="24743B45"/>
    <w:rsid w:val="255319AC"/>
    <w:rsid w:val="267C13D7"/>
    <w:rsid w:val="276205CD"/>
    <w:rsid w:val="279544FE"/>
    <w:rsid w:val="296323DA"/>
    <w:rsid w:val="29C27101"/>
    <w:rsid w:val="2A0F525A"/>
    <w:rsid w:val="2B0F281A"/>
    <w:rsid w:val="2BBB2FE0"/>
    <w:rsid w:val="2C90767E"/>
    <w:rsid w:val="2D522E91"/>
    <w:rsid w:val="300E76FA"/>
    <w:rsid w:val="305D4027"/>
    <w:rsid w:val="30872E52"/>
    <w:rsid w:val="31653193"/>
    <w:rsid w:val="32A53E13"/>
    <w:rsid w:val="338D69D1"/>
    <w:rsid w:val="34CB7A56"/>
    <w:rsid w:val="357240D1"/>
    <w:rsid w:val="37E8067A"/>
    <w:rsid w:val="38FB43DD"/>
    <w:rsid w:val="394418E0"/>
    <w:rsid w:val="3CDE029E"/>
    <w:rsid w:val="3DA037A5"/>
    <w:rsid w:val="3DEC0266"/>
    <w:rsid w:val="3DEF3EBC"/>
    <w:rsid w:val="3F1E2BD3"/>
    <w:rsid w:val="404623E2"/>
    <w:rsid w:val="40860A30"/>
    <w:rsid w:val="415648A7"/>
    <w:rsid w:val="4391606A"/>
    <w:rsid w:val="43BD0832"/>
    <w:rsid w:val="44410C36"/>
    <w:rsid w:val="45703A5D"/>
    <w:rsid w:val="46C16C66"/>
    <w:rsid w:val="47992461"/>
    <w:rsid w:val="49A168DB"/>
    <w:rsid w:val="49FF3444"/>
    <w:rsid w:val="4B810772"/>
    <w:rsid w:val="4BD5286C"/>
    <w:rsid w:val="4D0F3483"/>
    <w:rsid w:val="4D3C7046"/>
    <w:rsid w:val="4DB16F0E"/>
    <w:rsid w:val="4E1A4EAE"/>
    <w:rsid w:val="4E9C3B15"/>
    <w:rsid w:val="4EB36188"/>
    <w:rsid w:val="4FB869AF"/>
    <w:rsid w:val="4FC3725F"/>
    <w:rsid w:val="5011589A"/>
    <w:rsid w:val="50281B04"/>
    <w:rsid w:val="51025EB1"/>
    <w:rsid w:val="52A511EA"/>
    <w:rsid w:val="534D428A"/>
    <w:rsid w:val="535449BE"/>
    <w:rsid w:val="553E1482"/>
    <w:rsid w:val="5563538C"/>
    <w:rsid w:val="561D19DF"/>
    <w:rsid w:val="56CB143B"/>
    <w:rsid w:val="5787713C"/>
    <w:rsid w:val="57C71C02"/>
    <w:rsid w:val="595E0345"/>
    <w:rsid w:val="5B742182"/>
    <w:rsid w:val="5C741C2D"/>
    <w:rsid w:val="5DCB1D21"/>
    <w:rsid w:val="5FCD1D80"/>
    <w:rsid w:val="60EF46F9"/>
    <w:rsid w:val="62092E18"/>
    <w:rsid w:val="625E13B5"/>
    <w:rsid w:val="64F8164D"/>
    <w:rsid w:val="656960A7"/>
    <w:rsid w:val="67443168"/>
    <w:rsid w:val="686D23BF"/>
    <w:rsid w:val="6AFB3C45"/>
    <w:rsid w:val="6E4771A1"/>
    <w:rsid w:val="6E970129"/>
    <w:rsid w:val="6F196D90"/>
    <w:rsid w:val="7010421F"/>
    <w:rsid w:val="70180483"/>
    <w:rsid w:val="728C1627"/>
    <w:rsid w:val="733171F2"/>
    <w:rsid w:val="73E711F7"/>
    <w:rsid w:val="74EA0887"/>
    <w:rsid w:val="77B6551D"/>
    <w:rsid w:val="77ED4FF0"/>
    <w:rsid w:val="79D57D57"/>
    <w:rsid w:val="7A456C8B"/>
    <w:rsid w:val="7A792DD8"/>
    <w:rsid w:val="7AE069B4"/>
    <w:rsid w:val="7C442F72"/>
    <w:rsid w:val="7CEC7892"/>
    <w:rsid w:val="7D1B1F25"/>
    <w:rsid w:val="7D344D95"/>
    <w:rsid w:val="7E394D59"/>
    <w:rsid w:val="7E8B6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940</Words>
  <Characters>995</Characters>
  <TotalTime>1</TotalTime>
  <ScaleCrop>false</ScaleCrop>
  <LinksUpToDate>false</LinksUpToDate>
  <CharactersWithSpaces>1007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2025-08-12T10:22:00Z</dcterms:created>
  <dc:creator>3</dc:creator>
  <cp:lastModifiedBy>郝宇</cp:lastModifiedBy>
  <dcterms:modified xsi:type="dcterms:W3CDTF">2025-08-27T16:26:42Z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2025-08-15T15:20:27Z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C8D3919C4E0A49589CED9BCAF0AF533E_13</vt:lpwstr>
  </property>
</Properties>
</file>