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44B9A8">
      <w:pPr>
        <w:pStyle w:val="11"/>
        <w:spacing w:line="260" w:lineRule="auto"/>
      </w:pPr>
    </w:p>
    <w:p w14:paraId="3FF73799">
      <w:pPr>
        <w:pStyle w:val="11"/>
        <w:spacing w:line="260" w:lineRule="auto"/>
      </w:pPr>
    </w:p>
    <w:p w14:paraId="276898B3">
      <w:pPr>
        <w:pStyle w:val="11"/>
        <w:spacing w:line="260" w:lineRule="auto"/>
      </w:pPr>
    </w:p>
    <w:p w14:paraId="1754E04B">
      <w:pPr>
        <w:pStyle w:val="11"/>
        <w:spacing w:line="260" w:lineRule="auto"/>
      </w:pPr>
    </w:p>
    <w:p w14:paraId="5F7C1EBD">
      <w:pPr>
        <w:pStyle w:val="11"/>
        <w:spacing w:line="260" w:lineRule="auto"/>
      </w:pPr>
    </w:p>
    <w:p w14:paraId="25889CF6">
      <w:pPr>
        <w:pStyle w:val="11"/>
        <w:spacing w:line="260" w:lineRule="auto"/>
      </w:pPr>
    </w:p>
    <w:p w14:paraId="5C2D948C">
      <w:pPr>
        <w:pStyle w:val="11"/>
        <w:spacing w:line="260" w:lineRule="auto"/>
      </w:pPr>
    </w:p>
    <w:p w14:paraId="68E9CFC2">
      <w:pPr>
        <w:pStyle w:val="11"/>
        <w:spacing w:line="260" w:lineRule="auto"/>
      </w:pPr>
    </w:p>
    <w:p w14:paraId="3F9EBC34">
      <w:pPr>
        <w:pStyle w:val="11"/>
        <w:spacing w:line="260" w:lineRule="auto"/>
      </w:pPr>
    </w:p>
    <w:p w14:paraId="5EEA5DAE">
      <w:pPr>
        <w:pStyle w:val="11"/>
        <w:spacing w:line="260" w:lineRule="auto"/>
      </w:pPr>
    </w:p>
    <w:p w14:paraId="3BCA4301">
      <w:pPr>
        <w:spacing w:before="169" w:line="220" w:lineRule="auto"/>
        <w:ind w:left="1345"/>
        <w:outlineLvl w:val="0"/>
        <w:rPr>
          <w:rFonts w:ascii="宋体" w:hAnsi="宋体" w:eastAsia="宋体" w:cs="宋体"/>
          <w:sz w:val="52"/>
          <w:szCs w:val="52"/>
        </w:rPr>
      </w:pPr>
      <w:bookmarkStart w:id="0" w:name="_Toc21669"/>
      <w:r>
        <w:rPr>
          <w:rFonts w:ascii="宋体" w:hAnsi="宋体" w:eastAsia="宋体" w:cs="宋体"/>
          <w:b/>
          <w:bCs/>
          <w:spacing w:val="-8"/>
          <w:sz w:val="52"/>
          <w:szCs w:val="52"/>
        </w:rPr>
        <w:t>服务台应用提升情况说明</w:t>
      </w:r>
      <w:bookmarkEnd w:id="0"/>
    </w:p>
    <w:p w14:paraId="52ED5044">
      <w:pPr>
        <w:pStyle w:val="11"/>
        <w:spacing w:line="247" w:lineRule="auto"/>
      </w:pPr>
    </w:p>
    <w:p w14:paraId="0D4A1C47">
      <w:pPr>
        <w:pStyle w:val="11"/>
        <w:spacing w:line="247" w:lineRule="auto"/>
      </w:pPr>
    </w:p>
    <w:p w14:paraId="32A9BD2C">
      <w:pPr>
        <w:pStyle w:val="11"/>
        <w:spacing w:line="247" w:lineRule="auto"/>
      </w:pPr>
    </w:p>
    <w:p w14:paraId="4A763526">
      <w:pPr>
        <w:pStyle w:val="11"/>
        <w:spacing w:line="247" w:lineRule="auto"/>
      </w:pPr>
    </w:p>
    <w:p w14:paraId="7038E905">
      <w:pPr>
        <w:pStyle w:val="11"/>
        <w:spacing w:line="247" w:lineRule="auto"/>
      </w:pPr>
    </w:p>
    <w:p w14:paraId="60FD54B4">
      <w:pPr>
        <w:pStyle w:val="11"/>
        <w:spacing w:line="247" w:lineRule="auto"/>
      </w:pPr>
    </w:p>
    <w:p w14:paraId="7137B91B">
      <w:pPr>
        <w:pStyle w:val="11"/>
        <w:spacing w:line="248" w:lineRule="auto"/>
      </w:pPr>
    </w:p>
    <w:p w14:paraId="0CA5030E">
      <w:pPr>
        <w:pStyle w:val="11"/>
        <w:spacing w:line="248" w:lineRule="auto"/>
      </w:pPr>
    </w:p>
    <w:p w14:paraId="79718B7E">
      <w:pPr>
        <w:spacing w:line="1570" w:lineRule="exact"/>
        <w:ind w:firstLine="1553"/>
      </w:pPr>
      <w:r>
        <w:rPr>
          <w:position w:val="-31"/>
        </w:rPr>
        <w:drawing>
          <wp:inline distT="0" distB="0" distL="0" distR="0">
            <wp:extent cx="3341370" cy="99631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2"/>
                    <a:stretch>
                      <a:fillRect/>
                    </a:stretch>
                  </pic:blipFill>
                  <pic:spPr>
                    <a:xfrm>
                      <a:off x="0" y="0"/>
                      <a:ext cx="3341370" cy="996949"/>
                    </a:xfrm>
                    <a:prstGeom prst="rect">
                      <a:avLst/>
                    </a:prstGeom>
                  </pic:spPr>
                </pic:pic>
              </a:graphicData>
            </a:graphic>
          </wp:inline>
        </w:drawing>
      </w:r>
    </w:p>
    <w:p w14:paraId="313D845F">
      <w:pPr>
        <w:pStyle w:val="11"/>
        <w:spacing w:line="246" w:lineRule="auto"/>
      </w:pPr>
    </w:p>
    <w:p w14:paraId="74E44184">
      <w:pPr>
        <w:pStyle w:val="11"/>
        <w:spacing w:line="246" w:lineRule="auto"/>
      </w:pPr>
    </w:p>
    <w:p w14:paraId="7825B936">
      <w:pPr>
        <w:pStyle w:val="11"/>
        <w:spacing w:line="246" w:lineRule="auto"/>
      </w:pPr>
    </w:p>
    <w:p w14:paraId="7ED54B7F">
      <w:pPr>
        <w:pStyle w:val="11"/>
        <w:spacing w:line="246" w:lineRule="auto"/>
      </w:pPr>
    </w:p>
    <w:p w14:paraId="7BC8B2EA">
      <w:pPr>
        <w:pStyle w:val="11"/>
        <w:spacing w:line="247" w:lineRule="auto"/>
      </w:pPr>
    </w:p>
    <w:p w14:paraId="47D1229B">
      <w:pPr>
        <w:pStyle w:val="11"/>
        <w:spacing w:line="247" w:lineRule="auto"/>
      </w:pPr>
    </w:p>
    <w:p w14:paraId="2A8D2944">
      <w:pPr>
        <w:pStyle w:val="11"/>
        <w:spacing w:line="247" w:lineRule="auto"/>
      </w:pPr>
    </w:p>
    <w:p w14:paraId="4DE1D1F9">
      <w:pPr>
        <w:pStyle w:val="11"/>
        <w:spacing w:line="247" w:lineRule="auto"/>
      </w:pPr>
    </w:p>
    <w:p w14:paraId="64C27B72">
      <w:pPr>
        <w:pStyle w:val="11"/>
        <w:spacing w:line="247" w:lineRule="auto"/>
      </w:pPr>
    </w:p>
    <w:p w14:paraId="07996ABA">
      <w:pPr>
        <w:pStyle w:val="11"/>
        <w:spacing w:line="247" w:lineRule="auto"/>
      </w:pPr>
    </w:p>
    <w:p w14:paraId="2B03C093">
      <w:pPr>
        <w:pStyle w:val="11"/>
        <w:spacing w:line="247" w:lineRule="auto"/>
      </w:pPr>
    </w:p>
    <w:p w14:paraId="4801F6B5">
      <w:pPr>
        <w:pStyle w:val="11"/>
        <w:spacing w:line="247" w:lineRule="auto"/>
      </w:pPr>
    </w:p>
    <w:p w14:paraId="3D8D5C07">
      <w:pPr>
        <w:pStyle w:val="11"/>
        <w:spacing w:line="247" w:lineRule="auto"/>
      </w:pPr>
    </w:p>
    <w:p w14:paraId="7652DE80">
      <w:pPr>
        <w:pStyle w:val="11"/>
        <w:spacing w:line="247" w:lineRule="auto"/>
      </w:pPr>
    </w:p>
    <w:p w14:paraId="6CBEB947">
      <w:pPr>
        <w:pStyle w:val="11"/>
        <w:spacing w:line="247" w:lineRule="auto"/>
      </w:pPr>
    </w:p>
    <w:p w14:paraId="04B51CD4">
      <w:pPr>
        <w:pStyle w:val="11"/>
        <w:spacing w:line="247" w:lineRule="auto"/>
      </w:pPr>
    </w:p>
    <w:p w14:paraId="028A075A">
      <w:pPr>
        <w:spacing w:before="117" w:line="219" w:lineRule="auto"/>
        <w:ind w:left="1679"/>
        <w:rPr>
          <w:rFonts w:ascii="宋体" w:hAnsi="宋体" w:eastAsia="宋体" w:cs="宋体"/>
          <w:sz w:val="36"/>
          <w:szCs w:val="36"/>
        </w:rPr>
      </w:pPr>
      <w:r>
        <w:rPr>
          <w:rFonts w:ascii="宋体" w:hAnsi="宋体" w:eastAsia="宋体" w:cs="宋体"/>
          <w:spacing w:val="-2"/>
          <w:sz w:val="36"/>
          <w:szCs w:val="36"/>
        </w:rPr>
        <w:t>青岛慧海联创信息技术有限公司</w:t>
      </w:r>
    </w:p>
    <w:p w14:paraId="5354FB93">
      <w:pPr>
        <w:spacing w:before="224" w:line="220" w:lineRule="auto"/>
        <w:ind w:left="2808"/>
        <w:rPr>
          <w:rFonts w:ascii="宋体" w:hAnsi="宋体" w:eastAsia="宋体" w:cs="宋体"/>
          <w:sz w:val="36"/>
          <w:szCs w:val="36"/>
        </w:rPr>
      </w:pPr>
      <w:r>
        <w:rPr>
          <w:rFonts w:ascii="宋体" w:hAnsi="宋体" w:eastAsia="宋体" w:cs="宋体"/>
          <w:spacing w:val="-10"/>
          <w:sz w:val="36"/>
          <w:szCs w:val="36"/>
        </w:rPr>
        <w:t>2025年</w:t>
      </w:r>
      <w:r>
        <w:rPr>
          <w:rFonts w:ascii="宋体" w:hAnsi="宋体" w:eastAsia="宋体" w:cs="宋体"/>
          <w:spacing w:val="-72"/>
          <w:sz w:val="36"/>
          <w:szCs w:val="36"/>
        </w:rPr>
        <w:t xml:space="preserve"> </w:t>
      </w:r>
      <w:r>
        <w:rPr>
          <w:rFonts w:ascii="宋体" w:hAnsi="宋体" w:eastAsia="宋体" w:cs="宋体"/>
          <w:spacing w:val="-10"/>
          <w:sz w:val="36"/>
          <w:szCs w:val="36"/>
        </w:rPr>
        <w:t>6</w:t>
      </w:r>
      <w:r>
        <w:rPr>
          <w:rFonts w:ascii="宋体" w:hAnsi="宋体" w:eastAsia="宋体" w:cs="宋体"/>
          <w:spacing w:val="-67"/>
          <w:sz w:val="36"/>
          <w:szCs w:val="36"/>
        </w:rPr>
        <w:t xml:space="preserve"> </w:t>
      </w:r>
      <w:r>
        <w:rPr>
          <w:rFonts w:ascii="宋体" w:hAnsi="宋体" w:eastAsia="宋体" w:cs="宋体"/>
          <w:spacing w:val="-10"/>
          <w:sz w:val="36"/>
          <w:szCs w:val="36"/>
        </w:rPr>
        <w:t>月</w:t>
      </w:r>
      <w:r>
        <w:rPr>
          <w:rFonts w:ascii="宋体" w:hAnsi="宋体" w:eastAsia="宋体" w:cs="宋体"/>
          <w:spacing w:val="-72"/>
          <w:sz w:val="36"/>
          <w:szCs w:val="36"/>
        </w:rPr>
        <w:t xml:space="preserve"> </w:t>
      </w:r>
      <w:r>
        <w:rPr>
          <w:rFonts w:ascii="宋体" w:hAnsi="宋体" w:eastAsia="宋体" w:cs="宋体"/>
          <w:spacing w:val="-10"/>
          <w:sz w:val="36"/>
          <w:szCs w:val="36"/>
        </w:rPr>
        <w:t>2</w:t>
      </w:r>
      <w:r>
        <w:rPr>
          <w:rFonts w:ascii="宋体" w:hAnsi="宋体" w:eastAsia="宋体" w:cs="宋体"/>
          <w:spacing w:val="-73"/>
          <w:sz w:val="36"/>
          <w:szCs w:val="36"/>
        </w:rPr>
        <w:t xml:space="preserve"> </w:t>
      </w:r>
      <w:r>
        <w:rPr>
          <w:rFonts w:ascii="宋体" w:hAnsi="宋体" w:eastAsia="宋体" w:cs="宋体"/>
          <w:spacing w:val="-10"/>
          <w:sz w:val="36"/>
          <w:szCs w:val="36"/>
        </w:rPr>
        <w:t>0 日</w:t>
      </w:r>
    </w:p>
    <w:p w14:paraId="65921B0E">
      <w:pPr>
        <w:spacing w:line="220" w:lineRule="auto"/>
        <w:rPr>
          <w:rFonts w:ascii="宋体" w:hAnsi="宋体" w:eastAsia="宋体" w:cs="宋体"/>
          <w:sz w:val="36"/>
          <w:szCs w:val="36"/>
        </w:rPr>
        <w:sectPr>
          <w:headerReference r:id="rId5" w:type="default"/>
          <w:pgSz w:w="11906" w:h="16839"/>
          <w:pgMar w:top="1097" w:right="1767" w:bottom="0" w:left="1768" w:header="1082" w:footer="0" w:gutter="0"/>
          <w:cols w:space="720" w:num="1"/>
        </w:sectPr>
      </w:pPr>
    </w:p>
    <w:p w14:paraId="251D18A3">
      <w:pPr>
        <w:pStyle w:val="11"/>
        <w:spacing w:line="297" w:lineRule="auto"/>
      </w:pPr>
    </w:p>
    <w:p w14:paraId="1EFDBD5D">
      <w:pPr>
        <w:pStyle w:val="11"/>
        <w:spacing w:line="297" w:lineRule="auto"/>
      </w:pPr>
    </w:p>
    <w:p w14:paraId="32D83297">
      <w:pPr>
        <w:pStyle w:val="11"/>
        <w:spacing w:line="298" w:lineRule="auto"/>
      </w:pPr>
    </w:p>
    <w:p w14:paraId="0EFAB4CA">
      <w:pPr>
        <w:spacing w:before="91" w:line="220" w:lineRule="auto"/>
        <w:ind w:left="3778"/>
        <w:outlineLvl w:val="0"/>
        <w:rPr>
          <w:rFonts w:ascii="宋体" w:hAnsi="宋体" w:eastAsia="宋体" w:cs="宋体"/>
          <w:sz w:val="28"/>
          <w:szCs w:val="28"/>
        </w:rPr>
      </w:pPr>
      <w:bookmarkStart w:id="1" w:name="_Toc2622"/>
      <w:r>
        <w:rPr>
          <w:rFonts w:ascii="宋体" w:hAnsi="宋体" w:eastAsia="宋体" w:cs="宋体"/>
          <w:spacing w:val="-3"/>
          <w:sz w:val="28"/>
          <w:szCs w:val="28"/>
        </w:rPr>
        <w:t>文档信息</w:t>
      </w:r>
      <w:bookmarkEnd w:id="1"/>
    </w:p>
    <w:p w14:paraId="0F9D9B06">
      <w:pPr>
        <w:spacing w:line="131" w:lineRule="exact"/>
      </w:pPr>
    </w:p>
    <w:tbl>
      <w:tblPr>
        <w:tblStyle w:val="18"/>
        <w:tblW w:w="863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2"/>
        <w:gridCol w:w="1557"/>
        <w:gridCol w:w="2121"/>
        <w:gridCol w:w="1698"/>
        <w:gridCol w:w="1561"/>
      </w:tblGrid>
      <w:tr w14:paraId="08A9C6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702" w:type="dxa"/>
            <w:vAlign w:val="top"/>
          </w:tcPr>
          <w:p w14:paraId="5F0BA95B">
            <w:pPr>
              <w:pStyle w:val="19"/>
              <w:spacing w:before="139" w:line="220" w:lineRule="auto"/>
              <w:ind w:left="224"/>
            </w:pPr>
            <w:r>
              <w:rPr>
                <w:spacing w:val="-2"/>
              </w:rPr>
              <w:t>文档名称编号</w:t>
            </w:r>
          </w:p>
        </w:tc>
        <w:tc>
          <w:tcPr>
            <w:tcW w:w="6937" w:type="dxa"/>
            <w:gridSpan w:val="4"/>
            <w:vAlign w:val="top"/>
          </w:tcPr>
          <w:p w14:paraId="4946E196">
            <w:pPr>
              <w:pStyle w:val="19"/>
              <w:spacing w:before="139" w:line="220" w:lineRule="auto"/>
              <w:ind w:left="108"/>
            </w:pPr>
            <w:r>
              <w:rPr>
                <w:spacing w:val="-1"/>
              </w:rPr>
              <w:t>服务台应用提升情况说明</w:t>
            </w:r>
          </w:p>
        </w:tc>
      </w:tr>
      <w:tr w14:paraId="56ACED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702" w:type="dxa"/>
            <w:vAlign w:val="top"/>
          </w:tcPr>
          <w:p w14:paraId="54435006">
            <w:pPr>
              <w:pStyle w:val="19"/>
              <w:spacing w:before="136" w:line="220" w:lineRule="auto"/>
              <w:ind w:left="434"/>
            </w:pPr>
            <w:r>
              <w:rPr>
                <w:spacing w:val="-2"/>
              </w:rPr>
              <w:t>编制单位</w:t>
            </w:r>
          </w:p>
        </w:tc>
        <w:tc>
          <w:tcPr>
            <w:tcW w:w="6937" w:type="dxa"/>
            <w:gridSpan w:val="4"/>
            <w:vAlign w:val="top"/>
          </w:tcPr>
          <w:p w14:paraId="1F63F4D3">
            <w:pPr>
              <w:pStyle w:val="19"/>
              <w:spacing w:before="137" w:line="219" w:lineRule="auto"/>
              <w:ind w:left="108"/>
            </w:pPr>
            <w:r>
              <w:rPr>
                <w:spacing w:val="-1"/>
              </w:rPr>
              <w:t>青岛慧海联创信息技术有限公司</w:t>
            </w:r>
          </w:p>
        </w:tc>
      </w:tr>
      <w:tr w14:paraId="24DB05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702" w:type="dxa"/>
            <w:vAlign w:val="top"/>
          </w:tcPr>
          <w:p w14:paraId="2B1BE325">
            <w:pPr>
              <w:pStyle w:val="19"/>
              <w:spacing w:before="139" w:line="219" w:lineRule="auto"/>
              <w:ind w:left="434"/>
            </w:pPr>
            <w:r>
              <w:rPr>
                <w:spacing w:val="-2"/>
              </w:rPr>
              <w:t>文档版本</w:t>
            </w:r>
          </w:p>
        </w:tc>
        <w:tc>
          <w:tcPr>
            <w:tcW w:w="1557" w:type="dxa"/>
            <w:vAlign w:val="top"/>
          </w:tcPr>
          <w:p w14:paraId="7A1FEDD7">
            <w:pPr>
              <w:pStyle w:val="19"/>
              <w:spacing w:before="139" w:line="219" w:lineRule="auto"/>
              <w:ind w:left="360"/>
            </w:pPr>
            <w:r>
              <w:rPr>
                <w:spacing w:val="-2"/>
              </w:rPr>
              <w:t>版本日期</w:t>
            </w:r>
          </w:p>
        </w:tc>
        <w:tc>
          <w:tcPr>
            <w:tcW w:w="2121" w:type="dxa"/>
            <w:vAlign w:val="top"/>
          </w:tcPr>
          <w:p w14:paraId="53E8206F">
            <w:pPr>
              <w:pStyle w:val="19"/>
              <w:spacing w:before="139" w:line="219" w:lineRule="auto"/>
              <w:ind w:left="645"/>
            </w:pPr>
            <w:r>
              <w:rPr>
                <w:spacing w:val="-2"/>
              </w:rPr>
              <w:t>版本说明</w:t>
            </w:r>
          </w:p>
        </w:tc>
        <w:tc>
          <w:tcPr>
            <w:tcW w:w="1698" w:type="dxa"/>
            <w:vAlign w:val="top"/>
          </w:tcPr>
          <w:p w14:paraId="50CE909B">
            <w:pPr>
              <w:pStyle w:val="19"/>
              <w:spacing w:before="139" w:line="220" w:lineRule="auto"/>
              <w:ind w:left="593"/>
            </w:pPr>
            <w:r>
              <w:rPr>
                <w:spacing w:val="-5"/>
              </w:rPr>
              <w:t>作</w:t>
            </w:r>
            <w:r>
              <w:rPr>
                <w:spacing w:val="9"/>
              </w:rPr>
              <w:t xml:space="preserve"> </w:t>
            </w:r>
            <w:r>
              <w:rPr>
                <w:spacing w:val="-5"/>
              </w:rPr>
              <w:t>者</w:t>
            </w:r>
          </w:p>
        </w:tc>
        <w:tc>
          <w:tcPr>
            <w:tcW w:w="1561" w:type="dxa"/>
            <w:vAlign w:val="top"/>
          </w:tcPr>
          <w:p w14:paraId="79E1ED98">
            <w:pPr>
              <w:pStyle w:val="19"/>
              <w:spacing w:before="139" w:line="220" w:lineRule="auto"/>
              <w:ind w:left="586"/>
            </w:pPr>
            <w:r>
              <w:rPr>
                <w:spacing w:val="-5"/>
              </w:rPr>
              <w:t>审核</w:t>
            </w:r>
          </w:p>
        </w:tc>
      </w:tr>
      <w:tr w14:paraId="6D1861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2" w:type="dxa"/>
            <w:vAlign w:val="top"/>
          </w:tcPr>
          <w:p w14:paraId="44EDABE9">
            <w:pPr>
              <w:pStyle w:val="19"/>
              <w:spacing w:before="104" w:line="239" w:lineRule="auto"/>
              <w:ind w:left="637"/>
            </w:pPr>
            <w:r>
              <w:rPr>
                <w:spacing w:val="-1"/>
              </w:rPr>
              <w:t>V1.0</w:t>
            </w:r>
          </w:p>
        </w:tc>
        <w:tc>
          <w:tcPr>
            <w:tcW w:w="1557" w:type="dxa"/>
            <w:vAlign w:val="top"/>
          </w:tcPr>
          <w:p w14:paraId="068FE53B">
            <w:pPr>
              <w:pStyle w:val="19"/>
              <w:spacing w:before="104"/>
              <w:ind w:left="362"/>
              <w:rPr>
                <w:rFonts w:hint="eastAsia" w:eastAsia="宋体"/>
                <w:lang w:val="en-US" w:eastAsia="zh-CN"/>
              </w:rPr>
            </w:pPr>
            <w:r>
              <w:rPr>
                <w:spacing w:val="-2"/>
              </w:rPr>
              <w:t>2025-6-2</w:t>
            </w:r>
            <w:r>
              <w:rPr>
                <w:rFonts w:hint="eastAsia"/>
                <w:spacing w:val="-2"/>
                <w:lang w:val="en-US" w:eastAsia="zh-CN"/>
              </w:rPr>
              <w:t>7</w:t>
            </w:r>
          </w:p>
        </w:tc>
        <w:tc>
          <w:tcPr>
            <w:tcW w:w="2121" w:type="dxa"/>
            <w:vAlign w:val="top"/>
          </w:tcPr>
          <w:p w14:paraId="266380AF">
            <w:pPr>
              <w:pStyle w:val="19"/>
              <w:spacing w:before="74" w:line="219" w:lineRule="auto"/>
              <w:ind w:left="647"/>
            </w:pPr>
            <w:r>
              <w:rPr>
                <w:spacing w:val="-3"/>
              </w:rPr>
              <w:t>发布版本</w:t>
            </w:r>
          </w:p>
        </w:tc>
        <w:tc>
          <w:tcPr>
            <w:tcW w:w="1698" w:type="dxa"/>
            <w:vAlign w:val="top"/>
          </w:tcPr>
          <w:p w14:paraId="43423A8A">
            <w:pPr>
              <w:pStyle w:val="19"/>
              <w:spacing w:before="75" w:line="220" w:lineRule="auto"/>
              <w:ind w:left="550"/>
              <w:rPr>
                <w:rFonts w:hint="eastAsia" w:eastAsia="宋体"/>
                <w:lang w:val="en-US" w:eastAsia="zh-CN"/>
              </w:rPr>
            </w:pPr>
            <w:r>
              <w:rPr>
                <w:rFonts w:hint="eastAsia"/>
                <w:lang w:val="en-US" w:eastAsia="zh-CN"/>
              </w:rPr>
              <w:t>郑永伟</w:t>
            </w:r>
          </w:p>
        </w:tc>
        <w:tc>
          <w:tcPr>
            <w:tcW w:w="1561" w:type="dxa"/>
            <w:vAlign w:val="top"/>
          </w:tcPr>
          <w:p w14:paraId="3887065F">
            <w:pPr>
              <w:pStyle w:val="19"/>
              <w:spacing w:before="74" w:line="220" w:lineRule="auto"/>
              <w:ind w:left="476"/>
            </w:pPr>
            <w:r>
              <w:rPr>
                <w:spacing w:val="-3"/>
              </w:rPr>
              <w:t>张仲全</w:t>
            </w:r>
          </w:p>
        </w:tc>
      </w:tr>
      <w:tr w14:paraId="3DFFFF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2" w:type="dxa"/>
            <w:vAlign w:val="top"/>
          </w:tcPr>
          <w:p w14:paraId="3A6F8F25">
            <w:pPr>
              <w:rPr>
                <w:rFonts w:ascii="Arial"/>
                <w:sz w:val="21"/>
              </w:rPr>
            </w:pPr>
          </w:p>
        </w:tc>
        <w:tc>
          <w:tcPr>
            <w:tcW w:w="1557" w:type="dxa"/>
            <w:vAlign w:val="top"/>
          </w:tcPr>
          <w:p w14:paraId="22984B6B">
            <w:pPr>
              <w:rPr>
                <w:rFonts w:ascii="Arial"/>
                <w:sz w:val="21"/>
              </w:rPr>
            </w:pPr>
          </w:p>
        </w:tc>
        <w:tc>
          <w:tcPr>
            <w:tcW w:w="2121" w:type="dxa"/>
            <w:vAlign w:val="top"/>
          </w:tcPr>
          <w:p w14:paraId="5BA227F4">
            <w:pPr>
              <w:rPr>
                <w:rFonts w:ascii="Arial"/>
                <w:sz w:val="21"/>
              </w:rPr>
            </w:pPr>
          </w:p>
        </w:tc>
        <w:tc>
          <w:tcPr>
            <w:tcW w:w="1698" w:type="dxa"/>
            <w:vAlign w:val="top"/>
          </w:tcPr>
          <w:p w14:paraId="7D964649">
            <w:pPr>
              <w:rPr>
                <w:rFonts w:ascii="Arial"/>
                <w:sz w:val="21"/>
              </w:rPr>
            </w:pPr>
          </w:p>
        </w:tc>
        <w:tc>
          <w:tcPr>
            <w:tcW w:w="1561" w:type="dxa"/>
            <w:vAlign w:val="top"/>
          </w:tcPr>
          <w:p w14:paraId="0409D5D8">
            <w:pPr>
              <w:rPr>
                <w:rFonts w:ascii="Arial"/>
                <w:sz w:val="21"/>
              </w:rPr>
            </w:pPr>
          </w:p>
        </w:tc>
      </w:tr>
      <w:tr w14:paraId="0502D9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702" w:type="dxa"/>
            <w:vAlign w:val="top"/>
          </w:tcPr>
          <w:p w14:paraId="58551F60">
            <w:pPr>
              <w:rPr>
                <w:rFonts w:ascii="Arial"/>
                <w:sz w:val="21"/>
              </w:rPr>
            </w:pPr>
          </w:p>
        </w:tc>
        <w:tc>
          <w:tcPr>
            <w:tcW w:w="1557" w:type="dxa"/>
            <w:vAlign w:val="top"/>
          </w:tcPr>
          <w:p w14:paraId="2B0F1431">
            <w:pPr>
              <w:rPr>
                <w:rFonts w:ascii="Arial"/>
                <w:sz w:val="21"/>
              </w:rPr>
            </w:pPr>
          </w:p>
        </w:tc>
        <w:tc>
          <w:tcPr>
            <w:tcW w:w="2121" w:type="dxa"/>
            <w:vAlign w:val="top"/>
          </w:tcPr>
          <w:p w14:paraId="18930E82">
            <w:pPr>
              <w:rPr>
                <w:rFonts w:ascii="Arial"/>
                <w:sz w:val="21"/>
              </w:rPr>
            </w:pPr>
          </w:p>
        </w:tc>
        <w:tc>
          <w:tcPr>
            <w:tcW w:w="1698" w:type="dxa"/>
            <w:vAlign w:val="top"/>
          </w:tcPr>
          <w:p w14:paraId="6DEBD22A">
            <w:pPr>
              <w:rPr>
                <w:rFonts w:ascii="Arial"/>
                <w:sz w:val="21"/>
              </w:rPr>
            </w:pPr>
          </w:p>
        </w:tc>
        <w:tc>
          <w:tcPr>
            <w:tcW w:w="1561" w:type="dxa"/>
            <w:vAlign w:val="top"/>
          </w:tcPr>
          <w:p w14:paraId="7A59F9F8">
            <w:pPr>
              <w:rPr>
                <w:rFonts w:ascii="Arial"/>
                <w:sz w:val="21"/>
              </w:rPr>
            </w:pPr>
          </w:p>
        </w:tc>
      </w:tr>
      <w:tr w14:paraId="33D35A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702" w:type="dxa"/>
            <w:vAlign w:val="top"/>
          </w:tcPr>
          <w:p w14:paraId="17B900EC">
            <w:pPr>
              <w:rPr>
                <w:rFonts w:ascii="Arial"/>
                <w:sz w:val="21"/>
              </w:rPr>
            </w:pPr>
          </w:p>
        </w:tc>
        <w:tc>
          <w:tcPr>
            <w:tcW w:w="1557" w:type="dxa"/>
            <w:vAlign w:val="top"/>
          </w:tcPr>
          <w:p w14:paraId="245F4C4F">
            <w:pPr>
              <w:rPr>
                <w:rFonts w:ascii="Arial"/>
                <w:sz w:val="21"/>
              </w:rPr>
            </w:pPr>
          </w:p>
        </w:tc>
        <w:tc>
          <w:tcPr>
            <w:tcW w:w="2121" w:type="dxa"/>
            <w:vAlign w:val="top"/>
          </w:tcPr>
          <w:p w14:paraId="43D0488B">
            <w:pPr>
              <w:rPr>
                <w:rFonts w:ascii="Arial"/>
                <w:sz w:val="21"/>
              </w:rPr>
            </w:pPr>
          </w:p>
        </w:tc>
        <w:tc>
          <w:tcPr>
            <w:tcW w:w="1698" w:type="dxa"/>
            <w:vAlign w:val="top"/>
          </w:tcPr>
          <w:p w14:paraId="7E6DDDFB">
            <w:pPr>
              <w:rPr>
                <w:rFonts w:ascii="Arial"/>
                <w:sz w:val="21"/>
              </w:rPr>
            </w:pPr>
          </w:p>
        </w:tc>
        <w:tc>
          <w:tcPr>
            <w:tcW w:w="1561" w:type="dxa"/>
            <w:vAlign w:val="top"/>
          </w:tcPr>
          <w:p w14:paraId="09CB19FC">
            <w:pPr>
              <w:rPr>
                <w:rFonts w:ascii="Arial"/>
                <w:sz w:val="21"/>
              </w:rPr>
            </w:pPr>
          </w:p>
        </w:tc>
      </w:tr>
    </w:tbl>
    <w:p w14:paraId="0124F12B">
      <w:pPr>
        <w:pStyle w:val="11"/>
      </w:pPr>
    </w:p>
    <w:p w14:paraId="667421D1">
      <w:pPr>
        <w:sectPr>
          <w:headerReference r:id="rId6" w:type="default"/>
          <w:pgSz w:w="11906" w:h="16839"/>
          <w:pgMar w:top="1097" w:right="1627" w:bottom="0" w:left="1628" w:header="1082" w:footer="0" w:gutter="0"/>
          <w:cols w:space="720" w:num="1"/>
        </w:sectPr>
      </w:pPr>
    </w:p>
    <w:p w14:paraId="2424224B">
      <w:pPr>
        <w:pStyle w:val="11"/>
        <w:spacing w:line="258" w:lineRule="auto"/>
      </w:pPr>
    </w:p>
    <w:p w14:paraId="3AC1B905">
      <w:pPr>
        <w:pStyle w:val="11"/>
        <w:spacing w:line="258" w:lineRule="auto"/>
      </w:pPr>
    </w:p>
    <w:p w14:paraId="610EC569">
      <w:pPr>
        <w:pStyle w:val="11"/>
        <w:spacing w:line="258" w:lineRule="auto"/>
      </w:pPr>
    </w:p>
    <w:p w14:paraId="7E365281">
      <w:pPr>
        <w:pStyle w:val="11"/>
        <w:spacing w:line="258" w:lineRule="auto"/>
      </w:pPr>
    </w:p>
    <w:p w14:paraId="79C7A3F5">
      <w:pPr>
        <w:pStyle w:val="11"/>
        <w:spacing w:line="258" w:lineRule="auto"/>
      </w:pPr>
    </w:p>
    <w:p w14:paraId="4AC1E29A">
      <w:pPr>
        <w:pStyle w:val="11"/>
        <w:spacing w:line="258" w:lineRule="auto"/>
      </w:pPr>
    </w:p>
    <w:sdt>
      <w:sdtPr>
        <w:rPr>
          <w:rFonts w:ascii="宋体" w:hAnsi="宋体" w:eastAsia="宋体" w:cs="Arial"/>
          <w:snapToGrid w:val="0"/>
          <w:color w:val="000000"/>
          <w:kern w:val="0"/>
          <w:sz w:val="21"/>
          <w:szCs w:val="21"/>
          <w:lang w:val="en-US" w:eastAsia="en-US" w:bidi="ar-SA"/>
        </w:rPr>
        <w:id w:val="147467022"/>
        <w15:color w:val="DBDBDB"/>
        <w:docPartObj>
          <w:docPartGallery w:val="Table of Contents"/>
          <w:docPartUnique/>
        </w:docPartObj>
      </w:sdtPr>
      <w:sdtEndPr>
        <w:rPr>
          <w:rFonts w:ascii="Cambria" w:hAnsi="Cambria" w:eastAsia="Cambria" w:cs="Cambria"/>
          <w:snapToGrid w:val="0"/>
          <w:color w:val="000000"/>
          <w:kern w:val="0"/>
          <w:sz w:val="21"/>
          <w:szCs w:val="24"/>
          <w:lang w:val="en-US" w:eastAsia="en-US" w:bidi="ar-SA"/>
        </w:rPr>
      </w:sdtEndPr>
      <w:sdtContent>
        <w:p w14:paraId="6A66AB9C">
          <w:pPr>
            <w:spacing w:before="0" w:beforeLines="0" w:after="0" w:afterLines="0" w:line="240" w:lineRule="auto"/>
            <w:ind w:left="0" w:leftChars="0" w:right="0" w:rightChars="0" w:firstLine="0" w:firstLineChars="0"/>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t>目录</w:t>
          </w:r>
        </w:p>
        <w:p w14:paraId="37756469">
          <w:pPr>
            <w:pStyle w:val="14"/>
            <w:tabs>
              <w:tab w:val="right" w:leader="dot" w:pos="9724"/>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_Toc21669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rPr>
            <w:t>服务台应用提升情况说明</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_Toc21669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3493901">
          <w:pPr>
            <w:pStyle w:val="14"/>
            <w:tabs>
              <w:tab w:val="right" w:leader="dot" w:pos="9724"/>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_Toc2622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3"/>
              <w:sz w:val="24"/>
              <w:szCs w:val="24"/>
            </w:rPr>
            <w:t>文档信息</w:t>
          </w:r>
          <w:bookmarkStart w:id="11" w:name="_GoBack"/>
          <w:bookmarkEnd w:id="11"/>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_Toc2622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91C3BD8">
          <w:pPr>
            <w:pStyle w:val="14"/>
            <w:tabs>
              <w:tab w:val="right" w:leader="dot" w:pos="9724"/>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_Toc17367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 服务台概况</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_Toc17367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36E5032">
          <w:pPr>
            <w:pStyle w:val="14"/>
            <w:tabs>
              <w:tab w:val="right" w:leader="dot" w:pos="9724"/>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_Toc16843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 严格要求服务台工作</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_Toc16843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9275A7D">
          <w:pPr>
            <w:pStyle w:val="15"/>
            <w:tabs>
              <w:tab w:val="right" w:leader="dot" w:pos="9724"/>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_Toc23012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2.1. 提升服务台工作效率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_Toc23012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A2A2CAB">
          <w:pPr>
            <w:pStyle w:val="15"/>
            <w:tabs>
              <w:tab w:val="right" w:leader="dot" w:pos="9724"/>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_Toc25901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2.2. 服务台录入事件的完整率稳步提升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_Toc25901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4130EFC">
          <w:pPr>
            <w:pStyle w:val="15"/>
            <w:tabs>
              <w:tab w:val="right" w:leader="dot" w:pos="9724"/>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_Toc27717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 回访用户满意度考核</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_Toc27717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EE662F2">
          <w:pPr>
            <w:pStyle w:val="15"/>
            <w:tabs>
              <w:tab w:val="right" w:leader="dot" w:pos="9724"/>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_Toc12571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2.4. 客户满意度有效提升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_Toc12571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BF89070">
          <w:pPr>
            <w:spacing w:line="220" w:lineRule="auto"/>
            <w:rPr>
              <w:rFonts w:ascii="Cambria" w:hAnsi="Cambria" w:eastAsia="Cambria" w:cs="Cambria"/>
              <w:snapToGrid w:val="0"/>
              <w:color w:val="000000"/>
              <w:kern w:val="0"/>
              <w:sz w:val="21"/>
              <w:szCs w:val="24"/>
              <w:lang w:val="en-US" w:eastAsia="en-US" w:bidi="ar-SA"/>
            </w:rPr>
          </w:pPr>
          <w:r>
            <w:rPr>
              <w:rFonts w:hint="eastAsia" w:ascii="Microsoft JhengHei" w:hAnsi="Microsoft JhengHei" w:eastAsia="Microsoft JhengHei" w:cs="Microsoft JhengHei"/>
              <w:sz w:val="24"/>
              <w:szCs w:val="24"/>
            </w:rPr>
            <w:fldChar w:fldCharType="end"/>
          </w:r>
        </w:p>
      </w:sdtContent>
    </w:sdt>
    <w:p w14:paraId="0E1D2D5D">
      <w:pPr>
        <w:spacing w:line="220" w:lineRule="auto"/>
        <w:rPr>
          <w:rFonts w:ascii="Cambria" w:hAnsi="Cambria" w:eastAsia="Cambria" w:cs="Cambria"/>
          <w:snapToGrid w:val="0"/>
          <w:color w:val="000000"/>
          <w:kern w:val="0"/>
          <w:sz w:val="21"/>
          <w:szCs w:val="24"/>
          <w:lang w:val="en-US" w:eastAsia="en-US" w:bidi="ar-SA"/>
        </w:rPr>
        <w:sectPr>
          <w:headerReference r:id="rId7" w:type="default"/>
          <w:footerReference r:id="rId8" w:type="default"/>
          <w:pgSz w:w="11906" w:h="16839"/>
          <w:pgMar w:top="400" w:right="1090" w:bottom="1157" w:left="1092" w:header="0" w:footer="990" w:gutter="0"/>
          <w:cols w:space="720" w:num="1"/>
        </w:sectPr>
      </w:pPr>
    </w:p>
    <w:p w14:paraId="6614FD89">
      <w:pPr>
        <w:pStyle w:val="20"/>
        <w:bidi w:val="0"/>
      </w:pPr>
      <w:bookmarkStart w:id="2" w:name="bookmark1"/>
      <w:bookmarkEnd w:id="2"/>
      <w:bookmarkStart w:id="3" w:name="_Toc17367"/>
      <w:r>
        <w:t>服务台概况</w:t>
      </w:r>
      <w:bookmarkEnd w:id="3"/>
    </w:p>
    <w:p w14:paraId="219A593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jc w:val="left"/>
        <w:textAlignment w:val="baseline"/>
        <w:rPr>
          <w:rFonts w:ascii="宋体" w:hAnsi="宋体" w:eastAsia="宋体" w:cs="宋体"/>
          <w:sz w:val="24"/>
          <w:szCs w:val="24"/>
        </w:rPr>
      </w:pPr>
      <w:r>
        <w:rPr>
          <w:rFonts w:ascii="宋体" w:hAnsi="宋体" w:eastAsia="宋体" w:cs="宋体"/>
          <w:spacing w:val="-2"/>
          <w:sz w:val="24"/>
          <w:szCs w:val="24"/>
        </w:rPr>
        <w:t>服务台是与客户进行沟通和提供服务的重要途径之一，更是未来实现公司</w:t>
      </w:r>
      <w:r>
        <w:rPr>
          <w:rFonts w:ascii="宋体" w:hAnsi="宋体" w:eastAsia="宋体" w:cs="宋体"/>
          <w:sz w:val="24"/>
          <w:szCs w:val="24"/>
        </w:rPr>
        <w:t>业绩成长的重要渠道。所以为了提高客服水平，特制</w:t>
      </w:r>
      <w:r>
        <w:rPr>
          <w:rFonts w:ascii="宋体" w:hAnsi="宋体" w:eastAsia="宋体" w:cs="宋体"/>
          <w:spacing w:val="-1"/>
          <w:sz w:val="24"/>
          <w:szCs w:val="24"/>
        </w:rPr>
        <w:t>定服务台运行服务管理制</w:t>
      </w:r>
      <w:r>
        <w:rPr>
          <w:rFonts w:ascii="宋体" w:hAnsi="宋体" w:eastAsia="宋体" w:cs="宋体"/>
          <w:sz w:val="24"/>
          <w:szCs w:val="24"/>
        </w:rPr>
        <w:t>度，对所提供服务的产品或业务，交付和交付后的活</w:t>
      </w:r>
      <w:r>
        <w:rPr>
          <w:rFonts w:ascii="宋体" w:hAnsi="宋体" w:eastAsia="宋体" w:cs="宋体"/>
          <w:spacing w:val="-1"/>
          <w:sz w:val="24"/>
          <w:szCs w:val="24"/>
        </w:rPr>
        <w:t>动进行管理，</w:t>
      </w:r>
      <w:r>
        <w:rPr>
          <w:rFonts w:hint="eastAsia" w:ascii="宋体" w:hAnsi="宋体" w:eastAsia="宋体" w:cs="宋体"/>
          <w:spacing w:val="-1"/>
          <w:sz w:val="24"/>
          <w:szCs w:val="24"/>
          <w:lang w:val="en-US" w:eastAsia="zh-CN"/>
        </w:rPr>
        <w:t>将客户问题记录到《问题反馈单》</w:t>
      </w:r>
      <w:r>
        <w:rPr>
          <w:rFonts w:ascii="宋体" w:hAnsi="宋体" w:eastAsia="宋体" w:cs="宋体"/>
          <w:spacing w:val="-3"/>
          <w:sz w:val="24"/>
          <w:szCs w:val="24"/>
        </w:rPr>
        <w:t>，为客户提供专业化和规范化的服务。</w:t>
      </w:r>
    </w:p>
    <w:p w14:paraId="7F8640E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z w:val="24"/>
          <w:szCs w:val="24"/>
        </w:rPr>
      </w:pPr>
      <w:r>
        <w:rPr>
          <w:rFonts w:ascii="宋体" w:hAnsi="宋体" w:eastAsia="宋体" w:cs="宋体"/>
          <w:spacing w:val="-1"/>
          <w:sz w:val="24"/>
          <w:szCs w:val="24"/>
        </w:rPr>
        <w:t>公司设置统一对外服务电话（电话：400-</w:t>
      </w:r>
      <w:r>
        <w:rPr>
          <w:rFonts w:ascii="宋体" w:hAnsi="宋体" w:eastAsia="宋体" w:cs="宋体"/>
          <w:spacing w:val="-2"/>
          <w:sz w:val="24"/>
          <w:szCs w:val="24"/>
        </w:rPr>
        <w:t>116-0016</w:t>
      </w:r>
      <w:r>
        <w:rPr>
          <w:rFonts w:ascii="宋体" w:hAnsi="宋体" w:eastAsia="宋体" w:cs="宋体"/>
          <w:spacing w:val="-4"/>
          <w:sz w:val="24"/>
          <w:szCs w:val="24"/>
        </w:rPr>
        <w:t>），</w:t>
      </w:r>
      <w:r>
        <w:rPr>
          <w:rFonts w:ascii="宋体" w:hAnsi="宋体" w:eastAsia="宋体" w:cs="宋体"/>
          <w:spacing w:val="-2"/>
          <w:sz w:val="24"/>
          <w:szCs w:val="24"/>
        </w:rPr>
        <w:t>设置专职客户专员</w:t>
      </w:r>
      <w:r>
        <w:rPr>
          <w:rFonts w:ascii="宋体" w:hAnsi="宋体" w:eastAsia="宋体" w:cs="宋体"/>
          <w:sz w:val="24"/>
          <w:szCs w:val="24"/>
        </w:rPr>
        <w:t>担任服务台，实现5*8小时的电话接听，并在其</w:t>
      </w:r>
      <w:r>
        <w:rPr>
          <w:rFonts w:ascii="宋体" w:hAnsi="宋体" w:eastAsia="宋体" w:cs="宋体"/>
          <w:spacing w:val="-1"/>
          <w:sz w:val="24"/>
          <w:szCs w:val="24"/>
        </w:rPr>
        <w:t>他时间转接到服务台的手机，达</w:t>
      </w:r>
      <w:r>
        <w:rPr>
          <w:rFonts w:ascii="宋体" w:hAnsi="宋体" w:eastAsia="宋体" w:cs="宋体"/>
          <w:spacing w:val="-4"/>
          <w:sz w:val="24"/>
          <w:szCs w:val="24"/>
        </w:rPr>
        <w:t>到7*24小时的远程服务支持。</w:t>
      </w:r>
    </w:p>
    <w:p w14:paraId="6563059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left"/>
        <w:textAlignment w:val="baseline"/>
        <w:rPr>
          <w:rFonts w:ascii="宋体" w:hAnsi="宋体" w:eastAsia="宋体" w:cs="宋体"/>
          <w:sz w:val="28"/>
          <w:szCs w:val="28"/>
        </w:rPr>
      </w:pPr>
      <w:r>
        <w:rPr>
          <w:rFonts w:ascii="宋体" w:hAnsi="宋体" w:eastAsia="宋体" w:cs="宋体"/>
          <w:sz w:val="24"/>
          <w:szCs w:val="24"/>
        </w:rPr>
        <w:t>服务台的基本功能是接收用户的各类使用问题</w:t>
      </w:r>
      <w:r>
        <w:rPr>
          <w:rFonts w:ascii="宋体" w:hAnsi="宋体" w:eastAsia="宋体" w:cs="宋体"/>
          <w:spacing w:val="-1"/>
          <w:sz w:val="24"/>
          <w:szCs w:val="24"/>
        </w:rPr>
        <w:t>请求，并在规定时间内为用</w:t>
      </w:r>
      <w:r>
        <w:rPr>
          <w:rFonts w:ascii="宋体" w:hAnsi="宋体" w:eastAsia="宋体" w:cs="宋体"/>
          <w:sz w:val="24"/>
          <w:szCs w:val="24"/>
        </w:rPr>
        <w:t>户直接远程解决相关问题，如遇复杂问题则转</w:t>
      </w:r>
      <w:r>
        <w:rPr>
          <w:rFonts w:ascii="宋体" w:hAnsi="宋体" w:eastAsia="宋体" w:cs="宋体"/>
          <w:spacing w:val="-1"/>
          <w:sz w:val="24"/>
          <w:szCs w:val="24"/>
        </w:rPr>
        <w:t>交二线支持，同时还需跟踪解决</w:t>
      </w:r>
      <w:r>
        <w:rPr>
          <w:rFonts w:ascii="宋体" w:hAnsi="宋体" w:eastAsia="宋体" w:cs="宋体"/>
          <w:sz w:val="24"/>
          <w:szCs w:val="24"/>
        </w:rPr>
        <w:t>情况并及时反馈以便最终解决用户问题。在此</w:t>
      </w:r>
      <w:r>
        <w:rPr>
          <w:rFonts w:ascii="宋体" w:hAnsi="宋体" w:eastAsia="宋体" w:cs="宋体"/>
          <w:spacing w:val="-1"/>
          <w:sz w:val="24"/>
          <w:szCs w:val="24"/>
        </w:rPr>
        <w:t>基础上，服务台还要对服务过程和结果进行记录，以便分析总结，提高问题解决速度，保证</w:t>
      </w:r>
      <w:r>
        <w:rPr>
          <w:rFonts w:ascii="宋体" w:hAnsi="宋体" w:eastAsia="宋体" w:cs="宋体"/>
          <w:spacing w:val="-2"/>
          <w:sz w:val="24"/>
          <w:szCs w:val="24"/>
        </w:rPr>
        <w:t>服务SLA的达成。</w:t>
      </w:r>
    </w:p>
    <w:p w14:paraId="7465701E">
      <w:pPr>
        <w:pStyle w:val="20"/>
        <w:bidi w:val="0"/>
      </w:pPr>
      <w:bookmarkStart w:id="4" w:name="bookmark1"/>
      <w:bookmarkEnd w:id="4"/>
      <w:bookmarkStart w:id="5" w:name="_Toc16843"/>
      <w:r>
        <w:t>严格要求服务台工作</w:t>
      </w:r>
      <w:bookmarkEnd w:id="5"/>
    </w:p>
    <w:p w14:paraId="16D3CD7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left"/>
        <w:textAlignment w:val="baseline"/>
        <w:rPr>
          <w:rFonts w:ascii="宋体" w:hAnsi="宋体" w:eastAsia="宋体" w:cs="宋体"/>
          <w:sz w:val="24"/>
          <w:szCs w:val="24"/>
        </w:rPr>
      </w:pPr>
      <w:r>
        <w:rPr>
          <w:rFonts w:hint="eastAsia" w:ascii="宋体" w:hAnsi="宋体" w:eastAsia="宋体" w:cs="宋体"/>
          <w:sz w:val="24"/>
          <w:szCs w:val="24"/>
          <w:lang w:val="en-US" w:eastAsia="zh-CN"/>
        </w:rPr>
        <w:t>通过严格执行《服务台操作手册》、《服务台管理制度》明确客服的操作职责，结合公司往年的运行情况，</w:t>
      </w:r>
      <w:r>
        <w:rPr>
          <w:rFonts w:ascii="宋体" w:hAnsi="宋体" w:eastAsia="宋体" w:cs="宋体"/>
          <w:sz w:val="24"/>
          <w:szCs w:val="24"/>
        </w:rPr>
        <w:t>2025年服务台录入事件的完整率目标值</w:t>
      </w:r>
      <w:r>
        <w:rPr>
          <w:rFonts w:hint="eastAsia" w:ascii="宋体" w:hAnsi="宋体" w:eastAsia="宋体" w:cs="宋体"/>
          <w:sz w:val="24"/>
          <w:szCs w:val="24"/>
          <w:lang w:val="en-US" w:eastAsia="zh-CN"/>
        </w:rPr>
        <w:t>要求达到</w:t>
      </w:r>
      <w:r>
        <w:rPr>
          <w:rFonts w:ascii="宋体" w:hAnsi="宋体" w:eastAsia="宋体" w:cs="宋体"/>
          <w:sz w:val="24"/>
          <w:szCs w:val="24"/>
        </w:rPr>
        <w:t>95%。</w:t>
      </w:r>
    </w:p>
    <w:p w14:paraId="64D89301">
      <w:pPr>
        <w:pStyle w:val="21"/>
        <w:bidi w:val="0"/>
      </w:pPr>
      <w:bookmarkStart w:id="6" w:name="bookmark1"/>
      <w:bookmarkEnd w:id="6"/>
      <w:bookmarkStart w:id="7" w:name="_Toc23012"/>
      <w:r>
        <w:t>提升服务台工作效率</w:t>
      </w:r>
      <w:bookmarkEnd w:id="7"/>
    </w:p>
    <w:p w14:paraId="74E0A0B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现运维服务入口的统一，并达到服务台的标准化和规范化:所有运维请求，都需通过服务台，由服务台首先接单，然后统一分派人员解决问题，使服务台成为真正的唯一联系点，方便为客户提供服务。通过建立服务台规范和制度，明确服务台的首问责任制，并采取标准化用语和处理流程，大幅提升服务台的规范化和标准化，提升公司的服务形象。</w:t>
      </w:r>
    </w:p>
    <w:p w14:paraId="676E1ED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现服务水平协议(SLA)的标准化管理:在运维项目立项或签订合同时，就与用户商定好各类故障和问题的不同级别和响应时间，根据服务级别来有序解决。在明确双方要求的基础上，大幅提高客户满意度，并为运维团队提供考核依据。</w:t>
      </w:r>
    </w:p>
    <w:p w14:paraId="23AD41B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随着运维项目的增加，客户需求与问题增多，为提升服务效率，增加坐席人员。</w:t>
      </w:r>
    </w:p>
    <w:p w14:paraId="3DCBADA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现流程、运维软件和人员的集成:服务台承担起监控管理和主动改善IT现状的职责，结合运维管理平台实现整个运维过程的可视化和可追溯管理。在运维管理平台的辅助下，结合服务台记录的数据和专家团队的经验可快速给出服务台运营报告，并提出改进建议，避免常见问题重复发生，主动防患运维风险，使运维服务变被动为主动改善。</w:t>
      </w:r>
    </w:p>
    <w:p w14:paraId="3EEC7E2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总体来说，服务台首先实现统一规范管理并同时处理大量的服务请求，避免了因找不到特定技术人员而耽误时间，降低运营成本;其次通过对服务台的管理，结合建立知识库，明确服务人员绩效考核等。</w:t>
      </w:r>
    </w:p>
    <w:p w14:paraId="6BD00F6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实现运维服务入口的统一，并达到服务台的标准化和规范化:所有运维请求，都需通过服务台，由服务台首先接单，然后统一分派人员解决问题，使服务台 成为真正的唯一联系点，方便为客户提供服务。</w:t>
      </w:r>
    </w:p>
    <w:p w14:paraId="70D9A88E">
      <w:pPr>
        <w:pStyle w:val="21"/>
        <w:bidi w:val="0"/>
      </w:pPr>
      <w:bookmarkStart w:id="8" w:name="_Toc25901"/>
      <w:r>
        <w:t>服务台录入事件的完整率稳步提升</w:t>
      </w:r>
      <w:bookmarkEnd w:id="8"/>
    </w:p>
    <w:p w14:paraId="4C9A311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实现了服务台的标准化及制度化，并将运维人员分级管理，方便服务台人员对派单，因此服务台录入事件的完整率逐年提升，2025年设定的目标均为95%，经过2025年第一、二季度的KPI跟踪，2025年第一、二季度服务台录入事件的完整率达到100%。</w:t>
      </w:r>
    </w:p>
    <w:p w14:paraId="1C6CD844">
      <w:pPr>
        <w:pStyle w:val="21"/>
        <w:bidi w:val="0"/>
      </w:pPr>
      <w:bookmarkStart w:id="9" w:name="_Toc27717"/>
      <w:r>
        <w:t>回访用户满意度考核</w:t>
      </w:r>
      <w:bookmarkEnd w:id="9"/>
    </w:p>
    <w:p w14:paraId="145D3BB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由于持续在服务台进行标准化作业的宣贯，公司对于服务台回访用户满意度的考核很重要，可以推动运维工程师高效的给客户提供服务。</w:t>
      </w:r>
    </w:p>
    <w:p w14:paraId="3B894BA1">
      <w:pPr>
        <w:pStyle w:val="21"/>
        <w:bidi w:val="0"/>
      </w:pPr>
      <w:bookmarkStart w:id="10" w:name="_Toc12571"/>
      <w:r>
        <w:t>客户满意度有效提升</w:t>
      </w:r>
      <w:bookmarkEnd w:id="10"/>
    </w:p>
    <w:p w14:paraId="43F618A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left"/>
        <w:textAlignment w:val="baseline"/>
        <w:rPr>
          <w:rFonts w:ascii="宋体" w:hAnsi="宋体" w:eastAsia="宋体" w:cs="宋体"/>
          <w:sz w:val="28"/>
          <w:szCs w:val="28"/>
        </w:rPr>
      </w:pPr>
      <w:r>
        <w:rPr>
          <w:rFonts w:hint="eastAsia" w:ascii="宋体" w:hAnsi="宋体" w:eastAsia="宋体" w:cs="宋体"/>
          <w:sz w:val="24"/>
          <w:szCs w:val="24"/>
          <w:lang w:val="en-US" w:eastAsia="zh-CN"/>
        </w:rPr>
        <w:t>随着服务台的标准化及规范化建设，所有的运维请求全部得到满足，方便的为客户提供服务，客户满意度由原先的不满意及很不满意逐渐减少。经客户满意度调查得知，2025年客户满意度平均为96分，客户对我司的运维服务基本持满意态度。</w:t>
      </w:r>
    </w:p>
    <w:sectPr>
      <w:headerReference r:id="rId9" w:type="default"/>
      <w:footerReference r:id="rId10" w:type="default"/>
      <w:pgSz w:w="11906" w:h="16839"/>
      <w:pgMar w:top="400" w:right="1305" w:bottom="885" w:left="1088" w:header="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JhengHei">
    <w:panose1 w:val="020B0604030504040204"/>
    <w:charset w:val="88"/>
    <w:family w:val="auto"/>
    <w:pitch w:val="default"/>
    <w:sig w:usb0="000002A7" w:usb1="28CF4400" w:usb2="00000016" w:usb3="00000000" w:csb0="00100009"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FA4A5F">
    <w:pPr>
      <w:spacing w:line="178" w:lineRule="auto"/>
      <w:ind w:left="4822"/>
      <w:rPr>
        <w:rFonts w:ascii="Cambria" w:hAnsi="Cambria" w:eastAsia="Cambria" w:cs="Cambria"/>
        <w:sz w:val="18"/>
        <w:szCs w:val="18"/>
      </w:rPr>
    </w:pPr>
    <w:r>
      <w:rPr>
        <w:rFonts w:ascii="Cambria" w:hAnsi="Cambria" w:eastAsia="Cambria" w:cs="Cambria"/>
        <w:sz w:val="18"/>
        <w:szCs w:val="18"/>
      </w:rPr>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3F029D">
    <w:pPr>
      <w:spacing w:line="177" w:lineRule="auto"/>
      <w:ind w:left="4827"/>
      <w:rPr>
        <w:rFonts w:ascii="Cambria" w:hAnsi="Cambria" w:eastAsia="Cambria" w:cs="Cambria"/>
        <w:sz w:val="18"/>
        <w:szCs w:val="18"/>
      </w:rPr>
    </w:pPr>
    <w:r>
      <w:rPr>
        <w:rFonts w:ascii="Cambria" w:hAnsi="Cambria" w:eastAsia="Cambria" w:cs="Cambria"/>
        <w:sz w:val="18"/>
        <w:szCs w:val="18"/>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B331EA">
    <w:pPr>
      <w:pStyle w:val="11"/>
      <w:spacing w:line="52" w:lineRule="auto"/>
      <w:rPr>
        <w:sz w:val="2"/>
      </w:rPr>
    </w:pPr>
    <w:r>
      <w:pict>
        <v:shape id="_x0000_s2049" o:spid="_x0000_s2049" style="position:absolute;left:0pt;margin-left:88.4pt;margin-top:54.1pt;height:0.75pt;width:418.5pt;mso-position-horizontal-relative:page;mso-position-vertical-relative:page;z-index:251659264;mso-width-relative:page;mso-height-relative:page;" filled="f" stroked="t" coordsize="8370,15" o:allowincell="f" path="m0,7l8369,7e">
          <v:fill on="f" focussize="0,0"/>
          <v:stroke color="#000000" miterlimit="10" joinstyle="miter"/>
          <v:imagedata o:title=""/>
          <o:lock v:ext="edi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0CD637">
    <w:pPr>
      <w:pStyle w:val="11"/>
      <w:spacing w:line="52" w:lineRule="auto"/>
      <w:rPr>
        <w:sz w:val="2"/>
      </w:rPr>
    </w:pPr>
    <w:r>
      <w:pict>
        <v:shape id="_x0000_s2051" o:spid="_x0000_s2051" style="position:absolute;left:0pt;margin-left:88.4pt;margin-top:54.1pt;height:0.75pt;width:418.5pt;mso-position-horizontal-relative:page;mso-position-vertical-relative:page;z-index:251660288;mso-width-relative:page;mso-height-relative:page;" filled="f" stroked="t" coordsize="8370,15" o:allowincell="f" path="m0,7l8369,7e">
          <v:fill on="f" focussize="0,0"/>
          <v:stroke color="#000000" miterlimit="10" joinstyle="miter"/>
          <v:imagedata o:title=""/>
          <o:lock v:ext="edi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053337">
    <w:pPr>
      <w:pStyle w:val="11"/>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0C46CA">
    <w:pPr>
      <w:pStyle w:val="11"/>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hdrShapeDefaults>
    <o:shapelayout v:ext="edit">
      <o:idmap v:ext="edit" data="2"/>
    </o:shapelayout>
  </w:hdrShapeDefault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11078C7"/>
    <w:rsid w:val="03435D32"/>
    <w:rsid w:val="054B3DBD"/>
    <w:rsid w:val="0E736B11"/>
    <w:rsid w:val="0EE92F84"/>
    <w:rsid w:val="10716C47"/>
    <w:rsid w:val="1B495A57"/>
    <w:rsid w:val="257873C3"/>
    <w:rsid w:val="26D1527F"/>
    <w:rsid w:val="279A1B15"/>
    <w:rsid w:val="27A83283"/>
    <w:rsid w:val="2DB256DE"/>
    <w:rsid w:val="2EE87609"/>
    <w:rsid w:val="2FB72418"/>
    <w:rsid w:val="2FCC2A87"/>
    <w:rsid w:val="333C6176"/>
    <w:rsid w:val="344F1B0D"/>
    <w:rsid w:val="3667350A"/>
    <w:rsid w:val="37EB70FE"/>
    <w:rsid w:val="3947696D"/>
    <w:rsid w:val="395064D7"/>
    <w:rsid w:val="3B1E43B3"/>
    <w:rsid w:val="3C3A521C"/>
    <w:rsid w:val="3EFE69D5"/>
    <w:rsid w:val="3F4A39C9"/>
    <w:rsid w:val="40436D96"/>
    <w:rsid w:val="41A53138"/>
    <w:rsid w:val="43983661"/>
    <w:rsid w:val="44C814FE"/>
    <w:rsid w:val="495F2766"/>
    <w:rsid w:val="4E192EE4"/>
    <w:rsid w:val="593C46BA"/>
    <w:rsid w:val="5F5C0E82"/>
    <w:rsid w:val="5FC94EFD"/>
    <w:rsid w:val="601B6F8F"/>
    <w:rsid w:val="661E50E3"/>
    <w:rsid w:val="66291CDA"/>
    <w:rsid w:val="66833091"/>
    <w:rsid w:val="6D885538"/>
    <w:rsid w:val="6E2E60E0"/>
    <w:rsid w:val="7238577F"/>
    <w:rsid w:val="72DF209E"/>
    <w:rsid w:val="730D2F77"/>
    <w:rsid w:val="74CA1554"/>
    <w:rsid w:val="760B1A49"/>
    <w:rsid w:val="785D6A0E"/>
    <w:rsid w:val="7B3B008E"/>
    <w:rsid w:val="7B792C7F"/>
    <w:rsid w:val="7BDA3403"/>
    <w:rsid w:val="7D3372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1784</Words>
  <Characters>1931</Characters>
  <TotalTime>0</TotalTime>
  <ScaleCrop>false</ScaleCrop>
  <LinksUpToDate>false</LinksUpToDate>
  <CharactersWithSpaces>1976</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2025-08-19T17:02:00Z</dcterms:created>
  <dc:creator>健 张</dc:creator>
  <cp:lastModifiedBy>郝宇</cp:lastModifiedBy>
  <dcterms:modified xsi:type="dcterms:W3CDTF">2025-08-29T09:49:51Z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2025-08-21T23:19:59Z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8F2E0A1DFA5B4908BF438CFA6DB17F83_12</vt:lpwstr>
  </property>
</Properties>
</file>