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3160">
      <w:pPr>
        <w:pStyle w:val="4"/>
        <w:spacing w:line="260" w:lineRule="auto"/>
      </w:pPr>
    </w:p>
    <w:p w14:paraId="2EFF6607">
      <w:pPr>
        <w:pStyle w:val="4"/>
        <w:spacing w:line="260" w:lineRule="auto"/>
      </w:pPr>
    </w:p>
    <w:p w14:paraId="570A707E">
      <w:pPr>
        <w:pStyle w:val="4"/>
        <w:spacing w:line="260" w:lineRule="auto"/>
      </w:pPr>
    </w:p>
    <w:p w14:paraId="4C8D3EE1">
      <w:pPr>
        <w:pStyle w:val="4"/>
        <w:spacing w:line="260" w:lineRule="auto"/>
      </w:pPr>
    </w:p>
    <w:p w14:paraId="2637FDB4">
      <w:pPr>
        <w:pStyle w:val="4"/>
        <w:spacing w:line="260" w:lineRule="auto"/>
      </w:pPr>
    </w:p>
    <w:p w14:paraId="7257D876">
      <w:pPr>
        <w:pStyle w:val="4"/>
        <w:spacing w:line="260" w:lineRule="auto"/>
      </w:pPr>
    </w:p>
    <w:p w14:paraId="66327E46">
      <w:pPr>
        <w:pStyle w:val="4"/>
        <w:spacing w:line="260" w:lineRule="auto"/>
      </w:pPr>
    </w:p>
    <w:p w14:paraId="2AAD8A0F">
      <w:pPr>
        <w:pStyle w:val="4"/>
        <w:spacing w:line="260" w:lineRule="auto"/>
      </w:pPr>
    </w:p>
    <w:p w14:paraId="25993CEC">
      <w:pPr>
        <w:pStyle w:val="4"/>
        <w:spacing w:line="260" w:lineRule="auto"/>
      </w:pPr>
    </w:p>
    <w:p w14:paraId="37770F6B">
      <w:pPr>
        <w:pStyle w:val="4"/>
        <w:spacing w:line="260" w:lineRule="auto"/>
      </w:pPr>
    </w:p>
    <w:p w14:paraId="5E33C924">
      <w:pPr>
        <w:spacing w:before="169" w:line="220" w:lineRule="auto"/>
        <w:ind w:left="134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4953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服务数据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应用提升情况说明</w:t>
      </w:r>
      <w:bookmarkEnd w:id="0"/>
    </w:p>
    <w:p w14:paraId="738BA7DF">
      <w:pPr>
        <w:pStyle w:val="4"/>
        <w:spacing w:line="247" w:lineRule="auto"/>
      </w:pPr>
    </w:p>
    <w:p w14:paraId="5E5CD739">
      <w:pPr>
        <w:pStyle w:val="4"/>
        <w:spacing w:line="247" w:lineRule="auto"/>
      </w:pPr>
    </w:p>
    <w:p w14:paraId="4C4698A0">
      <w:pPr>
        <w:pStyle w:val="4"/>
        <w:spacing w:line="247" w:lineRule="auto"/>
      </w:pPr>
    </w:p>
    <w:p w14:paraId="64686779">
      <w:pPr>
        <w:pStyle w:val="4"/>
        <w:spacing w:line="247" w:lineRule="auto"/>
      </w:pPr>
    </w:p>
    <w:p w14:paraId="3DF7DC7D">
      <w:pPr>
        <w:pStyle w:val="4"/>
        <w:spacing w:line="247" w:lineRule="auto"/>
      </w:pPr>
    </w:p>
    <w:p w14:paraId="5A28B3FC">
      <w:pPr>
        <w:pStyle w:val="4"/>
        <w:spacing w:line="247" w:lineRule="auto"/>
      </w:pPr>
    </w:p>
    <w:p w14:paraId="038527AF">
      <w:pPr>
        <w:pStyle w:val="4"/>
        <w:spacing w:line="248" w:lineRule="auto"/>
      </w:pPr>
    </w:p>
    <w:p w14:paraId="59A486A8">
      <w:pPr>
        <w:pStyle w:val="4"/>
        <w:spacing w:line="248" w:lineRule="auto"/>
      </w:pPr>
    </w:p>
    <w:p w14:paraId="1FF09466">
      <w:pPr>
        <w:spacing w:line="1570" w:lineRule="exact"/>
        <w:ind w:firstLine="1553"/>
      </w:pPr>
      <w:r>
        <w:rPr>
          <w:position w:val="-31"/>
        </w:rPr>
        <w:drawing>
          <wp:inline distT="0" distB="0" distL="0" distR="0">
            <wp:extent cx="3341370" cy="9963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9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46">
      <w:pPr>
        <w:pStyle w:val="4"/>
        <w:spacing w:line="246" w:lineRule="auto"/>
      </w:pPr>
    </w:p>
    <w:p w14:paraId="0E9D47D3">
      <w:pPr>
        <w:pStyle w:val="4"/>
        <w:spacing w:line="246" w:lineRule="auto"/>
      </w:pPr>
    </w:p>
    <w:p w14:paraId="7B664223">
      <w:pPr>
        <w:pStyle w:val="4"/>
        <w:spacing w:line="246" w:lineRule="auto"/>
      </w:pPr>
    </w:p>
    <w:p w14:paraId="54285839">
      <w:pPr>
        <w:pStyle w:val="4"/>
        <w:spacing w:line="246" w:lineRule="auto"/>
      </w:pPr>
    </w:p>
    <w:p w14:paraId="0C6AF818">
      <w:pPr>
        <w:pStyle w:val="4"/>
        <w:spacing w:line="247" w:lineRule="auto"/>
      </w:pPr>
    </w:p>
    <w:p w14:paraId="2A5E11A0">
      <w:pPr>
        <w:pStyle w:val="4"/>
        <w:spacing w:line="247" w:lineRule="auto"/>
      </w:pPr>
    </w:p>
    <w:p w14:paraId="0D48B551">
      <w:pPr>
        <w:pStyle w:val="4"/>
        <w:spacing w:line="247" w:lineRule="auto"/>
      </w:pPr>
    </w:p>
    <w:p w14:paraId="19B4C6A4">
      <w:pPr>
        <w:pStyle w:val="4"/>
        <w:spacing w:line="247" w:lineRule="auto"/>
      </w:pPr>
    </w:p>
    <w:p w14:paraId="015BC7A3">
      <w:pPr>
        <w:pStyle w:val="4"/>
        <w:spacing w:line="247" w:lineRule="auto"/>
      </w:pPr>
    </w:p>
    <w:p w14:paraId="17EC7B22">
      <w:pPr>
        <w:pStyle w:val="4"/>
        <w:spacing w:line="247" w:lineRule="auto"/>
      </w:pPr>
    </w:p>
    <w:p w14:paraId="6767DC12">
      <w:pPr>
        <w:pStyle w:val="4"/>
        <w:spacing w:line="247" w:lineRule="auto"/>
      </w:pPr>
    </w:p>
    <w:p w14:paraId="7CC67398">
      <w:pPr>
        <w:pStyle w:val="4"/>
        <w:spacing w:line="247" w:lineRule="auto"/>
      </w:pPr>
    </w:p>
    <w:p w14:paraId="64B3FD78">
      <w:pPr>
        <w:pStyle w:val="4"/>
        <w:spacing w:line="247" w:lineRule="auto"/>
      </w:pPr>
    </w:p>
    <w:p w14:paraId="5ECF4DB4">
      <w:pPr>
        <w:pStyle w:val="4"/>
        <w:spacing w:line="247" w:lineRule="auto"/>
      </w:pPr>
    </w:p>
    <w:p w14:paraId="4F28633F">
      <w:pPr>
        <w:pStyle w:val="4"/>
        <w:spacing w:line="247" w:lineRule="auto"/>
      </w:pPr>
    </w:p>
    <w:p w14:paraId="7F62DF68">
      <w:pPr>
        <w:pStyle w:val="4"/>
        <w:spacing w:line="247" w:lineRule="auto"/>
      </w:pPr>
    </w:p>
    <w:p w14:paraId="01E3F5C2">
      <w:pPr>
        <w:spacing w:before="117" w:line="219" w:lineRule="auto"/>
        <w:ind w:left="1679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3BABA94C">
      <w:pPr>
        <w:spacing w:before="224" w:line="220" w:lineRule="auto"/>
        <w:ind w:left="280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114D9B0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pgSz w:w="11906" w:h="16839"/>
          <w:pgMar w:top="1097" w:right="1767" w:bottom="0" w:left="1768" w:header="1082" w:footer="0" w:gutter="0"/>
          <w:cols w:space="720" w:num="1"/>
        </w:sectPr>
      </w:pPr>
    </w:p>
    <w:p w14:paraId="6896B4A1">
      <w:pPr>
        <w:pStyle w:val="4"/>
        <w:spacing w:line="297" w:lineRule="auto"/>
      </w:pPr>
    </w:p>
    <w:p w14:paraId="64E2EE8B">
      <w:pPr>
        <w:pStyle w:val="4"/>
        <w:spacing w:line="297" w:lineRule="auto"/>
      </w:pPr>
    </w:p>
    <w:p w14:paraId="74409F5A">
      <w:pPr>
        <w:pStyle w:val="4"/>
        <w:spacing w:line="298" w:lineRule="auto"/>
      </w:pPr>
    </w:p>
    <w:p w14:paraId="796FD7FA">
      <w:pPr>
        <w:spacing w:before="91" w:line="220" w:lineRule="auto"/>
        <w:ind w:left="377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712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6F7C5F87">
      <w:pPr>
        <w:spacing w:line="131" w:lineRule="exact"/>
      </w:pPr>
    </w:p>
    <w:tbl>
      <w:tblPr>
        <w:tblStyle w:val="9"/>
        <w:tblW w:w="8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557"/>
        <w:gridCol w:w="2121"/>
        <w:gridCol w:w="1698"/>
        <w:gridCol w:w="1561"/>
      </w:tblGrid>
      <w:tr w14:paraId="6C73E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2" w:type="dxa"/>
            <w:vAlign w:val="top"/>
          </w:tcPr>
          <w:p w14:paraId="0A271C58">
            <w:pPr>
              <w:pStyle w:val="10"/>
              <w:spacing w:before="139" w:line="220" w:lineRule="auto"/>
              <w:ind w:left="224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37" w:type="dxa"/>
            <w:gridSpan w:val="4"/>
            <w:vAlign w:val="top"/>
          </w:tcPr>
          <w:p w14:paraId="64B7A832">
            <w:pPr>
              <w:pStyle w:val="10"/>
              <w:spacing w:before="139" w:line="220" w:lineRule="auto"/>
              <w:ind w:left="10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最终软件库</w:t>
            </w:r>
            <w:r>
              <w:rPr>
                <w:spacing w:val="-1"/>
              </w:rPr>
              <w:t>应用提升情况说明</w:t>
            </w:r>
            <w:r>
              <w:rPr>
                <w:rFonts w:hint="eastAsia"/>
                <w:spacing w:val="-1"/>
                <w:lang w:val="en-US" w:eastAsia="zh-CN"/>
              </w:rPr>
              <w:t>(HHLZ-ITSS-FWSJ)</w:t>
            </w:r>
          </w:p>
        </w:tc>
      </w:tr>
      <w:tr w14:paraId="5299C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1F22C9DA">
            <w:pPr>
              <w:pStyle w:val="10"/>
              <w:spacing w:before="136" w:line="220" w:lineRule="auto"/>
              <w:ind w:left="434"/>
            </w:pPr>
            <w:r>
              <w:rPr>
                <w:spacing w:val="-2"/>
              </w:rPr>
              <w:t>编制单位</w:t>
            </w:r>
          </w:p>
        </w:tc>
        <w:tc>
          <w:tcPr>
            <w:tcW w:w="6937" w:type="dxa"/>
            <w:gridSpan w:val="4"/>
            <w:vAlign w:val="top"/>
          </w:tcPr>
          <w:p w14:paraId="1847A1D9">
            <w:pPr>
              <w:pStyle w:val="10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64596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03894C85">
            <w:pPr>
              <w:pStyle w:val="10"/>
              <w:spacing w:before="139" w:line="219" w:lineRule="auto"/>
              <w:ind w:left="434"/>
            </w:pPr>
            <w:r>
              <w:rPr>
                <w:spacing w:val="-2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0047507">
            <w:pPr>
              <w:pStyle w:val="10"/>
              <w:spacing w:before="139" w:line="219" w:lineRule="auto"/>
              <w:ind w:left="360"/>
            </w:pPr>
            <w:r>
              <w:rPr>
                <w:spacing w:val="-2"/>
              </w:rPr>
              <w:t>版本日期</w:t>
            </w:r>
          </w:p>
        </w:tc>
        <w:tc>
          <w:tcPr>
            <w:tcW w:w="2121" w:type="dxa"/>
            <w:vAlign w:val="top"/>
          </w:tcPr>
          <w:p w14:paraId="1EDF90ED">
            <w:pPr>
              <w:pStyle w:val="10"/>
              <w:spacing w:before="139" w:line="219" w:lineRule="auto"/>
              <w:ind w:left="645"/>
            </w:pPr>
            <w:r>
              <w:rPr>
                <w:spacing w:val="-2"/>
              </w:rPr>
              <w:t>版本说明</w:t>
            </w:r>
          </w:p>
        </w:tc>
        <w:tc>
          <w:tcPr>
            <w:tcW w:w="1698" w:type="dxa"/>
            <w:vAlign w:val="top"/>
          </w:tcPr>
          <w:p w14:paraId="67A677EA">
            <w:pPr>
              <w:pStyle w:val="10"/>
              <w:spacing w:before="139" w:line="220" w:lineRule="auto"/>
              <w:ind w:left="593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1" w:type="dxa"/>
            <w:vAlign w:val="top"/>
          </w:tcPr>
          <w:p w14:paraId="48D19791">
            <w:pPr>
              <w:pStyle w:val="10"/>
              <w:spacing w:before="139" w:line="220" w:lineRule="auto"/>
              <w:ind w:left="586"/>
            </w:pPr>
            <w:r>
              <w:rPr>
                <w:spacing w:val="-5"/>
              </w:rPr>
              <w:t>审核</w:t>
            </w:r>
          </w:p>
        </w:tc>
      </w:tr>
      <w:tr w14:paraId="66E7C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32DCE708">
            <w:pPr>
              <w:pStyle w:val="10"/>
              <w:spacing w:before="104" w:line="239" w:lineRule="auto"/>
              <w:ind w:left="637"/>
            </w:pPr>
            <w:r>
              <w:rPr>
                <w:spacing w:val="-1"/>
              </w:rPr>
              <w:t>V1.0</w:t>
            </w:r>
          </w:p>
        </w:tc>
        <w:tc>
          <w:tcPr>
            <w:tcW w:w="1557" w:type="dxa"/>
            <w:vAlign w:val="top"/>
          </w:tcPr>
          <w:p w14:paraId="3FEEFC3F">
            <w:pPr>
              <w:pStyle w:val="10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1" w:type="dxa"/>
            <w:vAlign w:val="top"/>
          </w:tcPr>
          <w:p w14:paraId="3BF3DD72">
            <w:pPr>
              <w:pStyle w:val="10"/>
              <w:spacing w:before="74" w:line="219" w:lineRule="auto"/>
              <w:ind w:left="647"/>
            </w:pPr>
            <w:r>
              <w:rPr>
                <w:spacing w:val="-3"/>
              </w:rPr>
              <w:t>发布版本</w:t>
            </w:r>
          </w:p>
        </w:tc>
        <w:tc>
          <w:tcPr>
            <w:tcW w:w="1698" w:type="dxa"/>
            <w:vAlign w:val="top"/>
          </w:tcPr>
          <w:p w14:paraId="6221AC9B">
            <w:pPr>
              <w:pStyle w:val="10"/>
              <w:spacing w:before="75" w:line="220" w:lineRule="auto"/>
              <w:ind w:left="5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</w:p>
        </w:tc>
        <w:tc>
          <w:tcPr>
            <w:tcW w:w="1561" w:type="dxa"/>
            <w:vAlign w:val="top"/>
          </w:tcPr>
          <w:p w14:paraId="1400F166">
            <w:pPr>
              <w:pStyle w:val="10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1C388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031C4FD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6BD590B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41474DB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6BADAA54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189245">
            <w:pPr>
              <w:rPr>
                <w:rFonts w:ascii="Arial"/>
                <w:sz w:val="21"/>
              </w:rPr>
            </w:pPr>
          </w:p>
        </w:tc>
      </w:tr>
      <w:tr w14:paraId="6257E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2" w:type="dxa"/>
            <w:vAlign w:val="top"/>
          </w:tcPr>
          <w:p w14:paraId="0C207C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CE4D6EA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13180122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BC7C3FC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407DE5">
            <w:pPr>
              <w:rPr>
                <w:rFonts w:ascii="Arial"/>
                <w:sz w:val="21"/>
              </w:rPr>
            </w:pPr>
          </w:p>
        </w:tc>
      </w:tr>
      <w:tr w14:paraId="15E8F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2" w:type="dxa"/>
            <w:vAlign w:val="top"/>
          </w:tcPr>
          <w:p w14:paraId="5EB51B8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E763D3C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E50EF06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C369CC1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E85FDA4">
            <w:pPr>
              <w:rPr>
                <w:rFonts w:ascii="Arial"/>
                <w:sz w:val="21"/>
              </w:rPr>
            </w:pPr>
          </w:p>
        </w:tc>
      </w:tr>
    </w:tbl>
    <w:p w14:paraId="0FCC609A">
      <w:pPr>
        <w:pStyle w:val="4"/>
      </w:pPr>
    </w:p>
    <w:p w14:paraId="66A88464">
      <w:pPr>
        <w:sectPr>
          <w:headerReference r:id="rId6" w:type="default"/>
          <w:pgSz w:w="11906" w:h="16839"/>
          <w:pgMar w:top="1097" w:right="1627" w:bottom="0" w:left="1628" w:header="1082" w:footer="0" w:gutter="0"/>
          <w:cols w:space="720" w:num="1"/>
        </w:sectPr>
      </w:pPr>
    </w:p>
    <w:p w14:paraId="663AAC5B">
      <w:pPr>
        <w:pStyle w:val="4"/>
        <w:spacing w:line="258" w:lineRule="auto"/>
      </w:pPr>
    </w:p>
    <w:p w14:paraId="021F5442">
      <w:pPr>
        <w:pStyle w:val="4"/>
        <w:spacing w:line="258" w:lineRule="auto"/>
      </w:pPr>
    </w:p>
    <w:p w14:paraId="05ECEDBA">
      <w:pPr>
        <w:pStyle w:val="4"/>
        <w:spacing w:line="258" w:lineRule="auto"/>
      </w:pPr>
    </w:p>
    <w:p w14:paraId="3B6D8B3F">
      <w:pPr>
        <w:pStyle w:val="4"/>
        <w:spacing w:line="258" w:lineRule="auto"/>
      </w:pPr>
    </w:p>
    <w:p w14:paraId="041BE505">
      <w:pPr>
        <w:pStyle w:val="4"/>
        <w:spacing w:line="258" w:lineRule="auto"/>
      </w:pPr>
    </w:p>
    <w:p w14:paraId="6EE8CBDC">
      <w:pPr>
        <w:pStyle w:val="4"/>
        <w:spacing w:line="258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109"/>
        <w15:color w:val="DBDBDB"/>
        <w:docPartObj>
          <w:docPartGallery w:val="Table of Contents"/>
          <w:docPartUnique/>
        </w:docPartObj>
      </w:sdtPr>
      <w:sdtEndPr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3B5C45B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3BEFF64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 w:val="24"/>
              <w:szCs w:val="24"/>
            </w:rPr>
            <w:fldChar w:fldCharType="begin"/>
          </w:r>
          <w:r>
            <w:rPr>
              <w:rFonts w:ascii="Cambria" w:hAnsi="Cambria" w:eastAsia="Cambria" w:cs="Cambria"/>
              <w:sz w:val="24"/>
              <w:szCs w:val="24"/>
            </w:rPr>
            <w:instrText xml:space="preserve">TOC \o "1-3" \h \u </w:instrText>
          </w:r>
          <w:r>
            <w:rPr>
              <w:rFonts w:ascii="Cambria" w:hAnsi="Cambria" w:eastAsia="Cambria" w:cs="Cambria"/>
              <w:sz w:val="24"/>
              <w:szCs w:val="24"/>
            </w:rPr>
            <w:fldChar w:fldCharType="separate"/>
          </w: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_Toc24953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8"/>
              <w:szCs w:val="52"/>
              <w:lang w:val="en-US" w:eastAsia="zh-CN"/>
            </w:rPr>
            <w:t>服务数据</w:t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应用提升情况说明</w:t>
          </w:r>
          <w:r>
            <w:tab/>
          </w:r>
          <w:r>
            <w:fldChar w:fldCharType="begin"/>
          </w:r>
          <w:r>
            <w:instrText xml:space="preserve"> PAGEREF _Toc24953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1665989B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_Toc7121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_Toc7121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4A6898A3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_Toc32677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1．慧海联创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服务数据</w:t>
          </w:r>
          <w:r>
            <w:rPr>
              <w:rFonts w:hint="eastAsia" w:ascii="宋体" w:hAnsi="宋体" w:eastAsia="宋体" w:cs="宋体"/>
              <w:szCs w:val="28"/>
            </w:rPr>
            <w:t>概况</w:t>
          </w:r>
          <w:r>
            <w:tab/>
          </w:r>
          <w:r>
            <w:fldChar w:fldCharType="begin"/>
          </w:r>
          <w:r>
            <w:instrText xml:space="preserve"> PAGEREF _Toc32677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16E9B6F1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_Toc12997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2.严格要求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服务数据管理</w:t>
          </w:r>
          <w:r>
            <w:rPr>
              <w:rFonts w:hint="eastAsia" w:ascii="宋体" w:hAnsi="宋体" w:eastAsia="宋体" w:cs="宋体"/>
              <w:szCs w:val="28"/>
            </w:rPr>
            <w:t>工作</w:t>
          </w:r>
          <w:r>
            <w:tab/>
          </w:r>
          <w:r>
            <w:fldChar w:fldCharType="begin"/>
          </w:r>
          <w:r>
            <w:instrText xml:space="preserve"> PAGEREF _Toc12997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061B786C">
          <w:pPr>
            <w:pStyle w:val="6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_Toc30721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2.1指标完成情况</w:t>
          </w:r>
          <w:r>
            <w:tab/>
          </w:r>
          <w:r>
            <w:fldChar w:fldCharType="begin"/>
          </w:r>
          <w:r>
            <w:instrText xml:space="preserve"> PAGEREF _Toc30721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33D033F7">
          <w:pPr>
            <w:pStyle w:val="6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_Toc23848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2.2问题改进</w:t>
          </w:r>
          <w:r>
            <w:tab/>
          </w:r>
          <w:r>
            <w:fldChar w:fldCharType="begin"/>
          </w:r>
          <w:r>
            <w:instrText xml:space="preserve"> PAGEREF _Toc23848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5AA19AEF">
          <w:pPr>
            <w:spacing w:line="220" w:lineRule="auto"/>
            <w:rPr>
              <w:rFonts w:ascii="Cambria" w:hAnsi="Cambria" w:eastAsia="Cambria" w:cs="Cambria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mbria" w:hAnsi="Cambria" w:eastAsia="Cambria" w:cs="Cambria"/>
              <w:szCs w:val="24"/>
            </w:rPr>
            <w:fldChar w:fldCharType="end"/>
          </w:r>
        </w:p>
      </w:sdtContent>
    </w:sdt>
    <w:p w14:paraId="74519158">
      <w:pPr>
        <w:spacing w:line="220" w:lineRule="auto"/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400" w:right="1090" w:bottom="1157" w:left="1092" w:header="0" w:footer="990" w:gutter="0"/>
          <w:cols w:space="720" w:num="1"/>
        </w:sectPr>
      </w:pPr>
    </w:p>
    <w:p w14:paraId="068CED0B">
      <w:pPr>
        <w:pStyle w:val="4"/>
        <w:spacing w:line="242" w:lineRule="auto"/>
      </w:pPr>
    </w:p>
    <w:p w14:paraId="352F270E">
      <w:pPr>
        <w:pStyle w:val="4"/>
        <w:spacing w:line="242" w:lineRule="auto"/>
      </w:pPr>
    </w:p>
    <w:p w14:paraId="5C3A3182">
      <w:pPr>
        <w:pStyle w:val="4"/>
        <w:spacing w:line="243" w:lineRule="auto"/>
      </w:pPr>
    </w:p>
    <w:p w14:paraId="3BD5A88C">
      <w:pPr>
        <w:pStyle w:val="4"/>
        <w:spacing w:line="243" w:lineRule="auto"/>
      </w:pPr>
    </w:p>
    <w:p w14:paraId="76E76724">
      <w:pPr>
        <w:pStyle w:val="2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z w:val="28"/>
          <w:szCs w:val="28"/>
        </w:rPr>
      </w:pPr>
      <w:bookmarkStart w:id="2" w:name="bookmark1"/>
      <w:bookmarkEnd w:id="2"/>
      <w:bookmarkStart w:id="3" w:name="_Toc32677"/>
      <w:r>
        <w:rPr>
          <w:rFonts w:hint="eastAsia" w:ascii="宋体" w:hAnsi="宋体" w:eastAsia="宋体" w:cs="宋体"/>
          <w:sz w:val="28"/>
          <w:szCs w:val="28"/>
        </w:rPr>
        <w:t>1．慧海联创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服务数据</w:t>
      </w:r>
      <w:r>
        <w:rPr>
          <w:rFonts w:hint="eastAsia" w:ascii="宋体" w:hAnsi="宋体" w:eastAsia="宋体" w:cs="宋体"/>
          <w:sz w:val="28"/>
          <w:szCs w:val="28"/>
        </w:rPr>
        <w:t>概况</w:t>
      </w:r>
      <w:bookmarkEnd w:id="3"/>
    </w:p>
    <w:p w14:paraId="3B321529">
      <w:pPr>
        <w:spacing w:before="266" w:line="348" w:lineRule="auto"/>
        <w:ind w:left="1" w:right="287" w:firstLine="559"/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</w:pPr>
      <w:bookmarkStart w:id="4" w:name="bookmark1"/>
      <w:bookmarkEnd w:id="4"/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随着公司《服务数据管理制度》的制定和实施，明确了流程执行原则，服务数据的使用和管理能力逐渐提升。服务数据是运维过程中产生的各类数据集合，包括系统性能数据（如 CPU 使用率、响应时间）、服务台工单数据（如故障类型、处理时长）、用户反馈数据等。其核心作用是 “驱动运维从‘被动响应 ’向‘主动优化 ’转型 ”。</w:t>
      </w:r>
    </w:p>
    <w:p w14:paraId="5BACFA7C">
      <w:pPr>
        <w:pStyle w:val="2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z w:val="28"/>
          <w:szCs w:val="28"/>
        </w:rPr>
      </w:pPr>
      <w:bookmarkStart w:id="5" w:name="_Toc12997"/>
      <w:r>
        <w:rPr>
          <w:rFonts w:hint="eastAsia" w:ascii="宋体" w:hAnsi="宋体" w:eastAsia="宋体" w:cs="宋体"/>
          <w:sz w:val="28"/>
          <w:szCs w:val="28"/>
        </w:rPr>
        <w:t>2.严格要求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服务数据管理</w:t>
      </w:r>
      <w:r>
        <w:rPr>
          <w:rFonts w:hint="eastAsia" w:ascii="宋体" w:hAnsi="宋体" w:eastAsia="宋体" w:cs="宋体"/>
          <w:sz w:val="28"/>
          <w:szCs w:val="28"/>
        </w:rPr>
        <w:t>工作</w:t>
      </w:r>
      <w:bookmarkEnd w:id="5"/>
    </w:p>
    <w:p w14:paraId="79660777">
      <w:pPr>
        <w:spacing w:before="266" w:line="348" w:lineRule="auto"/>
        <w:ind w:left="1" w:right="287" w:firstLine="559"/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数据采集与分析</w:t>
      </w:r>
    </w:p>
    <w:p w14:paraId="2BBBA5EB">
      <w:pPr>
        <w:spacing w:before="266" w:line="348" w:lineRule="auto"/>
        <w:ind w:left="1" w:right="287" w:firstLine="559"/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采集范围：包括监控数据系统性能数据等。运用H3C智能管理中心进行数据采集</w:t>
      </w:r>
      <w:bookmarkStart w:id="6" w:name="_Toc30721"/>
      <w:r>
        <w:drawing>
          <wp:inline distT="0" distB="0" distL="114300" distR="114300">
            <wp:extent cx="6039485" cy="215773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FCE2">
      <w:r>
        <w:drawing>
          <wp:inline distT="0" distB="0" distL="114300" distR="114300">
            <wp:extent cx="6035040" cy="2996565"/>
            <wp:effectExtent l="0" t="0" r="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EF9A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2.1指标完成情况</w:t>
      </w:r>
      <w:bookmarkEnd w:id="6"/>
    </w:p>
    <w:p w14:paraId="46F13D99">
      <w:pPr>
        <w:spacing w:before="78" w:line="362" w:lineRule="auto"/>
        <w:ind w:left="24" w:right="123" w:firstLine="23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3"/>
          <w:sz w:val="24"/>
          <w:szCs w:val="24"/>
        </w:rPr>
        <w:t>2025年度运维服务能力管理指标体系</w:t>
      </w:r>
      <w:r>
        <w:rPr>
          <w:rFonts w:hint="eastAsia" w:ascii="宋体" w:hAnsi="宋体" w:eastAsia="宋体" w:cs="宋体"/>
          <w:spacing w:val="3"/>
          <w:sz w:val="24"/>
          <w:szCs w:val="24"/>
          <w:lang w:val="en-US" w:eastAsia="zh-CN"/>
        </w:rPr>
        <w:t>中要求服务数据的季度分析利用次数≥1次</w:t>
      </w:r>
      <w:r>
        <w:rPr>
          <w:rFonts w:ascii="宋体" w:hAnsi="宋体" w:eastAsia="宋体" w:cs="宋体"/>
          <w:spacing w:val="2"/>
          <w:sz w:val="24"/>
          <w:szCs w:val="24"/>
        </w:rPr>
        <w:t>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2025年第一、二季度服务数据分析利用次数分别为2次、3次</w:t>
      </w:r>
      <w:bookmarkStart w:id="8" w:name="_GoBack"/>
      <w:bookmarkEnd w:id="8"/>
      <w:r>
        <w:rPr>
          <w:rFonts w:ascii="宋体" w:hAnsi="宋体" w:eastAsia="宋体" w:cs="宋体"/>
          <w:spacing w:val="-4"/>
          <w:sz w:val="24"/>
          <w:szCs w:val="24"/>
        </w:rPr>
        <w:t>。目前公司服务数据管理情况良好，但仍有提升的空间。</w:t>
      </w:r>
    </w:p>
    <w:p w14:paraId="2B6E43AF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bookmarkStart w:id="7" w:name="_Toc23848"/>
      <w:r>
        <w:rPr>
          <w:rFonts w:hint="eastAsia"/>
          <w:sz w:val="24"/>
          <w:szCs w:val="24"/>
          <w:lang w:val="en-US" w:eastAsia="zh-CN"/>
        </w:rPr>
        <w:t>2.2问题改进</w:t>
      </w:r>
      <w:bookmarkEnd w:id="7"/>
    </w:p>
    <w:p w14:paraId="7E643389">
      <w:pPr>
        <w:spacing w:before="78" w:line="362" w:lineRule="auto"/>
        <w:ind w:left="24" w:right="123" w:firstLine="239"/>
        <w:rPr>
          <w:rFonts w:hint="default" w:ascii="宋体" w:hAnsi="宋体" w:eastAsia="宋体" w:cs="宋体"/>
          <w:spacing w:val="-4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4"/>
          <w:sz w:val="24"/>
          <w:szCs w:val="24"/>
        </w:rPr>
        <w:t>数据孤岛现象依然存在，部分系统的数据尚未接入数据库汇总，导致数据分析的全面性受到影响。</w:t>
      </w:r>
    </w:p>
    <w:sectPr>
      <w:headerReference r:id="rId9" w:type="default"/>
      <w:footerReference r:id="rId10" w:type="default"/>
      <w:pgSz w:w="11906" w:h="16839"/>
      <w:pgMar w:top="400" w:right="1305" w:bottom="885" w:left="1088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2F6A">
    <w:pPr>
      <w:spacing w:line="178" w:lineRule="auto"/>
      <w:ind w:left="4822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5CB47">
    <w:pPr>
      <w:spacing w:line="177" w:lineRule="auto"/>
      <w:ind w:left="4827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85341">
    <w:pPr>
      <w:pStyle w:val="4"/>
      <w:spacing w:line="52" w:lineRule="auto"/>
      <w:rPr>
        <w:sz w:val="2"/>
      </w:rPr>
    </w:pPr>
    <w:r>
      <w:pict>
        <v:shape id="_x0000_s4097" o:spid="_x0000_s4097" style="position:absolute;left:0pt;margin-left:88.4pt;margin-top:54.1pt;height:0.75pt;width:418.5pt;mso-position-horizontal-relative:page;mso-position-vertical-relative:page;z-index:251659264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5873A">
    <w:pPr>
      <w:pStyle w:val="4"/>
      <w:spacing w:line="52" w:lineRule="auto"/>
      <w:rPr>
        <w:sz w:val="2"/>
      </w:rPr>
    </w:pPr>
    <w:r>
      <w:pict>
        <v:shape id="_x0000_s4098" o:spid="_x0000_s4098" style="position:absolute;left:0pt;margin-left:88.4pt;margin-top:54.1pt;height:0.75pt;width:418.5pt;mso-position-horizontal-relative:page;mso-position-vertical-relative:page;z-index:251660288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4C966">
    <w:pPr>
      <w:pStyle w:val="4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34E94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12627"/>
    <w:rsid w:val="00EE260F"/>
    <w:rsid w:val="01C20BC1"/>
    <w:rsid w:val="0261487E"/>
    <w:rsid w:val="03DD1CE2"/>
    <w:rsid w:val="04044D63"/>
    <w:rsid w:val="04216C12"/>
    <w:rsid w:val="042518DB"/>
    <w:rsid w:val="047D34C5"/>
    <w:rsid w:val="06541E98"/>
    <w:rsid w:val="07EC6998"/>
    <w:rsid w:val="0A7964DD"/>
    <w:rsid w:val="0A8455AD"/>
    <w:rsid w:val="0AD16319"/>
    <w:rsid w:val="0C937D2A"/>
    <w:rsid w:val="0D67109F"/>
    <w:rsid w:val="0D7F3DA8"/>
    <w:rsid w:val="0D9F625A"/>
    <w:rsid w:val="109A0F5B"/>
    <w:rsid w:val="11C20769"/>
    <w:rsid w:val="13693592"/>
    <w:rsid w:val="13884674"/>
    <w:rsid w:val="13C407C9"/>
    <w:rsid w:val="14482D93"/>
    <w:rsid w:val="147A0C8E"/>
    <w:rsid w:val="147B69EE"/>
    <w:rsid w:val="16661B6F"/>
    <w:rsid w:val="16AE11E8"/>
    <w:rsid w:val="172E45E9"/>
    <w:rsid w:val="17BD7F23"/>
    <w:rsid w:val="183879D7"/>
    <w:rsid w:val="18DA0A8E"/>
    <w:rsid w:val="1A543EDD"/>
    <w:rsid w:val="1D7A639C"/>
    <w:rsid w:val="1DCD0BC2"/>
    <w:rsid w:val="1EA35FEA"/>
    <w:rsid w:val="217A4BBD"/>
    <w:rsid w:val="21D267A7"/>
    <w:rsid w:val="22275D7A"/>
    <w:rsid w:val="222C235B"/>
    <w:rsid w:val="23D26B19"/>
    <w:rsid w:val="25F72C80"/>
    <w:rsid w:val="261F21D6"/>
    <w:rsid w:val="26D94133"/>
    <w:rsid w:val="28CA642A"/>
    <w:rsid w:val="292A6EC8"/>
    <w:rsid w:val="29EE439A"/>
    <w:rsid w:val="2AE87C5D"/>
    <w:rsid w:val="2BD33847"/>
    <w:rsid w:val="2BF30A26"/>
    <w:rsid w:val="2F30072C"/>
    <w:rsid w:val="2F8C1E45"/>
    <w:rsid w:val="310B75DF"/>
    <w:rsid w:val="318068F9"/>
    <w:rsid w:val="3186745D"/>
    <w:rsid w:val="329D695D"/>
    <w:rsid w:val="356E638F"/>
    <w:rsid w:val="35731BF7"/>
    <w:rsid w:val="3628478F"/>
    <w:rsid w:val="36F6488E"/>
    <w:rsid w:val="38D95B3B"/>
    <w:rsid w:val="3B767F91"/>
    <w:rsid w:val="3C3025F0"/>
    <w:rsid w:val="3D6C58AA"/>
    <w:rsid w:val="3D7477C9"/>
    <w:rsid w:val="3D9E24A4"/>
    <w:rsid w:val="3DF17B5D"/>
    <w:rsid w:val="3E18333B"/>
    <w:rsid w:val="3F530770"/>
    <w:rsid w:val="404B17A6"/>
    <w:rsid w:val="408847A8"/>
    <w:rsid w:val="412F0DC7"/>
    <w:rsid w:val="414D154E"/>
    <w:rsid w:val="417D7DF9"/>
    <w:rsid w:val="422B0EBE"/>
    <w:rsid w:val="42B24968"/>
    <w:rsid w:val="42B850ED"/>
    <w:rsid w:val="4440539A"/>
    <w:rsid w:val="444430DC"/>
    <w:rsid w:val="45232CF2"/>
    <w:rsid w:val="45442C68"/>
    <w:rsid w:val="45576E3F"/>
    <w:rsid w:val="456B28EB"/>
    <w:rsid w:val="467D0B27"/>
    <w:rsid w:val="482C45B3"/>
    <w:rsid w:val="48906E9A"/>
    <w:rsid w:val="49EB7B56"/>
    <w:rsid w:val="4BD27220"/>
    <w:rsid w:val="4C4E2FA9"/>
    <w:rsid w:val="4C6B7404"/>
    <w:rsid w:val="4CFD4B8D"/>
    <w:rsid w:val="4D432AB4"/>
    <w:rsid w:val="4E233D62"/>
    <w:rsid w:val="4E9C50B5"/>
    <w:rsid w:val="50AA7753"/>
    <w:rsid w:val="51AB479B"/>
    <w:rsid w:val="51C370F3"/>
    <w:rsid w:val="51D650B0"/>
    <w:rsid w:val="530028C4"/>
    <w:rsid w:val="538916D4"/>
    <w:rsid w:val="53F91DB5"/>
    <w:rsid w:val="54110F37"/>
    <w:rsid w:val="5697353F"/>
    <w:rsid w:val="56D6261E"/>
    <w:rsid w:val="56EC2EAE"/>
    <w:rsid w:val="585F62DF"/>
    <w:rsid w:val="586E702A"/>
    <w:rsid w:val="59486D73"/>
    <w:rsid w:val="5A5359CF"/>
    <w:rsid w:val="5A9B0F31"/>
    <w:rsid w:val="5AAE33CB"/>
    <w:rsid w:val="5C29043E"/>
    <w:rsid w:val="5C390BF5"/>
    <w:rsid w:val="5C9F0AF8"/>
    <w:rsid w:val="5D3159ED"/>
    <w:rsid w:val="5E7C1CD5"/>
    <w:rsid w:val="5FDC1FC3"/>
    <w:rsid w:val="64504D2E"/>
    <w:rsid w:val="65B65064"/>
    <w:rsid w:val="65CE6852"/>
    <w:rsid w:val="66042274"/>
    <w:rsid w:val="66124991"/>
    <w:rsid w:val="66F552F2"/>
    <w:rsid w:val="67446DCC"/>
    <w:rsid w:val="6784366C"/>
    <w:rsid w:val="68C76FC4"/>
    <w:rsid w:val="68E1689C"/>
    <w:rsid w:val="6933534A"/>
    <w:rsid w:val="6A2D4008"/>
    <w:rsid w:val="6B5E5F82"/>
    <w:rsid w:val="6B8502DC"/>
    <w:rsid w:val="6B865305"/>
    <w:rsid w:val="6B9F6CC6"/>
    <w:rsid w:val="6D635AD2"/>
    <w:rsid w:val="6DEC3D19"/>
    <w:rsid w:val="71B77266"/>
    <w:rsid w:val="72007D93"/>
    <w:rsid w:val="72BB3CBA"/>
    <w:rsid w:val="7319311D"/>
    <w:rsid w:val="73214465"/>
    <w:rsid w:val="741B5358"/>
    <w:rsid w:val="7463285B"/>
    <w:rsid w:val="74F11C15"/>
    <w:rsid w:val="76634D94"/>
    <w:rsid w:val="769B008A"/>
    <w:rsid w:val="779F3BAA"/>
    <w:rsid w:val="77F02662"/>
    <w:rsid w:val="788A03B6"/>
    <w:rsid w:val="7AF73827"/>
    <w:rsid w:val="7B845591"/>
    <w:rsid w:val="7BFE17E7"/>
    <w:rsid w:val="7C266648"/>
    <w:rsid w:val="7D821FA4"/>
    <w:rsid w:val="7DC20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517</Words>
  <Characters>566</Characters>
  <TotalTime>7</TotalTime>
  <ScaleCrop>false</ScaleCrop>
  <LinksUpToDate>false</LinksUpToDate>
  <CharactersWithSpaces>596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2025-08-19T16:09:00Z</dcterms:created>
  <dc:creator>健 张</dc:creator>
  <cp:lastModifiedBy>郝宇</cp:lastModifiedBy>
  <dcterms:modified xsi:type="dcterms:W3CDTF">2025-08-29T22:35:34Z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2025-08-19T16:30:13Z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EA03877D88BA48329BBA99C646CC4FBF_12</vt:lpwstr>
  </property>
</Properties>
</file>