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4F54AB">
      <w:pPr>
        <w:bidi w:val="0"/>
        <w:spacing w:line="360" w:lineRule="auto"/>
        <w:jc w:val="center"/>
        <w:rPr>
          <w:rFonts w:hint="eastAsia" w:cs="宋体"/>
          <w:b/>
          <w:sz w:val="44"/>
          <w:szCs w:val="44"/>
        </w:rPr>
      </w:pPr>
    </w:p>
    <w:p w14:paraId="3381F87D">
      <w:pPr>
        <w:pStyle w:val="12"/>
        <w:spacing w:line="284" w:lineRule="auto"/>
      </w:pPr>
    </w:p>
    <w:p w14:paraId="0E4D35AE">
      <w:pPr>
        <w:spacing w:before="169" w:line="220" w:lineRule="auto"/>
        <w:jc w:val="center"/>
        <w:outlineLvl w:val="0"/>
        <w:rPr>
          <w:rFonts w:hint="default" w:ascii="宋体" w:hAnsi="宋体" w:eastAsia="宋体" w:cs="宋体"/>
          <w:sz w:val="52"/>
          <w:szCs w:val="52"/>
          <w:lang w:val="en-US" w:eastAsia="zh-CN"/>
        </w:rPr>
      </w:pPr>
      <w:bookmarkStart w:id="0" w:name="_Toc28683"/>
      <w:r>
        <w:rPr>
          <w:rFonts w:hint="eastAsia" w:ascii="宋体" w:hAnsi="宋体" w:cs="宋体"/>
          <w:b/>
          <w:bCs/>
          <w:spacing w:val="-8"/>
          <w:sz w:val="52"/>
          <w:szCs w:val="52"/>
          <w:lang w:val="en-US" w:eastAsia="zh-CN"/>
        </w:rPr>
        <w:t>交付沟通管理制度</w:t>
      </w:r>
      <w:bookmarkEnd w:id="0"/>
    </w:p>
    <w:p w14:paraId="0E3AD7F3">
      <w:pPr>
        <w:pStyle w:val="12"/>
        <w:spacing w:line="259" w:lineRule="auto"/>
      </w:pPr>
    </w:p>
    <w:p w14:paraId="682FA42E">
      <w:pPr>
        <w:pStyle w:val="12"/>
        <w:spacing w:line="259" w:lineRule="auto"/>
      </w:pPr>
    </w:p>
    <w:p w14:paraId="7163D500">
      <w:pPr>
        <w:pStyle w:val="12"/>
        <w:spacing w:line="259" w:lineRule="auto"/>
      </w:pPr>
    </w:p>
    <w:p w14:paraId="15D18578">
      <w:pPr>
        <w:pStyle w:val="12"/>
        <w:spacing w:line="259" w:lineRule="auto"/>
      </w:pPr>
    </w:p>
    <w:p w14:paraId="0851C5B3">
      <w:pPr>
        <w:pStyle w:val="12"/>
        <w:spacing w:line="259" w:lineRule="auto"/>
      </w:pPr>
    </w:p>
    <w:p w14:paraId="691B768F">
      <w:pPr>
        <w:pStyle w:val="12"/>
        <w:spacing w:line="260" w:lineRule="auto"/>
      </w:pPr>
    </w:p>
    <w:p w14:paraId="386A63A2">
      <w:pPr>
        <w:pStyle w:val="12"/>
        <w:spacing w:line="260" w:lineRule="auto"/>
      </w:pPr>
    </w:p>
    <w:p w14:paraId="62386F0A">
      <w:pPr>
        <w:spacing w:line="1293" w:lineRule="exact"/>
        <w:jc w:val="center"/>
      </w:pPr>
      <w:r>
        <w:rPr>
          <w:position w:val="-25"/>
        </w:rPr>
        <w:drawing>
          <wp:inline distT="0" distB="0" distL="0" distR="0">
            <wp:extent cx="2757170" cy="820420"/>
            <wp:effectExtent l="0" t="0" r="1270" b="254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6"/>
                    <a:stretch>
                      <a:fillRect/>
                    </a:stretch>
                  </pic:blipFill>
                  <pic:spPr>
                    <a:xfrm>
                      <a:off x="0" y="0"/>
                      <a:ext cx="2757599" cy="820799"/>
                    </a:xfrm>
                    <a:prstGeom prst="rect">
                      <a:avLst/>
                    </a:prstGeom>
                  </pic:spPr>
                </pic:pic>
              </a:graphicData>
            </a:graphic>
          </wp:inline>
        </w:drawing>
      </w:r>
    </w:p>
    <w:p w14:paraId="3E2EAECF">
      <w:pPr>
        <w:pStyle w:val="12"/>
        <w:spacing w:line="245" w:lineRule="auto"/>
      </w:pPr>
    </w:p>
    <w:p w14:paraId="65C3EEA3">
      <w:pPr>
        <w:pStyle w:val="12"/>
        <w:spacing w:line="245" w:lineRule="auto"/>
      </w:pPr>
    </w:p>
    <w:p w14:paraId="23E6F599">
      <w:pPr>
        <w:pStyle w:val="12"/>
        <w:spacing w:line="245" w:lineRule="auto"/>
      </w:pPr>
    </w:p>
    <w:p w14:paraId="6C4CB0B8">
      <w:pPr>
        <w:pStyle w:val="12"/>
        <w:spacing w:line="245" w:lineRule="auto"/>
      </w:pPr>
    </w:p>
    <w:p w14:paraId="43FA5B40">
      <w:pPr>
        <w:pStyle w:val="12"/>
        <w:spacing w:line="245" w:lineRule="auto"/>
      </w:pPr>
    </w:p>
    <w:p w14:paraId="66DDE666">
      <w:pPr>
        <w:pStyle w:val="12"/>
        <w:spacing w:line="245" w:lineRule="auto"/>
      </w:pPr>
    </w:p>
    <w:p w14:paraId="53A9C8A5">
      <w:pPr>
        <w:pStyle w:val="12"/>
        <w:spacing w:line="245" w:lineRule="auto"/>
      </w:pPr>
    </w:p>
    <w:p w14:paraId="1986E5BC">
      <w:pPr>
        <w:pStyle w:val="12"/>
        <w:spacing w:line="245" w:lineRule="auto"/>
      </w:pPr>
    </w:p>
    <w:p w14:paraId="39B0EDE3">
      <w:pPr>
        <w:pStyle w:val="12"/>
        <w:spacing w:line="245" w:lineRule="auto"/>
      </w:pPr>
    </w:p>
    <w:p w14:paraId="1BABDE98">
      <w:pPr>
        <w:pStyle w:val="12"/>
        <w:spacing w:line="245" w:lineRule="auto"/>
      </w:pPr>
    </w:p>
    <w:p w14:paraId="136F2CD5">
      <w:pPr>
        <w:pStyle w:val="12"/>
        <w:spacing w:line="245" w:lineRule="auto"/>
      </w:pPr>
    </w:p>
    <w:p w14:paraId="3E4BE39B">
      <w:pPr>
        <w:pStyle w:val="12"/>
        <w:spacing w:line="245" w:lineRule="auto"/>
      </w:pPr>
    </w:p>
    <w:p w14:paraId="5EFD7F07">
      <w:pPr>
        <w:pStyle w:val="12"/>
        <w:spacing w:line="245" w:lineRule="auto"/>
      </w:pPr>
    </w:p>
    <w:p w14:paraId="5908EAFD">
      <w:pPr>
        <w:pStyle w:val="12"/>
        <w:spacing w:line="245" w:lineRule="auto"/>
      </w:pPr>
    </w:p>
    <w:p w14:paraId="3986BC7F">
      <w:pPr>
        <w:pStyle w:val="12"/>
        <w:spacing w:line="245" w:lineRule="auto"/>
      </w:pPr>
    </w:p>
    <w:p w14:paraId="39C9E1CF">
      <w:pPr>
        <w:pStyle w:val="12"/>
        <w:spacing w:line="245" w:lineRule="auto"/>
      </w:pPr>
    </w:p>
    <w:p w14:paraId="08BC4FA1">
      <w:pPr>
        <w:pStyle w:val="12"/>
        <w:spacing w:line="245" w:lineRule="auto"/>
      </w:pPr>
    </w:p>
    <w:p w14:paraId="6902F57C">
      <w:pPr>
        <w:pStyle w:val="12"/>
        <w:spacing w:line="245" w:lineRule="auto"/>
      </w:pPr>
    </w:p>
    <w:p w14:paraId="422F1708">
      <w:pPr>
        <w:pStyle w:val="12"/>
        <w:spacing w:line="245" w:lineRule="auto"/>
      </w:pPr>
    </w:p>
    <w:p w14:paraId="1D575313">
      <w:pPr>
        <w:spacing w:before="117" w:line="219" w:lineRule="auto"/>
        <w:jc w:val="center"/>
        <w:rPr>
          <w:rFonts w:ascii="宋体" w:hAnsi="宋体" w:eastAsia="宋体" w:cs="宋体"/>
          <w:spacing w:val="-1"/>
          <w:sz w:val="36"/>
          <w:szCs w:val="36"/>
        </w:rPr>
      </w:pPr>
      <w:r>
        <w:rPr>
          <w:rFonts w:ascii="宋体" w:hAnsi="宋体" w:eastAsia="宋体" w:cs="宋体"/>
          <w:spacing w:val="-1"/>
          <w:sz w:val="36"/>
          <w:szCs w:val="36"/>
        </w:rPr>
        <w:t>青岛慧海联创信息技术有限公司</w:t>
      </w:r>
    </w:p>
    <w:p w14:paraId="63B8470F">
      <w:pPr>
        <w:spacing w:before="117" w:line="219" w:lineRule="auto"/>
        <w:jc w:val="center"/>
        <w:rPr>
          <w:rFonts w:hint="default" w:ascii="宋体" w:hAnsi="宋体" w:eastAsia="宋体" w:cs="宋体"/>
          <w:spacing w:val="-1"/>
          <w:sz w:val="36"/>
          <w:szCs w:val="36"/>
          <w:lang w:val="en-US" w:eastAsia="zh-CN"/>
        </w:rPr>
      </w:pPr>
      <w:r>
        <w:rPr>
          <w:rFonts w:ascii="宋体" w:hAnsi="宋体" w:eastAsia="宋体" w:cs="宋体"/>
          <w:spacing w:val="-1"/>
          <w:sz w:val="36"/>
          <w:szCs w:val="36"/>
        </w:rPr>
        <w:t>202</w:t>
      </w:r>
      <w:r>
        <w:rPr>
          <w:rFonts w:hint="eastAsia" w:ascii="宋体" w:hAnsi="宋体" w:eastAsia="宋体" w:cs="宋体"/>
          <w:spacing w:val="-1"/>
          <w:sz w:val="36"/>
          <w:szCs w:val="36"/>
          <w:lang w:val="en-US" w:eastAsia="zh-CN"/>
        </w:rPr>
        <w:t>5</w:t>
      </w:r>
      <w:r>
        <w:rPr>
          <w:rFonts w:ascii="宋体" w:hAnsi="宋体" w:eastAsia="宋体" w:cs="宋体"/>
          <w:spacing w:val="-1"/>
          <w:sz w:val="36"/>
          <w:szCs w:val="36"/>
        </w:rPr>
        <w:t>-0</w:t>
      </w:r>
      <w:r>
        <w:rPr>
          <w:rFonts w:hint="eastAsia" w:ascii="宋体" w:hAnsi="宋体" w:cs="宋体"/>
          <w:spacing w:val="-1"/>
          <w:sz w:val="36"/>
          <w:szCs w:val="36"/>
          <w:lang w:val="en-US" w:eastAsia="zh-CN"/>
        </w:rPr>
        <w:t>1</w:t>
      </w:r>
      <w:r>
        <w:rPr>
          <w:rFonts w:ascii="宋体" w:hAnsi="宋体" w:eastAsia="宋体" w:cs="宋体"/>
          <w:spacing w:val="-1"/>
          <w:sz w:val="36"/>
          <w:szCs w:val="36"/>
        </w:rPr>
        <w:t>-</w:t>
      </w:r>
      <w:r>
        <w:rPr>
          <w:rFonts w:hint="eastAsia" w:ascii="宋体" w:hAnsi="宋体" w:cs="宋体"/>
          <w:spacing w:val="-1"/>
          <w:sz w:val="36"/>
          <w:szCs w:val="36"/>
          <w:lang w:val="en-US" w:eastAsia="zh-CN"/>
        </w:rPr>
        <w:t>04</w:t>
      </w:r>
    </w:p>
    <w:p w14:paraId="0D4FAE90">
      <w:pPr>
        <w:rPr>
          <w:rFonts w:ascii="宋体" w:hAnsi="宋体" w:eastAsia="宋体" w:cs="宋体"/>
          <w:spacing w:val="-2"/>
          <w:sz w:val="21"/>
          <w:szCs w:val="21"/>
        </w:rPr>
      </w:pPr>
      <w:r>
        <w:rPr>
          <w:rFonts w:ascii="宋体" w:hAnsi="宋体" w:eastAsia="宋体" w:cs="宋体"/>
          <w:spacing w:val="-2"/>
          <w:sz w:val="21"/>
          <w:szCs w:val="21"/>
        </w:rPr>
        <w:br w:type="page"/>
      </w:r>
    </w:p>
    <w:p w14:paraId="168F47D4">
      <w:pPr>
        <w:spacing w:before="69" w:line="220" w:lineRule="auto"/>
        <w:ind w:left="3954"/>
        <w:outlineLvl w:val="0"/>
        <w:rPr>
          <w:rFonts w:ascii="宋体" w:hAnsi="宋体" w:eastAsia="宋体" w:cs="宋体"/>
          <w:sz w:val="21"/>
          <w:szCs w:val="21"/>
        </w:rPr>
      </w:pPr>
      <w:bookmarkStart w:id="1" w:name="_Toc1580"/>
      <w:r>
        <w:rPr>
          <w:rFonts w:ascii="宋体" w:hAnsi="宋体" w:eastAsia="宋体" w:cs="宋体"/>
          <w:spacing w:val="-2"/>
          <w:sz w:val="21"/>
          <w:szCs w:val="21"/>
        </w:rPr>
        <w:t>文档信息</w:t>
      </w:r>
      <w:bookmarkEnd w:id="1"/>
    </w:p>
    <w:p w14:paraId="1B840E36">
      <w:pPr>
        <w:spacing w:line="16" w:lineRule="exact"/>
      </w:pPr>
    </w:p>
    <w:p w14:paraId="3FAF15AD">
      <w:pPr>
        <w:spacing w:before="116" w:line="221" w:lineRule="auto"/>
        <w:ind w:left="5767" w:leftChars="0"/>
      </w:pP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5"/>
        <w:gridCol w:w="1646"/>
        <w:gridCol w:w="1646"/>
        <w:gridCol w:w="1646"/>
        <w:gridCol w:w="1124"/>
      </w:tblGrid>
      <w:tr w14:paraId="7E0C15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5" w:type="dxa"/>
            <w:shd w:val="clear" w:color="auto" w:fill="auto"/>
            <w:vAlign w:val="top"/>
          </w:tcPr>
          <w:p w14:paraId="7A133F86">
            <w:pPr>
              <w:pStyle w:val="26"/>
              <w:spacing w:before="199" w:line="220" w:lineRule="auto"/>
              <w:rPr>
                <w:rFonts w:ascii="宋体" w:hAnsi="宋体" w:eastAsia="宋体" w:cs="宋体"/>
                <w:kern w:val="2"/>
                <w:sz w:val="28"/>
                <w:szCs w:val="28"/>
                <w:lang w:val="en-US" w:eastAsia="en-US" w:bidi="ar-SA"/>
              </w:rPr>
            </w:pPr>
            <w:r>
              <w:rPr>
                <w:spacing w:val="-2"/>
              </w:rPr>
              <w:t>文档名称编号</w:t>
            </w:r>
          </w:p>
        </w:tc>
        <w:tc>
          <w:tcPr>
            <w:tcW w:w="6062" w:type="dxa"/>
            <w:gridSpan w:val="4"/>
            <w:shd w:val="clear" w:color="auto" w:fill="auto"/>
            <w:vAlign w:val="top"/>
          </w:tcPr>
          <w:p w14:paraId="146C1E67">
            <w:pPr>
              <w:pStyle w:val="26"/>
              <w:spacing w:before="200" w:line="218" w:lineRule="auto"/>
              <w:ind w:left="108" w:leftChars="0"/>
              <w:rPr>
                <w:rFonts w:ascii="宋体" w:hAnsi="宋体" w:eastAsia="宋体" w:cs="宋体"/>
                <w:kern w:val="2"/>
                <w:sz w:val="28"/>
                <w:szCs w:val="28"/>
                <w:lang w:val="en-US" w:eastAsia="en-US" w:bidi="ar-SA"/>
              </w:rPr>
            </w:pPr>
            <w:r>
              <w:rPr>
                <w:rFonts w:hint="eastAsia"/>
                <w:spacing w:val="-1"/>
                <w:lang w:val="en-US" w:eastAsia="zh-CN"/>
              </w:rPr>
              <w:t>交付沟通管理制度</w:t>
            </w:r>
            <w:r>
              <w:rPr>
                <w:spacing w:val="-1"/>
              </w:rPr>
              <w:t>（HHLC-ITSS-</w:t>
            </w:r>
            <w:r>
              <w:rPr>
                <w:rFonts w:hint="eastAsia"/>
                <w:spacing w:val="-1"/>
                <w:lang w:val="en-US" w:eastAsia="zh-CN"/>
              </w:rPr>
              <w:t>JFGTGL</w:t>
            </w:r>
            <w:r>
              <w:rPr>
                <w:spacing w:val="-1"/>
              </w:rPr>
              <w:t>）</w:t>
            </w:r>
          </w:p>
        </w:tc>
      </w:tr>
      <w:tr w14:paraId="640B8E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5" w:type="dxa"/>
            <w:shd w:val="clear" w:color="auto" w:fill="auto"/>
            <w:vAlign w:val="top"/>
          </w:tcPr>
          <w:p w14:paraId="671F4D65">
            <w:pPr>
              <w:pStyle w:val="26"/>
              <w:spacing w:before="196" w:line="220" w:lineRule="auto"/>
              <w:ind w:left="435" w:leftChars="0"/>
              <w:rPr>
                <w:rFonts w:ascii="宋体" w:hAnsi="宋体" w:eastAsia="宋体" w:cs="宋体"/>
                <w:kern w:val="2"/>
                <w:sz w:val="28"/>
                <w:szCs w:val="28"/>
                <w:lang w:val="en-US" w:eastAsia="en-US" w:bidi="ar-SA"/>
              </w:rPr>
            </w:pPr>
            <w:r>
              <w:rPr>
                <w:spacing w:val="-2"/>
              </w:rPr>
              <w:t>编制单位</w:t>
            </w:r>
          </w:p>
        </w:tc>
        <w:tc>
          <w:tcPr>
            <w:tcW w:w="6062" w:type="dxa"/>
            <w:gridSpan w:val="4"/>
            <w:shd w:val="clear" w:color="auto" w:fill="auto"/>
            <w:vAlign w:val="top"/>
          </w:tcPr>
          <w:p w14:paraId="3F2781C1">
            <w:pPr>
              <w:pStyle w:val="26"/>
              <w:spacing w:before="197" w:line="219" w:lineRule="auto"/>
              <w:ind w:left="108" w:leftChars="0"/>
              <w:rPr>
                <w:rFonts w:ascii="宋体" w:hAnsi="宋体" w:eastAsia="宋体" w:cs="宋体"/>
                <w:kern w:val="2"/>
                <w:sz w:val="28"/>
                <w:szCs w:val="28"/>
                <w:lang w:val="en-US" w:eastAsia="en-US" w:bidi="ar-SA"/>
              </w:rPr>
            </w:pPr>
            <w:r>
              <w:rPr>
                <w:spacing w:val="-1"/>
              </w:rPr>
              <w:t>青岛慧海联创信息技术有限公司</w:t>
            </w:r>
          </w:p>
        </w:tc>
      </w:tr>
      <w:tr w14:paraId="715F23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5" w:type="dxa"/>
            <w:shd w:val="clear" w:color="auto" w:fill="auto"/>
            <w:vAlign w:val="top"/>
          </w:tcPr>
          <w:p w14:paraId="730ECEF9">
            <w:pPr>
              <w:pStyle w:val="26"/>
              <w:spacing w:before="199" w:line="219" w:lineRule="auto"/>
              <w:ind w:left="435" w:leftChars="0"/>
              <w:rPr>
                <w:rFonts w:ascii="宋体" w:hAnsi="宋体" w:eastAsia="宋体" w:cs="宋体"/>
                <w:kern w:val="2"/>
                <w:sz w:val="28"/>
                <w:szCs w:val="28"/>
                <w:lang w:val="en-US" w:eastAsia="en-US" w:bidi="ar-SA"/>
              </w:rPr>
            </w:pPr>
            <w:r>
              <w:rPr>
                <w:spacing w:val="-2"/>
              </w:rPr>
              <w:t>文档版本</w:t>
            </w:r>
          </w:p>
        </w:tc>
        <w:tc>
          <w:tcPr>
            <w:tcW w:w="1646" w:type="dxa"/>
            <w:shd w:val="clear" w:color="auto" w:fill="auto"/>
            <w:vAlign w:val="top"/>
          </w:tcPr>
          <w:p w14:paraId="70EAAF2C">
            <w:pPr>
              <w:pStyle w:val="26"/>
              <w:spacing w:before="199" w:line="219" w:lineRule="auto"/>
              <w:rPr>
                <w:rFonts w:ascii="宋体" w:hAnsi="宋体" w:eastAsia="宋体" w:cs="宋体"/>
                <w:kern w:val="2"/>
                <w:sz w:val="28"/>
                <w:szCs w:val="28"/>
                <w:lang w:val="en-US" w:eastAsia="en-US" w:bidi="ar-SA"/>
              </w:rPr>
            </w:pPr>
            <w:r>
              <w:rPr>
                <w:spacing w:val="-2"/>
              </w:rPr>
              <w:t>版本日期</w:t>
            </w:r>
          </w:p>
        </w:tc>
        <w:tc>
          <w:tcPr>
            <w:tcW w:w="1646" w:type="dxa"/>
            <w:shd w:val="clear" w:color="auto" w:fill="auto"/>
            <w:vAlign w:val="top"/>
          </w:tcPr>
          <w:p w14:paraId="1F40B03A">
            <w:pPr>
              <w:pStyle w:val="26"/>
              <w:spacing w:before="199" w:line="219" w:lineRule="auto"/>
              <w:rPr>
                <w:rFonts w:ascii="宋体" w:hAnsi="宋体" w:eastAsia="宋体" w:cs="宋体"/>
                <w:kern w:val="2"/>
                <w:sz w:val="28"/>
                <w:szCs w:val="28"/>
                <w:lang w:val="en-US" w:eastAsia="en-US" w:bidi="ar-SA"/>
              </w:rPr>
            </w:pPr>
            <w:r>
              <w:rPr>
                <w:spacing w:val="-2"/>
              </w:rPr>
              <w:t>版本说明</w:t>
            </w:r>
          </w:p>
        </w:tc>
        <w:tc>
          <w:tcPr>
            <w:tcW w:w="1646" w:type="dxa"/>
            <w:shd w:val="clear" w:color="auto" w:fill="auto"/>
            <w:vAlign w:val="top"/>
          </w:tcPr>
          <w:p w14:paraId="56CC0B22">
            <w:pPr>
              <w:pStyle w:val="26"/>
              <w:spacing w:before="199" w:line="220" w:lineRule="auto"/>
              <w:rPr>
                <w:rFonts w:ascii="宋体" w:hAnsi="宋体" w:eastAsia="宋体" w:cs="宋体"/>
                <w:kern w:val="2"/>
                <w:sz w:val="28"/>
                <w:szCs w:val="28"/>
                <w:lang w:val="en-US" w:eastAsia="en-US" w:bidi="ar-SA"/>
              </w:rPr>
            </w:pPr>
            <w:r>
              <w:rPr>
                <w:spacing w:val="-3"/>
              </w:rPr>
              <w:t>作者</w:t>
            </w:r>
          </w:p>
        </w:tc>
        <w:tc>
          <w:tcPr>
            <w:tcW w:w="1124" w:type="dxa"/>
            <w:shd w:val="clear" w:color="auto" w:fill="auto"/>
            <w:vAlign w:val="top"/>
          </w:tcPr>
          <w:p w14:paraId="3D0B3151">
            <w:pPr>
              <w:pStyle w:val="26"/>
              <w:spacing w:before="199" w:line="220" w:lineRule="auto"/>
              <w:rPr>
                <w:rFonts w:ascii="宋体" w:hAnsi="宋体" w:eastAsia="宋体" w:cs="宋体"/>
                <w:kern w:val="2"/>
                <w:sz w:val="28"/>
                <w:szCs w:val="28"/>
                <w:lang w:val="en-US" w:eastAsia="en-US" w:bidi="ar-SA"/>
              </w:rPr>
            </w:pPr>
            <w:r>
              <w:rPr>
                <w:spacing w:val="-5"/>
              </w:rPr>
              <w:t>审核</w:t>
            </w:r>
          </w:p>
        </w:tc>
      </w:tr>
      <w:tr w14:paraId="00CC73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 w:hRule="atLeast"/>
        </w:trPr>
        <w:tc>
          <w:tcPr>
            <w:tcW w:w="0" w:type="auto"/>
            <w:shd w:val="clear" w:color="auto" w:fill="auto"/>
            <w:vAlign w:val="top"/>
          </w:tcPr>
          <w:p w14:paraId="3A73597C">
            <w:pPr>
              <w:pStyle w:val="26"/>
              <w:spacing w:before="163" w:line="239" w:lineRule="auto"/>
              <w:ind w:left="638" w:leftChars="0"/>
              <w:rPr>
                <w:rFonts w:ascii="宋体" w:hAnsi="宋体" w:eastAsia="宋体" w:cs="宋体"/>
                <w:kern w:val="2"/>
                <w:sz w:val="28"/>
                <w:szCs w:val="28"/>
                <w:lang w:val="en-US" w:eastAsia="en-US" w:bidi="ar-SA"/>
              </w:rPr>
            </w:pPr>
            <w:r>
              <w:rPr>
                <w:spacing w:val="-1"/>
              </w:rPr>
              <w:t>V1.0</w:t>
            </w:r>
          </w:p>
        </w:tc>
        <w:tc>
          <w:tcPr>
            <w:tcW w:w="0" w:type="auto"/>
            <w:shd w:val="clear" w:color="auto" w:fill="auto"/>
            <w:vAlign w:val="top"/>
          </w:tcPr>
          <w:p w14:paraId="32F52BA1">
            <w:pPr>
              <w:pStyle w:val="26"/>
              <w:spacing w:before="163"/>
              <w:rPr>
                <w:rFonts w:hint="eastAsia" w:ascii="宋体" w:hAnsi="宋体" w:eastAsia="宋体" w:cs="宋体"/>
                <w:kern w:val="2"/>
                <w:sz w:val="28"/>
                <w:szCs w:val="28"/>
                <w:lang w:val="en-US" w:eastAsia="zh-CN" w:bidi="ar-SA"/>
              </w:rPr>
            </w:pPr>
            <w:r>
              <w:rPr>
                <w:spacing w:val="-2"/>
              </w:rPr>
              <w:t>20</w:t>
            </w:r>
            <w:r>
              <w:rPr>
                <w:rFonts w:hint="eastAsia" w:eastAsia="宋体"/>
                <w:spacing w:val="-2"/>
                <w:lang w:val="en-US" w:eastAsia="zh-CN"/>
              </w:rPr>
              <w:t>25</w:t>
            </w:r>
            <w:r>
              <w:rPr>
                <w:spacing w:val="-2"/>
              </w:rPr>
              <w:t>-</w:t>
            </w:r>
            <w:r>
              <w:rPr>
                <w:rFonts w:hint="eastAsia"/>
                <w:spacing w:val="-2"/>
                <w:lang w:val="en-US" w:eastAsia="zh-CN"/>
              </w:rPr>
              <w:t>1</w:t>
            </w:r>
            <w:r>
              <w:rPr>
                <w:spacing w:val="-2"/>
              </w:rPr>
              <w:t>-</w:t>
            </w:r>
            <w:r>
              <w:rPr>
                <w:rFonts w:hint="eastAsia"/>
                <w:spacing w:val="-2"/>
                <w:lang w:val="en-US" w:eastAsia="zh-CN"/>
              </w:rPr>
              <w:t>4</w:t>
            </w:r>
          </w:p>
        </w:tc>
        <w:tc>
          <w:tcPr>
            <w:tcW w:w="0" w:type="auto"/>
            <w:shd w:val="clear" w:color="auto" w:fill="auto"/>
            <w:vAlign w:val="top"/>
          </w:tcPr>
          <w:p w14:paraId="08BAE113">
            <w:pPr>
              <w:pStyle w:val="26"/>
              <w:spacing w:before="133" w:line="219" w:lineRule="auto"/>
              <w:rPr>
                <w:rFonts w:ascii="宋体" w:hAnsi="宋体" w:eastAsia="宋体" w:cs="宋体"/>
                <w:kern w:val="2"/>
                <w:sz w:val="28"/>
                <w:szCs w:val="28"/>
                <w:lang w:val="en-US" w:eastAsia="en-US" w:bidi="ar-SA"/>
              </w:rPr>
            </w:pPr>
            <w:r>
              <w:rPr>
                <w:spacing w:val="-3"/>
              </w:rPr>
              <w:t>发布版本</w:t>
            </w:r>
          </w:p>
        </w:tc>
        <w:tc>
          <w:tcPr>
            <w:tcW w:w="0" w:type="auto"/>
            <w:shd w:val="clear" w:color="auto" w:fill="auto"/>
            <w:vAlign w:val="top"/>
          </w:tcPr>
          <w:p w14:paraId="049F8E03">
            <w:pPr>
              <w:pStyle w:val="26"/>
              <w:spacing w:before="134" w:line="220" w:lineRule="auto"/>
              <w:rPr>
                <w:rFonts w:hint="eastAsia" w:ascii="宋体" w:hAnsi="宋体" w:eastAsia="宋体" w:cs="宋体"/>
                <w:kern w:val="2"/>
                <w:sz w:val="28"/>
                <w:szCs w:val="28"/>
                <w:lang w:val="en-US" w:eastAsia="zh-CN" w:bidi="ar-SA"/>
              </w:rPr>
            </w:pPr>
            <w:r>
              <w:rPr>
                <w:rFonts w:hint="eastAsia" w:cs="宋体"/>
                <w:kern w:val="2"/>
                <w:sz w:val="28"/>
                <w:szCs w:val="28"/>
                <w:lang w:val="en-US" w:eastAsia="zh-CN" w:bidi="ar-SA"/>
              </w:rPr>
              <w:t>李琳</w:t>
            </w:r>
          </w:p>
        </w:tc>
        <w:tc>
          <w:tcPr>
            <w:tcW w:w="1124" w:type="dxa"/>
            <w:shd w:val="clear" w:color="auto" w:fill="auto"/>
            <w:vAlign w:val="top"/>
          </w:tcPr>
          <w:p w14:paraId="76534D7D">
            <w:pPr>
              <w:pStyle w:val="26"/>
              <w:spacing w:before="133" w:line="220" w:lineRule="auto"/>
              <w:rPr>
                <w:rFonts w:ascii="宋体" w:hAnsi="宋体" w:eastAsia="宋体" w:cs="宋体"/>
                <w:kern w:val="2"/>
                <w:sz w:val="28"/>
                <w:szCs w:val="28"/>
                <w:lang w:val="en-US" w:eastAsia="en-US" w:bidi="ar-SA"/>
              </w:rPr>
            </w:pPr>
            <w:r>
              <w:rPr>
                <w:spacing w:val="-3"/>
              </w:rPr>
              <w:t>张仲全</w:t>
            </w:r>
          </w:p>
        </w:tc>
      </w:tr>
      <w:tr w14:paraId="7710D1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B444992">
            <w:pPr>
              <w:pStyle w:val="26"/>
              <w:spacing w:before="163" w:line="239" w:lineRule="auto"/>
              <w:ind w:left="638" w:leftChars="0"/>
              <w:rPr>
                <w:spacing w:val="-1"/>
              </w:rPr>
            </w:pPr>
          </w:p>
        </w:tc>
        <w:tc>
          <w:tcPr>
            <w:tcW w:w="0" w:type="auto"/>
            <w:shd w:val="clear" w:color="auto" w:fill="auto"/>
            <w:vAlign w:val="top"/>
          </w:tcPr>
          <w:p w14:paraId="65A0D3A3">
            <w:pPr>
              <w:pStyle w:val="26"/>
              <w:spacing w:before="163"/>
              <w:ind w:left="361" w:leftChars="0"/>
              <w:rPr>
                <w:spacing w:val="-2"/>
              </w:rPr>
            </w:pPr>
          </w:p>
        </w:tc>
        <w:tc>
          <w:tcPr>
            <w:tcW w:w="0" w:type="auto"/>
            <w:shd w:val="clear" w:color="auto" w:fill="auto"/>
            <w:vAlign w:val="top"/>
          </w:tcPr>
          <w:p w14:paraId="103C8BF5">
            <w:pPr>
              <w:pStyle w:val="26"/>
              <w:spacing w:before="133" w:line="219" w:lineRule="auto"/>
              <w:rPr>
                <w:spacing w:val="-3"/>
              </w:rPr>
            </w:pPr>
          </w:p>
        </w:tc>
        <w:tc>
          <w:tcPr>
            <w:tcW w:w="0" w:type="auto"/>
            <w:shd w:val="clear" w:color="auto" w:fill="auto"/>
            <w:vAlign w:val="top"/>
          </w:tcPr>
          <w:p w14:paraId="3CF2E1C1">
            <w:pPr>
              <w:pStyle w:val="26"/>
              <w:spacing w:before="134" w:line="220" w:lineRule="auto"/>
              <w:ind w:left="480" w:leftChars="0"/>
              <w:rPr>
                <w:spacing w:val="-5"/>
              </w:rPr>
            </w:pPr>
          </w:p>
        </w:tc>
        <w:tc>
          <w:tcPr>
            <w:tcW w:w="1124" w:type="dxa"/>
            <w:shd w:val="clear" w:color="auto" w:fill="auto"/>
            <w:vAlign w:val="top"/>
          </w:tcPr>
          <w:p w14:paraId="59365245">
            <w:pPr>
              <w:pStyle w:val="26"/>
              <w:spacing w:before="133" w:line="220" w:lineRule="auto"/>
              <w:rPr>
                <w:spacing w:val="-3"/>
              </w:rPr>
            </w:pPr>
          </w:p>
        </w:tc>
      </w:tr>
      <w:tr w14:paraId="3C47A0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2C5ABA4">
            <w:pPr>
              <w:pStyle w:val="26"/>
              <w:spacing w:before="163" w:line="239" w:lineRule="auto"/>
              <w:ind w:left="638" w:leftChars="0"/>
              <w:rPr>
                <w:spacing w:val="-1"/>
              </w:rPr>
            </w:pPr>
          </w:p>
        </w:tc>
        <w:tc>
          <w:tcPr>
            <w:tcW w:w="0" w:type="auto"/>
            <w:shd w:val="clear" w:color="auto" w:fill="auto"/>
            <w:vAlign w:val="top"/>
          </w:tcPr>
          <w:p w14:paraId="3039E895">
            <w:pPr>
              <w:pStyle w:val="26"/>
              <w:spacing w:before="163"/>
              <w:ind w:left="361" w:leftChars="0"/>
              <w:rPr>
                <w:spacing w:val="-2"/>
              </w:rPr>
            </w:pPr>
          </w:p>
        </w:tc>
        <w:tc>
          <w:tcPr>
            <w:tcW w:w="0" w:type="auto"/>
            <w:shd w:val="clear" w:color="auto" w:fill="auto"/>
            <w:vAlign w:val="top"/>
          </w:tcPr>
          <w:p w14:paraId="2788197F">
            <w:pPr>
              <w:pStyle w:val="26"/>
              <w:spacing w:before="133" w:line="219" w:lineRule="auto"/>
              <w:rPr>
                <w:spacing w:val="-3"/>
              </w:rPr>
            </w:pPr>
          </w:p>
        </w:tc>
        <w:tc>
          <w:tcPr>
            <w:tcW w:w="0" w:type="auto"/>
            <w:shd w:val="clear" w:color="auto" w:fill="auto"/>
            <w:vAlign w:val="top"/>
          </w:tcPr>
          <w:p w14:paraId="0DCBDE7D">
            <w:pPr>
              <w:pStyle w:val="26"/>
              <w:spacing w:before="134" w:line="220" w:lineRule="auto"/>
              <w:ind w:left="480" w:leftChars="0"/>
              <w:rPr>
                <w:spacing w:val="-5"/>
              </w:rPr>
            </w:pPr>
          </w:p>
        </w:tc>
        <w:tc>
          <w:tcPr>
            <w:tcW w:w="1124" w:type="dxa"/>
            <w:shd w:val="clear" w:color="auto" w:fill="auto"/>
            <w:vAlign w:val="top"/>
          </w:tcPr>
          <w:p w14:paraId="1F850B50">
            <w:pPr>
              <w:pStyle w:val="26"/>
              <w:spacing w:before="133" w:line="220" w:lineRule="auto"/>
              <w:rPr>
                <w:spacing w:val="-3"/>
              </w:rPr>
            </w:pPr>
          </w:p>
        </w:tc>
      </w:tr>
    </w:tbl>
    <w:p w14:paraId="379988D2">
      <w:pPr>
        <w:bidi w:val="0"/>
        <w:spacing w:line="360" w:lineRule="auto"/>
        <w:rPr>
          <w:rFonts w:ascii="宋体" w:hAnsi="宋体"/>
          <w:szCs w:val="21"/>
        </w:rPr>
      </w:pPr>
    </w:p>
    <w:p w14:paraId="71C097F1">
      <w:pPr>
        <w:bidi w:val="0"/>
        <w:rPr>
          <w:rFonts w:hint="eastAsia"/>
        </w:rPr>
      </w:pPr>
    </w:p>
    <w:p w14:paraId="6C73290C">
      <w:pPr>
        <w:bidi w:val="0"/>
        <w:spacing w:line="360" w:lineRule="auto"/>
        <w:rPr>
          <w:rFonts w:ascii="宋体" w:hAnsi="宋体"/>
          <w:szCs w:val="21"/>
        </w:rPr>
      </w:pPr>
    </w:p>
    <w:p w14:paraId="3443AC19">
      <w:r>
        <w:br w:type="page"/>
      </w:r>
    </w:p>
    <w:sdt>
      <w:sdtPr>
        <w:rPr>
          <w:rFonts w:ascii="宋体" w:hAnsi="宋体" w:eastAsia="宋体" w:cs="Times New Roman"/>
          <w:kern w:val="2"/>
          <w:sz w:val="21"/>
          <w:szCs w:val="24"/>
          <w:lang w:val="en-US" w:eastAsia="zh-CN" w:bidi="ar-SA"/>
        </w:rPr>
        <w:id w:val="147464085"/>
        <w15:color w:val="DBDBDB"/>
        <w:docPartObj>
          <w:docPartGallery w:val="Table of Contents"/>
          <w:docPartUnique/>
        </w:docPartObj>
      </w:sdtPr>
      <w:sdtEndPr>
        <w:rPr>
          <w:rFonts w:hint="eastAsia" w:ascii="Microsoft JhengHei" w:hAnsi="Microsoft JhengHei" w:eastAsia="Microsoft JhengHei" w:cs="Microsoft JhengHei"/>
          <w:kern w:val="2"/>
          <w:sz w:val="24"/>
          <w:szCs w:val="24"/>
          <w:lang w:val="en-US" w:eastAsia="zh-CN" w:bidi="ar-SA"/>
        </w:rPr>
      </w:sdtEndPr>
      <w:sdtContent>
        <w:p w14:paraId="36D383C7">
          <w:pPr>
            <w:spacing w:before="0" w:beforeLines="0" w:after="0" w:afterLines="0" w:line="240" w:lineRule="auto"/>
            <w:ind w:left="0" w:leftChars="0" w:right="0" w:rightChars="0" w:firstLine="0" w:firstLineChars="0"/>
            <w:jc w:val="center"/>
          </w:pPr>
          <w:r>
            <w:rPr>
              <w:rFonts w:ascii="宋体" w:hAnsi="宋体" w:eastAsia="宋体"/>
              <w:sz w:val="21"/>
            </w:rPr>
            <w:t>目录</w:t>
          </w:r>
        </w:p>
        <w:p w14:paraId="6BE63CCF">
          <w:pPr>
            <w:pStyle w:val="16"/>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TOC \o "1-3" \h \u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_Toc28683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8"/>
              <w:sz w:val="24"/>
              <w:szCs w:val="24"/>
              <w:lang w:val="en-US" w:eastAsia="zh-CN"/>
            </w:rPr>
            <w:t>交付沟通管理制度</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_Toc28683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60ED652">
          <w:pPr>
            <w:pStyle w:val="16"/>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_Toc1580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2"/>
              <w:sz w:val="24"/>
              <w:szCs w:val="24"/>
            </w:rPr>
            <w:t>文档信息</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_Toc1580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11CEF3B">
          <w:pPr>
            <w:pStyle w:val="16"/>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_Toc11339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1.目的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_Toc11339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51B5A95">
          <w:pPr>
            <w:pStyle w:val="16"/>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_Toc8154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2 一般规定</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_Toc8154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0D63E68">
          <w:pPr>
            <w:pStyle w:val="16"/>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_Toc29976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 交付沟通机制</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_Toc29976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96BA260">
          <w:pPr>
            <w:pStyle w:val="17"/>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_Toc143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3.1 沟通原则</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_Toc143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01CBDE5">
          <w:pPr>
            <w:pStyle w:val="17"/>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_Toc11203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3.2 沟通依据</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_Toc11203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5839B44">
          <w:pPr>
            <w:pStyle w:val="17"/>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_Toc13259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3.3 沟通方式</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_Toc13259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A3E9026">
          <w:pPr>
            <w:pStyle w:val="13"/>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_Toc26490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3.3.1 公司内部沟通</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_Toc26490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07279FB">
          <w:pPr>
            <w:pStyle w:val="13"/>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_Toc28419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3.3.2 公司外部沟通</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_Toc28419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8628B4D">
          <w:pPr>
            <w:pStyle w:val="17"/>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_Toc7897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3.4 运维交付沟通流程</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_Toc7897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DD35803">
          <w:pPr>
            <w:pStyle w:val="13"/>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_Toc29051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3.4.1 运维沟通计划</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_Toc29051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282363E">
          <w:pPr>
            <w:pStyle w:val="13"/>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_Toc29400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3.4.2 问题跟踪</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_Toc29400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17AFFAE">
          <w:pPr>
            <w:pStyle w:val="13"/>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_Toc25574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3.4.3 验收及整改回复</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_Toc25574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1D2EFED">
          <w:pPr>
            <w:pStyle w:val="13"/>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_Toc20091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3.4.4 信息发布</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_Toc20091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23684C7">
          <w:pPr>
            <w:pStyle w:val="13"/>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_Toc15855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3.4.5 沟通障碍与冲突管理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_Toc15855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B5A97F8">
          <w:pPr>
            <w:pStyle w:val="16"/>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_Toc26796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4 运维交付沟通机制评审</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_Toc26796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8B713B0">
          <w:pP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end"/>
          </w:r>
        </w:p>
      </w:sdtContent>
    </w:sdt>
    <w:p w14:paraId="33DB6FF8">
      <w:r>
        <w:br w:type="page"/>
      </w:r>
    </w:p>
    <w:p w14:paraId="1AFDBE90"/>
    <w:p w14:paraId="4C269D9C">
      <w:pPr>
        <w:pStyle w:val="28"/>
        <w:bidi w:val="0"/>
        <w:rPr>
          <w:rFonts w:hint="eastAsia"/>
          <w:lang w:val="en-US" w:eastAsia="zh-CN"/>
        </w:rPr>
      </w:pPr>
      <w:bookmarkStart w:id="2" w:name="_Toc11339"/>
      <w:r>
        <w:rPr>
          <w:rFonts w:hint="eastAsia"/>
          <w:lang w:val="en-US" w:eastAsia="zh-CN"/>
        </w:rPr>
        <w:t>目的</w:t>
      </w:r>
      <w:bookmarkEnd w:id="2"/>
    </w:p>
    <w:p w14:paraId="44695E24">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rPr>
        <w:t>为了公司更好的开展应急保障，在提供应急服务前明确应急响应的范围、要求等应与相关利益方达成一致，确定沟通流程和方式。</w:t>
      </w:r>
    </w:p>
    <w:p w14:paraId="39AE9A57">
      <w:pPr>
        <w:pStyle w:val="28"/>
        <w:bidi w:val="0"/>
        <w:rPr>
          <w:rFonts w:hint="default"/>
          <w:lang w:val="en-US" w:eastAsia="zh-CN"/>
        </w:rPr>
      </w:pPr>
      <w:bookmarkStart w:id="3" w:name="_Toc8154"/>
      <w:r>
        <w:rPr>
          <w:rFonts w:hint="default"/>
          <w:lang w:val="en-US" w:eastAsia="zh-CN"/>
        </w:rPr>
        <w:t>一般规定</w:t>
      </w:r>
      <w:bookmarkEnd w:id="3"/>
    </w:p>
    <w:p w14:paraId="3344A3D3">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eastAsia"/>
          <w:sz w:val="24"/>
          <w:lang w:val="en-US" w:eastAsia="zh-CN"/>
        </w:rPr>
        <w:t>运维服务部</w:t>
      </w:r>
      <w:r>
        <w:rPr>
          <w:rFonts w:hint="default"/>
          <w:sz w:val="24"/>
          <w:lang w:val="en-US" w:eastAsia="zh-CN"/>
        </w:rPr>
        <w:t>应充分利用现代信息与通信技术，以计算机、网络通信、数据库作为技术支撑，对运维全过程所产生的各种信息，及时、准确、高效地进行管理。</w:t>
      </w:r>
    </w:p>
    <w:p w14:paraId="62B1C2BF">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运维服务沟通与协调的对象应是运维所涉及的内部和外部有关组织及个人，包括合同公司和外协厂商、通信、咨询服务等单位以及其他相关组织。</w:t>
      </w:r>
    </w:p>
    <w:p w14:paraId="350BD7F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eastAsia"/>
          <w:sz w:val="24"/>
          <w:lang w:val="en-US" w:eastAsia="zh-CN"/>
        </w:rPr>
        <w:t>运维服务部</w:t>
      </w:r>
      <w:r>
        <w:rPr>
          <w:rFonts w:hint="default"/>
          <w:sz w:val="24"/>
          <w:lang w:val="en-US" w:eastAsia="zh-CN"/>
        </w:rPr>
        <w:t>应根据运维规模与特点配备运维信息管理人员。</w:t>
      </w:r>
    </w:p>
    <w:p w14:paraId="66901D7F">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运维服务信息可以数据、表格、文字、图纸、音像、电子文件等载体方式表示，保证相关信息能及时地收集、整理、共享，并具有可追溯性。</w:t>
      </w:r>
    </w:p>
    <w:p w14:paraId="608AD7E6">
      <w:pPr>
        <w:pStyle w:val="28"/>
        <w:bidi w:val="0"/>
        <w:rPr>
          <w:rFonts w:hint="default"/>
          <w:lang w:val="en-US" w:eastAsia="zh-CN"/>
        </w:rPr>
      </w:pPr>
      <w:bookmarkStart w:id="4" w:name="_Toc29976"/>
      <w:r>
        <w:rPr>
          <w:rFonts w:hint="default"/>
          <w:lang w:val="en-US" w:eastAsia="zh-CN"/>
        </w:rPr>
        <w:t>交付沟通机制</w:t>
      </w:r>
      <w:bookmarkEnd w:id="4"/>
    </w:p>
    <w:p w14:paraId="39DEE049">
      <w:pPr>
        <w:pStyle w:val="29"/>
        <w:bidi w:val="0"/>
        <w:rPr>
          <w:rFonts w:hint="default"/>
          <w:lang w:val="en-US" w:eastAsia="zh-CN"/>
        </w:rPr>
      </w:pPr>
      <w:bookmarkStart w:id="5" w:name="_Toc143"/>
      <w:r>
        <w:rPr>
          <w:rFonts w:hint="default"/>
          <w:lang w:val="en-US" w:eastAsia="zh-CN"/>
        </w:rPr>
        <w:t>沟通原则</w:t>
      </w:r>
      <w:bookmarkEnd w:id="5"/>
    </w:p>
    <w:p w14:paraId="6976365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以解决运维交付问题为中心，以不伤害双方既定合同利益，严格执行合同条款约定。</w:t>
      </w:r>
    </w:p>
    <w:p w14:paraId="6616945C">
      <w:pPr>
        <w:pStyle w:val="29"/>
        <w:bidi w:val="0"/>
        <w:rPr>
          <w:rFonts w:hint="default"/>
          <w:lang w:val="en-US" w:eastAsia="zh-CN"/>
        </w:rPr>
      </w:pPr>
      <w:bookmarkStart w:id="6" w:name="_Toc11203"/>
      <w:r>
        <w:rPr>
          <w:rFonts w:hint="default"/>
          <w:lang w:val="en-US" w:eastAsia="zh-CN"/>
        </w:rPr>
        <w:t>沟通依据</w:t>
      </w:r>
      <w:bookmarkEnd w:id="6"/>
    </w:p>
    <w:p w14:paraId="3EBA5ED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eastAsia"/>
          <w:sz w:val="24"/>
          <w:lang w:val="en-US" w:eastAsia="zh-CN"/>
        </w:rPr>
        <w:t>运维服务部</w:t>
      </w:r>
      <w:r>
        <w:rPr>
          <w:rFonts w:hint="default"/>
          <w:sz w:val="24"/>
          <w:lang w:val="en-US" w:eastAsia="zh-CN"/>
        </w:rPr>
        <w:t>内部沟通应包括公司经理与组织管理层、</w:t>
      </w:r>
      <w:r>
        <w:rPr>
          <w:rFonts w:hint="eastAsia"/>
          <w:sz w:val="24"/>
          <w:lang w:val="en-US" w:eastAsia="zh-CN"/>
        </w:rPr>
        <w:t>运维服务部</w:t>
      </w:r>
      <w:r>
        <w:rPr>
          <w:rFonts w:hint="default"/>
          <w:sz w:val="24"/>
          <w:lang w:val="en-US" w:eastAsia="zh-CN"/>
        </w:rPr>
        <w:t>自身的各部门和相关成员之间的沟通与协调。内部沟通应依据运维沟通计划、规章制度、运维管理目标责任书、控制目标等进行。</w:t>
      </w:r>
    </w:p>
    <w:p w14:paraId="2D8958D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运维外部沟通应由组织与运维相关方进行沟通。外部沟通应依据运维沟通计划、有关合同和合同变更资料、相关法律法规、伦理道德、社会责任和运维具体情况等进行。</w:t>
      </w:r>
    </w:p>
    <w:p w14:paraId="32A63A6F">
      <w:pPr>
        <w:pStyle w:val="29"/>
        <w:bidi w:val="0"/>
        <w:rPr>
          <w:rFonts w:hint="default"/>
          <w:lang w:val="en-US" w:eastAsia="zh-CN"/>
        </w:rPr>
      </w:pPr>
      <w:bookmarkStart w:id="7" w:name="_Toc13259"/>
      <w:r>
        <w:rPr>
          <w:rFonts w:hint="default"/>
          <w:lang w:val="en-US" w:eastAsia="zh-CN"/>
        </w:rPr>
        <w:t>沟通方式</w:t>
      </w:r>
      <w:bookmarkEnd w:id="7"/>
    </w:p>
    <w:p w14:paraId="55FA9283">
      <w:pPr>
        <w:pStyle w:val="30"/>
        <w:bidi w:val="0"/>
        <w:rPr>
          <w:rFonts w:hint="default"/>
          <w:lang w:val="en-US" w:eastAsia="zh-CN"/>
        </w:rPr>
      </w:pPr>
      <w:bookmarkStart w:id="8" w:name="_Toc26490"/>
      <w:r>
        <w:rPr>
          <w:rFonts w:hint="default"/>
          <w:lang w:val="en-US" w:eastAsia="zh-CN"/>
        </w:rPr>
        <w:t>公司内部沟通</w:t>
      </w:r>
      <w:bookmarkEnd w:id="8"/>
    </w:p>
    <w:p w14:paraId="7DADB41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内部沟通可采用授权、会议、文件、培训、检查、运维进展报告、思想教育、考核与激励及电子媒体等方式。</w:t>
      </w:r>
    </w:p>
    <w:p w14:paraId="7CCB15EB">
      <w:pPr>
        <w:pStyle w:val="30"/>
        <w:bidi w:val="0"/>
        <w:rPr>
          <w:rFonts w:hint="default"/>
          <w:lang w:val="en-US" w:eastAsia="zh-CN"/>
        </w:rPr>
      </w:pPr>
      <w:bookmarkStart w:id="9" w:name="_Toc28419"/>
      <w:r>
        <w:rPr>
          <w:rFonts w:hint="default"/>
          <w:lang w:val="en-US" w:eastAsia="zh-CN"/>
        </w:rPr>
        <w:t>公司外部沟通</w:t>
      </w:r>
      <w:bookmarkEnd w:id="9"/>
    </w:p>
    <w:p w14:paraId="3C5D947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外部沟通可采用电话、传真、召开会议、联合检查、宣传部门和运维进展报告等方式。</w:t>
      </w:r>
    </w:p>
    <w:p w14:paraId="777AAADC">
      <w:pPr>
        <w:pStyle w:val="3"/>
        <w:bidi w:val="0"/>
        <w:rPr>
          <w:rFonts w:hint="default"/>
          <w:lang w:val="en-US" w:eastAsia="zh-CN"/>
        </w:rPr>
      </w:pPr>
      <w:bookmarkStart w:id="10" w:name="_Toc7897"/>
      <w:r>
        <w:rPr>
          <w:rFonts w:hint="default"/>
          <w:lang w:val="en-US" w:eastAsia="zh-CN"/>
        </w:rPr>
        <w:t>运维交付沟通流程</w:t>
      </w:r>
      <w:bookmarkEnd w:id="10"/>
    </w:p>
    <w:p w14:paraId="5D4B4A3E">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自签订合同阶段，针对预见性的可能产生疑问的条款双方协商沟通，明确在合同文件中，运维成立后应根据运维的实际需要，针对现场实际情况预见可能出现的矛盾和问题，制定沟通与协调计划，明确原则、内容、对象、方式、途径、手段和所要达到的目标。</w:t>
      </w:r>
    </w:p>
    <w:p w14:paraId="1E1F51DE">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组织应针对不同阶段出现的矛盾和问题，调整沟通计划。</w:t>
      </w:r>
    </w:p>
    <w:p w14:paraId="62857D9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组织应运用计算机信息处理技术，进行运维信息收集、汇总、处理、传输与应用，进行信息沟通与协调，形成档案资料。</w:t>
      </w:r>
    </w:p>
    <w:p w14:paraId="0BD357EC">
      <w:pPr>
        <w:pStyle w:val="30"/>
        <w:bidi w:val="0"/>
        <w:rPr>
          <w:rFonts w:hint="default"/>
          <w:lang w:val="en-US" w:eastAsia="zh-CN"/>
        </w:rPr>
      </w:pPr>
      <w:bookmarkStart w:id="11" w:name="_Toc29051"/>
      <w:r>
        <w:rPr>
          <w:rFonts w:hint="default"/>
          <w:lang w:val="en-US" w:eastAsia="zh-CN"/>
        </w:rPr>
        <w:t>运维沟通计划</w:t>
      </w:r>
      <w:bookmarkEnd w:id="11"/>
    </w:p>
    <w:p w14:paraId="621EFF7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运维沟通计划应由运维项目</w:t>
      </w:r>
      <w:bookmarkStart w:id="17" w:name="_GoBack"/>
      <w:bookmarkEnd w:id="17"/>
      <w:r>
        <w:rPr>
          <w:rFonts w:hint="default"/>
          <w:sz w:val="24"/>
          <w:lang w:val="en-US" w:eastAsia="zh-CN"/>
        </w:rPr>
        <w:t>经理组织编制。</w:t>
      </w:r>
    </w:p>
    <w:p w14:paraId="0C05D5F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编制运维沟通计划应依据下列资料：</w:t>
      </w:r>
    </w:p>
    <w:p w14:paraId="74121C57">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jc w:val="left"/>
        <w:textAlignment w:val="auto"/>
        <w:rPr>
          <w:rFonts w:hint="default"/>
          <w:sz w:val="24"/>
          <w:lang w:val="en-US" w:eastAsia="zh-CN"/>
        </w:rPr>
      </w:pPr>
      <w:r>
        <w:rPr>
          <w:rFonts w:hint="default"/>
          <w:sz w:val="24"/>
          <w:lang w:val="en-US" w:eastAsia="zh-CN"/>
        </w:rPr>
        <w:t>合同文件及招投标文件。</w:t>
      </w:r>
    </w:p>
    <w:p w14:paraId="1F1CA467">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jc w:val="left"/>
        <w:textAlignment w:val="auto"/>
        <w:rPr>
          <w:rFonts w:hint="default"/>
          <w:sz w:val="24"/>
          <w:lang w:val="en-US" w:eastAsia="zh-CN"/>
        </w:rPr>
      </w:pPr>
      <w:r>
        <w:rPr>
          <w:rFonts w:hint="default"/>
          <w:sz w:val="24"/>
          <w:lang w:val="en-US" w:eastAsia="zh-CN"/>
        </w:rPr>
        <w:t>运维各相关组织的信息需求。</w:t>
      </w:r>
    </w:p>
    <w:p w14:paraId="7894FFC0">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jc w:val="left"/>
        <w:textAlignment w:val="auto"/>
        <w:rPr>
          <w:rFonts w:hint="default"/>
          <w:sz w:val="24"/>
          <w:lang w:val="en-US" w:eastAsia="zh-CN"/>
        </w:rPr>
      </w:pPr>
      <w:r>
        <w:rPr>
          <w:rFonts w:hint="default"/>
          <w:sz w:val="24"/>
          <w:lang w:val="en-US" w:eastAsia="zh-CN"/>
        </w:rPr>
        <w:t>运维项目的实际情况。</w:t>
      </w:r>
    </w:p>
    <w:p w14:paraId="4A2A5F3A">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jc w:val="left"/>
        <w:textAlignment w:val="auto"/>
        <w:rPr>
          <w:rFonts w:hint="default"/>
          <w:sz w:val="24"/>
          <w:lang w:val="en-US" w:eastAsia="zh-CN"/>
        </w:rPr>
      </w:pPr>
      <w:r>
        <w:rPr>
          <w:rFonts w:hint="default"/>
          <w:sz w:val="24"/>
          <w:lang w:val="en-US" w:eastAsia="zh-CN"/>
        </w:rPr>
        <w:t>运维的组织结构。</w:t>
      </w:r>
    </w:p>
    <w:p w14:paraId="23222733">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jc w:val="left"/>
        <w:textAlignment w:val="auto"/>
        <w:rPr>
          <w:rFonts w:hint="default"/>
          <w:sz w:val="24"/>
          <w:lang w:val="en-US" w:eastAsia="zh-CN"/>
        </w:rPr>
      </w:pPr>
      <w:r>
        <w:rPr>
          <w:rFonts w:hint="default"/>
          <w:sz w:val="24"/>
          <w:lang w:val="en-US" w:eastAsia="zh-CN"/>
        </w:rPr>
        <w:t>沟通方案的约束条件、假设，以及适用的沟通技术。</w:t>
      </w:r>
    </w:p>
    <w:p w14:paraId="309963A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运维沟通计划应与运维管理的其他各类计划相协调，沟通主体重点放在质量、安全、进度实施过程遇到障碍的矛盾点上。</w:t>
      </w:r>
    </w:p>
    <w:p w14:paraId="62C02724">
      <w:pPr>
        <w:pStyle w:val="30"/>
        <w:bidi w:val="0"/>
        <w:rPr>
          <w:rFonts w:hint="default"/>
          <w:lang w:val="en-US" w:eastAsia="zh-CN"/>
        </w:rPr>
      </w:pPr>
      <w:bookmarkStart w:id="12" w:name="_Toc29400"/>
      <w:r>
        <w:rPr>
          <w:rFonts w:hint="default"/>
          <w:lang w:val="en-US" w:eastAsia="zh-CN"/>
        </w:rPr>
        <w:t>问题跟踪</w:t>
      </w:r>
      <w:bookmarkEnd w:id="12"/>
    </w:p>
    <w:p w14:paraId="1C31C95F">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运维项目推行过程中所有需要解决的质量问题，各方均要通过问题反馈表或整改回复单进行反馈或回复；</w:t>
      </w:r>
    </w:p>
    <w:p w14:paraId="283819D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指定问题跟踪人，及时更新问题状态，直到问题解决。</w:t>
      </w:r>
    </w:p>
    <w:p w14:paraId="25BFCF5F">
      <w:pPr>
        <w:pStyle w:val="30"/>
        <w:bidi w:val="0"/>
        <w:rPr>
          <w:rFonts w:hint="default"/>
          <w:lang w:val="en-US" w:eastAsia="zh-CN"/>
        </w:rPr>
      </w:pPr>
      <w:bookmarkStart w:id="13" w:name="_Toc25574"/>
      <w:r>
        <w:rPr>
          <w:rFonts w:hint="default"/>
          <w:lang w:val="en-US" w:eastAsia="zh-CN"/>
        </w:rPr>
        <w:t>验收及整改回复</w:t>
      </w:r>
      <w:bookmarkEnd w:id="13"/>
    </w:p>
    <w:p w14:paraId="48AD5B92">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运维项目推行过程中所有需验收的隐蔽工程及需要抽查的分部分项工程，及时通知质检站进行验收。</w:t>
      </w:r>
    </w:p>
    <w:p w14:paraId="5ECA581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对质监站和监理提出的质量缺陷定期进行整改。整改完成后向质检站以回复单的形式进行逐一回复。</w:t>
      </w:r>
    </w:p>
    <w:p w14:paraId="33E8D176">
      <w:pPr>
        <w:pStyle w:val="30"/>
        <w:bidi w:val="0"/>
        <w:rPr>
          <w:rFonts w:hint="default"/>
          <w:lang w:val="en-US" w:eastAsia="zh-CN"/>
        </w:rPr>
      </w:pPr>
      <w:bookmarkStart w:id="14" w:name="_Toc20091"/>
      <w:r>
        <w:rPr>
          <w:rFonts w:hint="default"/>
          <w:lang w:val="en-US" w:eastAsia="zh-CN"/>
        </w:rPr>
        <w:t>信息发布</w:t>
      </w:r>
      <w:bookmarkEnd w:id="14"/>
    </w:p>
    <w:p w14:paraId="1E54333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以周为时间单位向各质量监管方发布运维有关信息；</w:t>
      </w:r>
    </w:p>
    <w:p w14:paraId="0221419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每周五以邮件的方式向各质量监管方发布上周运维项目进度状态；</w:t>
      </w:r>
    </w:p>
    <w:p w14:paraId="7D301C73">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每周五在监理例会上向甲方代表、监理汇报上周运维项目质量状态；</w:t>
      </w:r>
    </w:p>
    <w:p w14:paraId="36473C9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汇报主要包括：上周质量整改情况、本周质量计划、存在的问题；</w:t>
      </w:r>
    </w:p>
    <w:p w14:paraId="0949C6B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具体信息见运维工作会议纪要。</w:t>
      </w:r>
    </w:p>
    <w:p w14:paraId="2D4CCBC5">
      <w:pPr>
        <w:pStyle w:val="30"/>
        <w:bidi w:val="0"/>
        <w:rPr>
          <w:rFonts w:hint="default"/>
          <w:lang w:val="en-US" w:eastAsia="zh-CN"/>
        </w:rPr>
      </w:pPr>
      <w:bookmarkStart w:id="15" w:name="_Toc15855"/>
      <w:r>
        <w:rPr>
          <w:rFonts w:hint="default"/>
          <w:lang w:val="en-US" w:eastAsia="zh-CN"/>
        </w:rPr>
        <w:t>沟通障碍与冲突管理</w:t>
      </w:r>
      <w:bookmarkEnd w:id="15"/>
    </w:p>
    <w:p w14:paraId="70CFF18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运维沟通应减少干扰，消除障碍、解决冲突、保持沟通与协调途径畅通、信息真实。</w:t>
      </w:r>
    </w:p>
    <w:p w14:paraId="1B5A2C1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消除沟通障碍可采用下列方法：</w:t>
      </w:r>
    </w:p>
    <w:p w14:paraId="2CD09D90">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（1）灵活运用各种沟通与协调方式，选择适宜的沟通途径。</w:t>
      </w:r>
    </w:p>
    <w:p w14:paraId="72A6948B">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（2）充分利用反馈及掌握的实际情况；</w:t>
      </w:r>
    </w:p>
    <w:p w14:paraId="1638D05C">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组织应做好冲突的预测工作，了解冲突的性质，寻找解决冲突的途径并保存相关记录。</w:t>
      </w:r>
    </w:p>
    <w:p w14:paraId="2EA3F98B">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解决冲突可采用下列方法：</w:t>
      </w:r>
    </w:p>
    <w:p w14:paraId="344D338E">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（1）协商、让步、缓和、强制和退出。</w:t>
      </w:r>
    </w:p>
    <w:p w14:paraId="2AB2DF0E">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（2）使运维项目的相关方了解运维计划，明确运维目标。</w:t>
      </w:r>
    </w:p>
    <w:p w14:paraId="4C36FEA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（3）搞好变更管理。</w:t>
      </w:r>
    </w:p>
    <w:p w14:paraId="1CB262CA">
      <w:pPr>
        <w:pStyle w:val="28"/>
        <w:bidi w:val="0"/>
        <w:rPr>
          <w:rFonts w:hint="default"/>
          <w:lang w:val="en-US" w:eastAsia="zh-CN"/>
        </w:rPr>
      </w:pPr>
      <w:bookmarkStart w:id="16" w:name="_Toc26796"/>
      <w:r>
        <w:rPr>
          <w:rFonts w:hint="default"/>
          <w:lang w:val="en-US" w:eastAsia="zh-CN"/>
        </w:rPr>
        <w:t>运维交付沟通机制评审</w:t>
      </w:r>
      <w:bookmarkEnd w:id="16"/>
    </w:p>
    <w:p w14:paraId="50224B05">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为了控制流程的质量，提高用户体验，每年度对流程进行回顾，包括流程执行效率和流程支持工具的有效性，以改进和优化管理流程。每年对交付沟通机制进行分析总结，对存在的问题进行改进优化，并对改进优化情况进行持续性跟踪</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334569C0"/>
    <w:multiLevelType w:val="singleLevel"/>
    <w:tmpl w:val="334569C0"/>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F97036"/>
    <w:rsid w:val="031E62CB"/>
    <w:rsid w:val="058B39C0"/>
    <w:rsid w:val="05B562F8"/>
    <w:rsid w:val="07133C6D"/>
    <w:rsid w:val="07472FAF"/>
    <w:rsid w:val="0B0E131B"/>
    <w:rsid w:val="0C27678D"/>
    <w:rsid w:val="0E6574A4"/>
    <w:rsid w:val="0EA24254"/>
    <w:rsid w:val="0EE03857"/>
    <w:rsid w:val="10974C0A"/>
    <w:rsid w:val="12013F0B"/>
    <w:rsid w:val="13755966"/>
    <w:rsid w:val="137E6912"/>
    <w:rsid w:val="13F86586"/>
    <w:rsid w:val="140C03C2"/>
    <w:rsid w:val="15C0622B"/>
    <w:rsid w:val="15EC6FFD"/>
    <w:rsid w:val="167504A0"/>
    <w:rsid w:val="1AB01AA7"/>
    <w:rsid w:val="1B882A24"/>
    <w:rsid w:val="1CF96B9F"/>
    <w:rsid w:val="1DE67365"/>
    <w:rsid w:val="1DF61EC7"/>
    <w:rsid w:val="1F4712C6"/>
    <w:rsid w:val="20CC1D0B"/>
    <w:rsid w:val="216D06F2"/>
    <w:rsid w:val="22630065"/>
    <w:rsid w:val="22CD6F6E"/>
    <w:rsid w:val="24337556"/>
    <w:rsid w:val="24E94533"/>
    <w:rsid w:val="24FD0A68"/>
    <w:rsid w:val="252709A9"/>
    <w:rsid w:val="2540611D"/>
    <w:rsid w:val="25755DC7"/>
    <w:rsid w:val="258F13C6"/>
    <w:rsid w:val="25A20B86"/>
    <w:rsid w:val="25C96113"/>
    <w:rsid w:val="26502390"/>
    <w:rsid w:val="26DB2141"/>
    <w:rsid w:val="286916DB"/>
    <w:rsid w:val="28BC5ABB"/>
    <w:rsid w:val="2CDC08C3"/>
    <w:rsid w:val="2D0068BE"/>
    <w:rsid w:val="2F25260C"/>
    <w:rsid w:val="2F642A08"/>
    <w:rsid w:val="2FA572A9"/>
    <w:rsid w:val="2FCC6F2B"/>
    <w:rsid w:val="2FD45DE0"/>
    <w:rsid w:val="30A752A2"/>
    <w:rsid w:val="30C03516"/>
    <w:rsid w:val="31682C84"/>
    <w:rsid w:val="31A87524"/>
    <w:rsid w:val="31F44517"/>
    <w:rsid w:val="321921D0"/>
    <w:rsid w:val="33F7209D"/>
    <w:rsid w:val="3566572C"/>
    <w:rsid w:val="361B6516"/>
    <w:rsid w:val="362545F8"/>
    <w:rsid w:val="378404AE"/>
    <w:rsid w:val="378D125D"/>
    <w:rsid w:val="37CD55EE"/>
    <w:rsid w:val="386D0B7F"/>
    <w:rsid w:val="3A59015E"/>
    <w:rsid w:val="3C127E96"/>
    <w:rsid w:val="3CB52AF5"/>
    <w:rsid w:val="3DDA05E5"/>
    <w:rsid w:val="3F5150F2"/>
    <w:rsid w:val="3F7D78FA"/>
    <w:rsid w:val="3F93711E"/>
    <w:rsid w:val="40503261"/>
    <w:rsid w:val="40A67324"/>
    <w:rsid w:val="411E7700"/>
    <w:rsid w:val="41CB242A"/>
    <w:rsid w:val="444C2BC0"/>
    <w:rsid w:val="45264590"/>
    <w:rsid w:val="455A248C"/>
    <w:rsid w:val="461E795D"/>
    <w:rsid w:val="464E6A92"/>
    <w:rsid w:val="46C73B51"/>
    <w:rsid w:val="47ED75E7"/>
    <w:rsid w:val="4AA91EEB"/>
    <w:rsid w:val="4BDF129B"/>
    <w:rsid w:val="4CF3569F"/>
    <w:rsid w:val="4DA73DC6"/>
    <w:rsid w:val="500E459E"/>
    <w:rsid w:val="50EC0D83"/>
    <w:rsid w:val="51D0115E"/>
    <w:rsid w:val="54D758A7"/>
    <w:rsid w:val="551013C9"/>
    <w:rsid w:val="559D0A05"/>
    <w:rsid w:val="55CA674D"/>
    <w:rsid w:val="58975A79"/>
    <w:rsid w:val="59012EF2"/>
    <w:rsid w:val="590A14DD"/>
    <w:rsid w:val="59894B9F"/>
    <w:rsid w:val="5A5E221C"/>
    <w:rsid w:val="5AFC6067"/>
    <w:rsid w:val="5B832808"/>
    <w:rsid w:val="5D691C96"/>
    <w:rsid w:val="5DAB2539"/>
    <w:rsid w:val="5F8E33D2"/>
    <w:rsid w:val="61375910"/>
    <w:rsid w:val="61CB0541"/>
    <w:rsid w:val="62C51434"/>
    <w:rsid w:val="63302D52"/>
    <w:rsid w:val="63B7355E"/>
    <w:rsid w:val="63FF0976"/>
    <w:rsid w:val="64161DA3"/>
    <w:rsid w:val="64A4784A"/>
    <w:rsid w:val="64CF659A"/>
    <w:rsid w:val="65655225"/>
    <w:rsid w:val="65C6384A"/>
    <w:rsid w:val="66457CEB"/>
    <w:rsid w:val="670378F6"/>
    <w:rsid w:val="67803B7C"/>
    <w:rsid w:val="696574CD"/>
    <w:rsid w:val="6A8E035E"/>
    <w:rsid w:val="6BC14A92"/>
    <w:rsid w:val="6BFA7A47"/>
    <w:rsid w:val="6CBF6EF4"/>
    <w:rsid w:val="6D317DF2"/>
    <w:rsid w:val="6D744442"/>
    <w:rsid w:val="6D8A7502"/>
    <w:rsid w:val="6DDB5FB0"/>
    <w:rsid w:val="6E4C0C5C"/>
    <w:rsid w:val="6EC627BC"/>
    <w:rsid w:val="6EFA1A61"/>
    <w:rsid w:val="713A123F"/>
    <w:rsid w:val="71662034"/>
    <w:rsid w:val="728A45F4"/>
    <w:rsid w:val="728C1627"/>
    <w:rsid w:val="72FC1311"/>
    <w:rsid w:val="73274B12"/>
    <w:rsid w:val="7386076C"/>
    <w:rsid w:val="74B03CF2"/>
    <w:rsid w:val="74E864BA"/>
    <w:rsid w:val="775557EE"/>
    <w:rsid w:val="77E15F71"/>
    <w:rsid w:val="781412FC"/>
    <w:rsid w:val="78DB6E64"/>
    <w:rsid w:val="79C43D9C"/>
    <w:rsid w:val="7BE10C35"/>
    <w:rsid w:val="7BE35A96"/>
    <w:rsid w:val="7CA413CC"/>
    <w:rsid w:val="7CA57EB5"/>
    <w:rsid w:val="7CFF06D7"/>
    <w:rsid w:val="7D0A41BC"/>
    <w:rsid w:val="7D692C90"/>
    <w:rsid w:val="7EA21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link w:val="24"/>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semiHidden/>
    <w:qFormat/>
    <w:uiPriority w:val="0"/>
  </w:style>
  <w:style w:type="table" w:default="1" w:styleId="19">
    <w:name w:val="Normal Table"/>
    <w:semiHidden/>
    <w:qFormat/>
    <w:uiPriority w:val="0"/>
    <w:tblPr>
      <w:tblCellMar>
        <w:top w:w="0" w:type="dxa"/>
        <w:left w:w="108" w:type="dxa"/>
        <w:bottom w:w="0" w:type="dxa"/>
        <w:right w:w="108" w:type="dxa"/>
      </w:tblCellMar>
    </w:tblPr>
  </w:style>
  <w:style w:type="paragraph" w:styleId="11">
    <w:name w:val="Normal Indent"/>
    <w:basedOn w:val="1"/>
    <w:uiPriority w:val="0"/>
    <w:pPr>
      <w:ind w:firstLine="420" w:firstLineChars="200"/>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uiPriority w:val="0"/>
    <w:rPr>
      <w:sz w:val="24"/>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basedOn w:val="21"/>
    <w:qFormat/>
    <w:uiPriority w:val="0"/>
    <w:rPr>
      <w:b/>
    </w:rPr>
  </w:style>
  <w:style w:type="paragraph" w:styleId="23">
    <w:name w:val="No Spacing"/>
    <w:qFormat/>
    <w:uiPriority w:val="99"/>
    <w:rPr>
      <w:rFonts w:ascii="Calibri" w:hAnsi="Calibri" w:eastAsia="宋体" w:cs="Times New Roman"/>
      <w:sz w:val="22"/>
      <w:szCs w:val="22"/>
      <w:lang w:val="en-US" w:eastAsia="zh-CN" w:bidi="ar-SA"/>
    </w:rPr>
  </w:style>
  <w:style w:type="character" w:customStyle="1" w:styleId="24">
    <w:name w:val="标题 2 Char"/>
    <w:link w:val="3"/>
    <w:qFormat/>
    <w:uiPriority w:val="0"/>
    <w:rPr>
      <w:rFonts w:ascii="Arial" w:hAnsi="Arial" w:eastAsia="黑体"/>
      <w:b/>
      <w:sz w:val="32"/>
    </w:rPr>
  </w:style>
  <w:style w:type="paragraph" w:customStyle="1" w:styleId="25">
    <w:name w:val="Table Paragraph"/>
    <w:basedOn w:val="1"/>
    <w:qFormat/>
    <w:uiPriority w:val="1"/>
    <w:pPr>
      <w:autoSpaceDE w:val="0"/>
      <w:autoSpaceDN w:val="0"/>
      <w:spacing w:before="81"/>
      <w:ind w:left="108"/>
      <w:jc w:val="left"/>
    </w:pPr>
    <w:rPr>
      <w:rFonts w:ascii="宋体" w:hAnsi="宋体" w:cs="宋体"/>
      <w:kern w:val="0"/>
      <w:sz w:val="22"/>
      <w:szCs w:val="22"/>
      <w:lang w:val="zh-CN" w:bidi="zh-CN"/>
    </w:rPr>
  </w:style>
  <w:style w:type="paragraph" w:customStyle="1" w:styleId="26">
    <w:name w:val="Table Text"/>
    <w:basedOn w:val="1"/>
    <w:semiHidden/>
    <w:qFormat/>
    <w:uiPriority w:val="0"/>
    <w:rPr>
      <w:rFonts w:ascii="宋体" w:hAnsi="宋体" w:eastAsia="宋体" w:cs="宋体"/>
      <w:sz w:val="21"/>
      <w:szCs w:val="21"/>
      <w:lang w:val="en-US" w:eastAsia="en-US" w:bidi="ar-SA"/>
    </w:rPr>
  </w:style>
  <w:style w:type="table" w:customStyle="1" w:styleId="27">
    <w:name w:val="Table Normal"/>
    <w:semiHidden/>
    <w:unhideWhenUsed/>
    <w:qFormat/>
    <w:uiPriority w:val="0"/>
    <w:tblPr>
      <w:tblCellMar>
        <w:top w:w="0" w:type="dxa"/>
        <w:left w:w="0" w:type="dxa"/>
        <w:bottom w:w="0" w:type="dxa"/>
        <w:right w:w="0" w:type="dxa"/>
      </w:tblCellMar>
    </w:tblPr>
  </w:style>
  <w:style w:type="paragraph" w:customStyle="1" w:styleId="28">
    <w:name w:val="柴_标题1"/>
    <w:basedOn w:val="2"/>
    <w:next w:val="1"/>
    <w:qFormat/>
    <w:uiPriority w:val="0"/>
    <w:pPr>
      <w:spacing w:before="100" w:after="90" w:line="360" w:lineRule="auto"/>
    </w:pPr>
    <w:rPr>
      <w:rFonts w:ascii="Arial" w:hAnsi="Arial" w:eastAsia="宋体"/>
      <w:sz w:val="32"/>
    </w:rPr>
  </w:style>
  <w:style w:type="paragraph" w:customStyle="1" w:styleId="29">
    <w:name w:val="柴_标题2"/>
    <w:basedOn w:val="3"/>
    <w:next w:val="1"/>
    <w:qFormat/>
    <w:uiPriority w:val="0"/>
    <w:pPr>
      <w:spacing w:line="360" w:lineRule="auto"/>
    </w:pPr>
    <w:rPr>
      <w:rFonts w:ascii="Arial" w:hAnsi="Arial" w:eastAsia="宋体"/>
      <w:sz w:val="28"/>
    </w:rPr>
  </w:style>
  <w:style w:type="paragraph" w:customStyle="1" w:styleId="30">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31">
    <w:name w:val="柴_目录"/>
    <w:basedOn w:val="1"/>
    <w:next w:val="12"/>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1825</Words>
  <Characters>1933</Characters>
  <Lines>0</Lines>
  <Paragraphs>0</Paragraphs>
  <TotalTime>4</TotalTime>
  <ScaleCrop>false</ScaleCrop>
  <LinksUpToDate>false</LinksUpToDate>
  <CharactersWithSpaces>2012</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2025-08-03T15:18:00Z</dcterms:created>
  <dc:creator>18442</dc:creator>
  <cp:lastModifiedBy>郝宇</cp:lastModifiedBy>
  <dcterms:modified xsi:type="dcterms:W3CDTF">2025-08-29T20:28:11Z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eyJoZGlkIjoiMDY5NmFjMmM4ZTljMGJiZDAxN2JmYTc0NGI0NmFiNDgiLCJ1c2VySWQiOiIxMDc1MzgyOSJ9</vt:lpwstr>
  </property>
  <property fmtid="{D5CDD505-2E9C-101B-9397-08002B2CF9AE}" pid="4" name="ICV">
    <vt:lpwstr>AAD92EDC3E7E46618801A1C013CB6EB4_12</vt:lpwstr>
  </property>
</Properties>
</file>