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4F54AB">
      <w:pPr>
        <w:bidi w:val="0"/>
        <w:spacing w:line="360" w:lineRule="auto"/>
        <w:jc w:val="center"/>
        <w:rPr>
          <w:rFonts w:hint="eastAsia" w:cs="宋体"/>
          <w:b/>
          <w:sz w:val="44"/>
          <w:szCs w:val="44"/>
        </w:rPr>
      </w:pPr>
    </w:p>
    <w:p w14:paraId="3381F87D">
      <w:pPr>
        <w:pStyle w:val="6"/>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28683"/>
      <w:r>
        <w:rPr>
          <w:rFonts w:hint="eastAsia" w:ascii="宋体" w:hAnsi="宋体" w:cs="宋体"/>
          <w:b/>
          <w:bCs/>
          <w:spacing w:val="-8"/>
          <w:sz w:val="52"/>
          <w:szCs w:val="52"/>
          <w:lang w:val="en-US" w:eastAsia="zh-CN"/>
        </w:rPr>
        <w:t>交付沟通管理制度</w:t>
      </w:r>
      <w:bookmarkEnd w:id="0"/>
    </w:p>
    <w:p w14:paraId="0E3AD7F3">
      <w:pPr>
        <w:pStyle w:val="6"/>
        <w:spacing w:line="259" w:lineRule="auto"/>
      </w:pPr>
    </w:p>
    <w:p w14:paraId="682FA42E">
      <w:pPr>
        <w:pStyle w:val="6"/>
        <w:spacing w:line="259" w:lineRule="auto"/>
      </w:pPr>
    </w:p>
    <w:p w14:paraId="7163D500">
      <w:pPr>
        <w:pStyle w:val="6"/>
        <w:spacing w:line="259" w:lineRule="auto"/>
      </w:pPr>
    </w:p>
    <w:p w14:paraId="15D18578">
      <w:pPr>
        <w:pStyle w:val="6"/>
        <w:spacing w:line="259" w:lineRule="auto"/>
      </w:pPr>
    </w:p>
    <w:p w14:paraId="0851C5B3">
      <w:pPr>
        <w:pStyle w:val="6"/>
        <w:spacing w:line="259" w:lineRule="auto"/>
      </w:pPr>
    </w:p>
    <w:p w14:paraId="691B768F">
      <w:pPr>
        <w:pStyle w:val="6"/>
        <w:spacing w:line="260" w:lineRule="auto"/>
      </w:pPr>
    </w:p>
    <w:p w14:paraId="386A63A2">
      <w:pPr>
        <w:pStyle w:val="6"/>
        <w:spacing w:line="260" w:lineRule="auto"/>
      </w:pPr>
    </w:p>
    <w:p w14:paraId="62386F0A">
      <w:pPr>
        <w:spacing w:line="1293" w:lineRule="exact"/>
        <w:jc w:val="center"/>
      </w:pPr>
      <w:r>
        <w:rPr>
          <w:position w:val="-25"/>
        </w:rPr>
        <w:drawing>
          <wp:inline distT="0" distB="0" distL="0" distR="0">
            <wp:extent cx="2757170" cy="820420"/>
            <wp:effectExtent l="0" t="0" r="1270" b="25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4"/>
                    <a:stretch>
                      <a:fillRect/>
                    </a:stretch>
                  </pic:blipFill>
                  <pic:spPr>
                    <a:xfrm>
                      <a:off x="0" y="0"/>
                      <a:ext cx="2757599" cy="820799"/>
                    </a:xfrm>
                    <a:prstGeom prst="rect">
                      <a:avLst/>
                    </a:prstGeom>
                  </pic:spPr>
                </pic:pic>
              </a:graphicData>
            </a:graphic>
          </wp:inline>
        </w:drawing>
      </w:r>
    </w:p>
    <w:p w14:paraId="3E2EAECF">
      <w:pPr>
        <w:pStyle w:val="6"/>
        <w:spacing w:line="245" w:lineRule="auto"/>
      </w:pPr>
    </w:p>
    <w:p w14:paraId="65C3EEA3">
      <w:pPr>
        <w:pStyle w:val="6"/>
        <w:spacing w:line="245" w:lineRule="auto"/>
      </w:pPr>
    </w:p>
    <w:p w14:paraId="23E6F599">
      <w:pPr>
        <w:pStyle w:val="6"/>
        <w:spacing w:line="245" w:lineRule="auto"/>
      </w:pPr>
    </w:p>
    <w:p w14:paraId="6C4CB0B8">
      <w:pPr>
        <w:pStyle w:val="6"/>
        <w:spacing w:line="245" w:lineRule="auto"/>
      </w:pPr>
    </w:p>
    <w:p w14:paraId="43FA5B40">
      <w:pPr>
        <w:pStyle w:val="6"/>
        <w:spacing w:line="245" w:lineRule="auto"/>
      </w:pPr>
    </w:p>
    <w:p w14:paraId="66DDE666">
      <w:pPr>
        <w:pStyle w:val="6"/>
        <w:spacing w:line="245" w:lineRule="auto"/>
      </w:pPr>
    </w:p>
    <w:p w14:paraId="53A9C8A5">
      <w:pPr>
        <w:pStyle w:val="6"/>
        <w:spacing w:line="245" w:lineRule="auto"/>
      </w:pPr>
    </w:p>
    <w:p w14:paraId="1986E5BC">
      <w:pPr>
        <w:pStyle w:val="6"/>
        <w:spacing w:line="245" w:lineRule="auto"/>
      </w:pPr>
    </w:p>
    <w:p w14:paraId="39B0EDE3">
      <w:pPr>
        <w:pStyle w:val="6"/>
        <w:spacing w:line="245" w:lineRule="auto"/>
      </w:pPr>
    </w:p>
    <w:p w14:paraId="1BABDE98">
      <w:pPr>
        <w:pStyle w:val="6"/>
        <w:spacing w:line="245" w:lineRule="auto"/>
      </w:pPr>
    </w:p>
    <w:p w14:paraId="136F2CD5">
      <w:pPr>
        <w:pStyle w:val="6"/>
        <w:spacing w:line="245" w:lineRule="auto"/>
      </w:pPr>
    </w:p>
    <w:p w14:paraId="3E4BE39B">
      <w:pPr>
        <w:pStyle w:val="6"/>
        <w:spacing w:line="245" w:lineRule="auto"/>
      </w:pPr>
    </w:p>
    <w:p w14:paraId="5EFD7F07">
      <w:pPr>
        <w:pStyle w:val="6"/>
        <w:spacing w:line="245" w:lineRule="auto"/>
      </w:pPr>
    </w:p>
    <w:p w14:paraId="5908EAFD">
      <w:pPr>
        <w:pStyle w:val="6"/>
        <w:spacing w:line="245" w:lineRule="auto"/>
      </w:pPr>
    </w:p>
    <w:p w14:paraId="3986BC7F">
      <w:pPr>
        <w:pStyle w:val="6"/>
        <w:spacing w:line="245" w:lineRule="auto"/>
      </w:pPr>
    </w:p>
    <w:p w14:paraId="39C9E1CF">
      <w:pPr>
        <w:pStyle w:val="6"/>
        <w:spacing w:line="245" w:lineRule="auto"/>
      </w:pPr>
    </w:p>
    <w:p w14:paraId="08BC4FA1">
      <w:pPr>
        <w:pStyle w:val="6"/>
        <w:spacing w:line="245" w:lineRule="auto"/>
      </w:pPr>
    </w:p>
    <w:p w14:paraId="6902F57C">
      <w:pPr>
        <w:pStyle w:val="6"/>
        <w:spacing w:line="245" w:lineRule="auto"/>
      </w:pPr>
    </w:p>
    <w:p w14:paraId="422F1708">
      <w:pPr>
        <w:pStyle w:val="6"/>
        <w:spacing w:line="245" w:lineRule="auto"/>
      </w:pPr>
    </w:p>
    <w:p w14:paraId="1D575313">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168F47D4">
      <w:pPr>
        <w:spacing w:before="69" w:line="220" w:lineRule="auto"/>
        <w:ind w:left="3954"/>
        <w:outlineLvl w:val="0"/>
        <w:rPr>
          <w:rFonts w:ascii="宋体" w:hAnsi="宋体" w:eastAsia="宋体" w:cs="宋体"/>
          <w:sz w:val="21"/>
          <w:szCs w:val="21"/>
        </w:rPr>
      </w:pPr>
      <w:bookmarkStart w:id="1" w:name="_Toc1580"/>
      <w:r>
        <w:rPr>
          <w:rFonts w:ascii="宋体" w:hAnsi="宋体" w:eastAsia="宋体" w:cs="宋体"/>
          <w:spacing w:val="-2"/>
          <w:sz w:val="21"/>
          <w:szCs w:val="21"/>
        </w:rPr>
        <w:t>文档信息</w:t>
      </w:r>
      <w:bookmarkEnd w:id="1"/>
    </w:p>
    <w:p w14:paraId="1B840E36">
      <w:pPr>
        <w:spacing w:line="16" w:lineRule="exact"/>
      </w:pPr>
    </w:p>
    <w:p w14:paraId="3FAF15AD">
      <w:pPr>
        <w:spacing w:before="116" w:line="221" w:lineRule="auto"/>
        <w:ind w:left="5767" w:leftChars="0"/>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7E0C1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7A133F86">
            <w:pPr>
              <w:pStyle w:val="2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146C1E67">
            <w:pPr>
              <w:pStyle w:val="2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交付沟通管理制度</w:t>
            </w:r>
            <w:r>
              <w:rPr>
                <w:spacing w:val="-1"/>
              </w:rPr>
              <w:t>（HHLC-ITSS-</w:t>
            </w:r>
            <w:r>
              <w:rPr>
                <w:rFonts w:hint="eastAsia"/>
                <w:spacing w:val="-1"/>
                <w:lang w:val="en-US" w:eastAsia="zh-CN"/>
              </w:rPr>
              <w:t>JFGTGL</w:t>
            </w:r>
            <w:r>
              <w:rPr>
                <w:spacing w:val="-1"/>
              </w:rPr>
              <w:t>）</w:t>
            </w:r>
          </w:p>
        </w:tc>
      </w:tr>
      <w:tr w14:paraId="640B8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671F4D65">
            <w:pPr>
              <w:pStyle w:val="20"/>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3F2781C1">
            <w:pPr>
              <w:pStyle w:val="2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715F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730ECEF9">
            <w:pPr>
              <w:pStyle w:val="20"/>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70EAAF2C">
            <w:pPr>
              <w:pStyle w:val="2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F40B03A">
            <w:pPr>
              <w:pStyle w:val="2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56CC0B22">
            <w:pPr>
              <w:pStyle w:val="2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3D0B3151">
            <w:pPr>
              <w:pStyle w:val="20"/>
              <w:spacing w:before="199" w:line="220" w:lineRule="auto"/>
              <w:rPr>
                <w:rFonts w:ascii="宋体" w:hAnsi="宋体" w:eastAsia="宋体" w:cs="宋体"/>
                <w:kern w:val="2"/>
                <w:sz w:val="28"/>
                <w:szCs w:val="28"/>
                <w:lang w:val="en-US" w:eastAsia="en-US" w:bidi="ar-SA"/>
              </w:rPr>
            </w:pPr>
            <w:r>
              <w:rPr>
                <w:spacing w:val="-5"/>
              </w:rPr>
              <w:t>审核</w:t>
            </w:r>
          </w:p>
        </w:tc>
      </w:tr>
      <w:tr w14:paraId="00CC7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3A73597C">
            <w:pPr>
              <w:pStyle w:val="20"/>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32F52BA1">
            <w:pPr>
              <w:pStyle w:val="20"/>
              <w:spacing w:before="163"/>
              <w:rPr>
                <w:rFonts w:hint="eastAsia"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08BAE113">
            <w:pPr>
              <w:pStyle w:val="20"/>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049F8E03">
            <w:pPr>
              <w:pStyle w:val="20"/>
              <w:spacing w:before="134" w:line="220" w:lineRule="auto"/>
              <w:rPr>
                <w:rFonts w:ascii="宋体" w:hAnsi="宋体" w:eastAsia="宋体" w:cs="宋体"/>
                <w:kern w:val="2"/>
                <w:sz w:val="28"/>
                <w:szCs w:val="28"/>
                <w:lang w:val="en-US" w:eastAsia="en-US" w:bidi="ar-SA"/>
              </w:rPr>
            </w:pPr>
            <w:r>
              <w:rPr>
                <w:spacing w:val="-5"/>
              </w:rPr>
              <w:t>宫海亭</w:t>
            </w:r>
          </w:p>
        </w:tc>
        <w:tc>
          <w:tcPr>
            <w:tcW w:w="1124" w:type="dxa"/>
            <w:shd w:val="clear" w:color="auto" w:fill="auto"/>
            <w:vAlign w:val="top"/>
          </w:tcPr>
          <w:p w14:paraId="76534D7D">
            <w:pPr>
              <w:pStyle w:val="20"/>
              <w:spacing w:before="133" w:line="220" w:lineRule="auto"/>
              <w:rPr>
                <w:rFonts w:ascii="宋体" w:hAnsi="宋体" w:eastAsia="宋体" w:cs="宋体"/>
                <w:kern w:val="2"/>
                <w:sz w:val="28"/>
                <w:szCs w:val="28"/>
                <w:lang w:val="en-US" w:eastAsia="en-US" w:bidi="ar-SA"/>
              </w:rPr>
            </w:pPr>
            <w:r>
              <w:rPr>
                <w:spacing w:val="-3"/>
              </w:rPr>
              <w:t>张仲全</w:t>
            </w:r>
          </w:p>
        </w:tc>
      </w:tr>
      <w:tr w14:paraId="7710D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444992">
            <w:pPr>
              <w:pStyle w:val="20"/>
              <w:spacing w:before="163" w:line="239" w:lineRule="auto"/>
              <w:ind w:left="638" w:leftChars="0"/>
              <w:rPr>
                <w:spacing w:val="-1"/>
              </w:rPr>
            </w:pPr>
          </w:p>
        </w:tc>
        <w:tc>
          <w:tcPr>
            <w:tcW w:w="0" w:type="auto"/>
            <w:shd w:val="clear" w:color="auto" w:fill="auto"/>
            <w:vAlign w:val="top"/>
          </w:tcPr>
          <w:p w14:paraId="65A0D3A3">
            <w:pPr>
              <w:pStyle w:val="20"/>
              <w:spacing w:before="163"/>
              <w:ind w:left="361" w:leftChars="0"/>
              <w:rPr>
                <w:spacing w:val="-2"/>
              </w:rPr>
            </w:pPr>
          </w:p>
        </w:tc>
        <w:tc>
          <w:tcPr>
            <w:tcW w:w="0" w:type="auto"/>
            <w:shd w:val="clear" w:color="auto" w:fill="auto"/>
            <w:vAlign w:val="top"/>
          </w:tcPr>
          <w:p w14:paraId="103C8BF5">
            <w:pPr>
              <w:pStyle w:val="20"/>
              <w:spacing w:before="133" w:line="219" w:lineRule="auto"/>
              <w:rPr>
                <w:spacing w:val="-3"/>
              </w:rPr>
            </w:pPr>
          </w:p>
        </w:tc>
        <w:tc>
          <w:tcPr>
            <w:tcW w:w="0" w:type="auto"/>
            <w:shd w:val="clear" w:color="auto" w:fill="auto"/>
            <w:vAlign w:val="top"/>
          </w:tcPr>
          <w:p w14:paraId="3CF2E1C1">
            <w:pPr>
              <w:pStyle w:val="20"/>
              <w:spacing w:before="134" w:line="220" w:lineRule="auto"/>
              <w:ind w:left="480" w:leftChars="0"/>
              <w:rPr>
                <w:spacing w:val="-5"/>
              </w:rPr>
            </w:pPr>
          </w:p>
        </w:tc>
        <w:tc>
          <w:tcPr>
            <w:tcW w:w="1124" w:type="dxa"/>
            <w:shd w:val="clear" w:color="auto" w:fill="auto"/>
            <w:vAlign w:val="top"/>
          </w:tcPr>
          <w:p w14:paraId="59365245">
            <w:pPr>
              <w:pStyle w:val="20"/>
              <w:spacing w:before="133" w:line="220" w:lineRule="auto"/>
              <w:rPr>
                <w:spacing w:val="-3"/>
              </w:rPr>
            </w:pPr>
          </w:p>
        </w:tc>
      </w:tr>
      <w:tr w14:paraId="3C47A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5ABA4">
            <w:pPr>
              <w:pStyle w:val="20"/>
              <w:spacing w:before="163" w:line="239" w:lineRule="auto"/>
              <w:ind w:left="638" w:leftChars="0"/>
              <w:rPr>
                <w:spacing w:val="-1"/>
              </w:rPr>
            </w:pPr>
          </w:p>
        </w:tc>
        <w:tc>
          <w:tcPr>
            <w:tcW w:w="0" w:type="auto"/>
            <w:shd w:val="clear" w:color="auto" w:fill="auto"/>
            <w:vAlign w:val="top"/>
          </w:tcPr>
          <w:p w14:paraId="3039E895">
            <w:pPr>
              <w:pStyle w:val="20"/>
              <w:spacing w:before="163"/>
              <w:ind w:left="361" w:leftChars="0"/>
              <w:rPr>
                <w:spacing w:val="-2"/>
              </w:rPr>
            </w:pPr>
          </w:p>
        </w:tc>
        <w:tc>
          <w:tcPr>
            <w:tcW w:w="0" w:type="auto"/>
            <w:shd w:val="clear" w:color="auto" w:fill="auto"/>
            <w:vAlign w:val="top"/>
          </w:tcPr>
          <w:p w14:paraId="2788197F">
            <w:pPr>
              <w:pStyle w:val="20"/>
              <w:spacing w:before="133" w:line="219" w:lineRule="auto"/>
              <w:rPr>
                <w:spacing w:val="-3"/>
              </w:rPr>
            </w:pPr>
          </w:p>
        </w:tc>
        <w:tc>
          <w:tcPr>
            <w:tcW w:w="0" w:type="auto"/>
            <w:shd w:val="clear" w:color="auto" w:fill="auto"/>
            <w:vAlign w:val="top"/>
          </w:tcPr>
          <w:p w14:paraId="0DCBDE7D">
            <w:pPr>
              <w:pStyle w:val="20"/>
              <w:spacing w:before="134" w:line="220" w:lineRule="auto"/>
              <w:ind w:left="480" w:leftChars="0"/>
              <w:rPr>
                <w:spacing w:val="-5"/>
              </w:rPr>
            </w:pPr>
          </w:p>
        </w:tc>
        <w:tc>
          <w:tcPr>
            <w:tcW w:w="1124" w:type="dxa"/>
            <w:shd w:val="clear" w:color="auto" w:fill="auto"/>
            <w:vAlign w:val="top"/>
          </w:tcPr>
          <w:p w14:paraId="1F850B50">
            <w:pPr>
              <w:pStyle w:val="20"/>
              <w:spacing w:before="133" w:line="220" w:lineRule="auto"/>
              <w:rPr>
                <w:spacing w:val="-3"/>
              </w:rPr>
            </w:pPr>
          </w:p>
        </w:tc>
      </w:tr>
    </w:tbl>
    <w:p w14:paraId="379988D2">
      <w:pPr>
        <w:bidi w:val="0"/>
        <w:spacing w:line="360" w:lineRule="auto"/>
        <w:rPr>
          <w:rFonts w:ascii="宋体" w:hAnsi="宋体"/>
          <w:szCs w:val="21"/>
        </w:rPr>
      </w:pPr>
    </w:p>
    <w:p w14:paraId="71C097F1">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4085"/>
        <w15:color w:val="DBDBDB"/>
        <w:docPartObj>
          <w:docPartGallery w:val="Table of Contents"/>
          <w:docPartUnique/>
        </w:docPartObj>
      </w:sdtPr>
      <w:sdtEndPr>
        <w:rPr>
          <w:rFonts w:hint="eastAsia" w:ascii="Microsoft JhengHei" w:hAnsi="Microsoft JhengHei" w:eastAsia="Microsoft JhengHei" w:cs="Microsoft JhengHei"/>
          <w:sz w:val="24"/>
          <w:szCs w:val="24"/>
        </w:rPr>
      </w:sdtEndPr>
      <w:sdtContent>
        <w:p w14:paraId="36D383C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BE63CCF">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_Toc28683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交付沟通管理制度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_Toc28683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0ED652">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11CEF3B">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_Toc11339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_Toc11339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51B5A95">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一般规定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D63E68">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_Toc29976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交付沟通机制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_Toc29976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96BA260">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沟通原则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1CBDE5">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_Toc11203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沟通依据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_Toc11203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839B44">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沟通方式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A3E9026">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_Toc26490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3.3.1 公司内部沟通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_Toc26490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7279FB">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_Toc28419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3.3.2 公司外部沟通</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_Toc28419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8628B4D">
          <w:pPr>
            <w:pStyle w:val="11"/>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_Toc7897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运维交付沟通流程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_Toc7897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D35803">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_Toc29051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3.4.1 运维沟通计划</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_Toc29051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82363E">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_Toc29400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3.4.2 问题跟踪</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_Toc29400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7AFFAE">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_Toc25574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3.4.3 验收及整改回复</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_Toc25574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1D2EFED">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_Toc20091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3.4.4 信息发布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_Toc20091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3684C7">
          <w:pPr>
            <w:pStyle w:val="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_Toc15855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3.4.5 沟通障碍与冲突管理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_Toc15855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B5A97F8">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_Toc26796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4 运维交付沟通机制评审</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_Toc26796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8B713B0">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33DB6FF8">
      <w:r>
        <w:br w:type="page"/>
      </w:r>
    </w:p>
    <w:p w14:paraId="1AFDBE90">
      <w:bookmarkStart w:id="17" w:name="_GoBack"/>
      <w:bookmarkEnd w:id="17"/>
    </w:p>
    <w:p w14:paraId="4C269D9C">
      <w:pPr>
        <w:pStyle w:val="2"/>
        <w:bidi w:val="0"/>
        <w:rPr>
          <w:rFonts w:hint="eastAsia" w:eastAsia="宋体"/>
          <w:lang w:val="en-US" w:eastAsia="zh-CN"/>
        </w:rPr>
      </w:pPr>
      <w:bookmarkStart w:id="2" w:name="_Toc11339"/>
      <w:r>
        <w:rPr>
          <w:rFonts w:hint="eastAsia"/>
          <w:lang w:val="en-US" w:eastAsia="zh-CN"/>
        </w:rPr>
        <w:t>1.目的</w:t>
      </w:r>
      <w:bookmarkEnd w:id="2"/>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为了公司更好的开展应急保障，在提供应急服务前明确应急响应的范围、要求等应与相关利益方达成一致，确定沟通流程和方式。</w:t>
      </w:r>
    </w:p>
    <w:p w14:paraId="39AE9A57">
      <w:pPr>
        <w:pStyle w:val="2"/>
        <w:bidi w:val="0"/>
        <w:rPr>
          <w:rFonts w:hint="default"/>
          <w:lang w:val="en-US" w:eastAsia="zh-CN"/>
        </w:rPr>
      </w:pPr>
      <w:bookmarkStart w:id="3" w:name="_Toc8154"/>
      <w:r>
        <w:rPr>
          <w:rFonts w:hint="default"/>
          <w:lang w:val="en-US" w:eastAsia="zh-CN"/>
        </w:rPr>
        <w:t>2 一般规定</w:t>
      </w:r>
      <w:bookmarkEnd w:id="3"/>
    </w:p>
    <w:p w14:paraId="3344A3D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运维部门应充分利用现代信息与通信技术，以计算机、网络通信、数据库作为技术支撑，对运维全过程所产生的各种信息，及时、准确、高效地进行管理。</w:t>
      </w:r>
    </w:p>
    <w:p w14:paraId="62B1C2B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运维服务沟通与协调的对象应是运维所涉及的内部和外部有关组织及个人，包括合同公司和外协厂商、通信、咨询服务等单位以及其他相关组织。</w:t>
      </w:r>
    </w:p>
    <w:p w14:paraId="350BD7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运维部门应根据运维规模与特点配备运维信息管理人员。</w:t>
      </w:r>
    </w:p>
    <w:p w14:paraId="66901D7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运维服务信息可以数据、表格、文字、图纸、音像、电子文件等载体方式表示，保证相关信息能及时地收集、整理、共享，并具有可追溯性。</w:t>
      </w:r>
    </w:p>
    <w:p w14:paraId="608AD7E6">
      <w:pPr>
        <w:pStyle w:val="2"/>
        <w:bidi w:val="0"/>
        <w:rPr>
          <w:rFonts w:hint="default"/>
          <w:lang w:val="en-US" w:eastAsia="zh-CN"/>
        </w:rPr>
      </w:pPr>
      <w:bookmarkStart w:id="4" w:name="_Toc29976"/>
      <w:r>
        <w:rPr>
          <w:rFonts w:hint="default"/>
          <w:lang w:val="en-US" w:eastAsia="zh-CN"/>
        </w:rPr>
        <w:t>3 交付沟通机制</w:t>
      </w:r>
      <w:bookmarkEnd w:id="4"/>
    </w:p>
    <w:p w14:paraId="39DEE049">
      <w:pPr>
        <w:pStyle w:val="3"/>
        <w:bidi w:val="0"/>
        <w:rPr>
          <w:rFonts w:hint="default"/>
          <w:lang w:val="en-US" w:eastAsia="zh-CN"/>
        </w:rPr>
      </w:pPr>
      <w:bookmarkStart w:id="5" w:name="_Toc143"/>
      <w:r>
        <w:rPr>
          <w:rFonts w:hint="default"/>
          <w:lang w:val="en-US" w:eastAsia="zh-CN"/>
        </w:rPr>
        <w:t>3.1 沟通原则</w:t>
      </w:r>
      <w:bookmarkEnd w:id="5"/>
    </w:p>
    <w:p w14:paraId="6976365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以解决运维交付问题为中心，以不伤害双方既定合同利益，严格执行合同条款约定。</w:t>
      </w:r>
    </w:p>
    <w:p w14:paraId="6616945C">
      <w:pPr>
        <w:pStyle w:val="3"/>
        <w:bidi w:val="0"/>
        <w:rPr>
          <w:rFonts w:hint="default"/>
          <w:lang w:val="en-US" w:eastAsia="zh-CN"/>
        </w:rPr>
      </w:pPr>
      <w:bookmarkStart w:id="6" w:name="_Toc11203"/>
      <w:r>
        <w:rPr>
          <w:rFonts w:hint="default"/>
          <w:lang w:val="en-US" w:eastAsia="zh-CN"/>
        </w:rPr>
        <w:t>3.2 沟通依据</w:t>
      </w:r>
      <w:bookmarkEnd w:id="6"/>
    </w:p>
    <w:p w14:paraId="3EBA5ED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运维部门内部沟通应包括公司经理与组织管理层、运维部门自身的各部门和相关成员之间的沟通与协调。内部沟通应依据运维沟通计划、规章制度、运维管理目标责任书、控制目标等进行。</w:t>
      </w:r>
    </w:p>
    <w:p w14:paraId="2D8958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运维外部沟通应由组织与运维相关方进行沟通。外部沟通应依据运维沟通计划、有关合同和合同变更资料、相关法律法规、伦理道德、社会责任和运维具体情况等进行。</w:t>
      </w:r>
    </w:p>
    <w:p w14:paraId="32A63A6F">
      <w:pPr>
        <w:pStyle w:val="3"/>
        <w:bidi w:val="0"/>
        <w:rPr>
          <w:rFonts w:hint="default"/>
          <w:lang w:val="en-US" w:eastAsia="zh-CN"/>
        </w:rPr>
      </w:pPr>
      <w:bookmarkStart w:id="7" w:name="_Toc13259"/>
      <w:r>
        <w:rPr>
          <w:rFonts w:hint="default"/>
          <w:lang w:val="en-US" w:eastAsia="zh-CN"/>
        </w:rPr>
        <w:t>3.3 沟通方式</w:t>
      </w:r>
      <w:bookmarkEnd w:id="7"/>
    </w:p>
    <w:p w14:paraId="55FA9283">
      <w:pPr>
        <w:pStyle w:val="4"/>
        <w:bidi w:val="0"/>
        <w:rPr>
          <w:rFonts w:hint="default"/>
          <w:lang w:val="en-US" w:eastAsia="zh-CN"/>
        </w:rPr>
      </w:pPr>
      <w:bookmarkStart w:id="8" w:name="_Toc26490"/>
      <w:r>
        <w:rPr>
          <w:rFonts w:hint="default"/>
          <w:lang w:val="en-US" w:eastAsia="zh-CN"/>
        </w:rPr>
        <w:t>3.3.1 公司内部沟通</w:t>
      </w:r>
      <w:bookmarkEnd w:id="8"/>
    </w:p>
    <w:p w14:paraId="7DADB4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内部沟通可采用授权、会议、文件、培训、检查、运维进展报告、思想教育、考核与激励及电子媒体等方式。</w:t>
      </w:r>
    </w:p>
    <w:p w14:paraId="7CCB15EB">
      <w:pPr>
        <w:pStyle w:val="4"/>
        <w:bidi w:val="0"/>
        <w:rPr>
          <w:rFonts w:hint="default"/>
          <w:lang w:val="en-US" w:eastAsia="zh-CN"/>
        </w:rPr>
      </w:pPr>
      <w:bookmarkStart w:id="9" w:name="_Toc28419"/>
      <w:r>
        <w:rPr>
          <w:rFonts w:hint="default"/>
          <w:lang w:val="en-US" w:eastAsia="zh-CN"/>
        </w:rPr>
        <w:t>3.3.2 公司外部沟通</w:t>
      </w:r>
      <w:bookmarkEnd w:id="9"/>
    </w:p>
    <w:p w14:paraId="3C5D947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外部沟通可采用电话、传真、召开会议、联合检查、宣传部门和运维进展报告等方式。</w:t>
      </w:r>
    </w:p>
    <w:p w14:paraId="777AAADC">
      <w:pPr>
        <w:pStyle w:val="3"/>
        <w:bidi w:val="0"/>
        <w:rPr>
          <w:rFonts w:hint="default"/>
          <w:lang w:val="en-US" w:eastAsia="zh-CN"/>
        </w:rPr>
      </w:pPr>
      <w:bookmarkStart w:id="10" w:name="_Toc7897"/>
      <w:r>
        <w:rPr>
          <w:rFonts w:hint="default"/>
          <w:lang w:val="en-US" w:eastAsia="zh-CN"/>
        </w:rPr>
        <w:t>3.4 运维交付沟通流程</w:t>
      </w:r>
      <w:bookmarkEnd w:id="10"/>
    </w:p>
    <w:p w14:paraId="5D4B4A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自签订合同阶段，针对预见性的可能产生疑问的条款双方协商沟通，明确在合同文件中，运维成立后应根据运维的实际需要，针对现场实际情况预见可能出现的矛盾和问题，制定沟通与协调计划，明确原则、内容、对象、方式、途径、手段和所要达到的目标。</w:t>
      </w:r>
    </w:p>
    <w:p w14:paraId="1E1F51D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组织应针对不同阶段出现的矛盾和问题，调整沟通计划。</w:t>
      </w:r>
    </w:p>
    <w:p w14:paraId="62857D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组织应运用计算机信息处理技术，进行运维信息收集、汇总、处理、传输与应用，进行信息沟通与协调，形成档案资料。</w:t>
      </w:r>
    </w:p>
    <w:p w14:paraId="0BD357EC">
      <w:pPr>
        <w:pStyle w:val="4"/>
        <w:bidi w:val="0"/>
        <w:rPr>
          <w:rFonts w:hint="default"/>
          <w:lang w:val="en-US" w:eastAsia="zh-CN"/>
        </w:rPr>
      </w:pPr>
      <w:bookmarkStart w:id="11" w:name="_Toc29051"/>
      <w:r>
        <w:rPr>
          <w:rFonts w:hint="default"/>
          <w:lang w:val="en-US" w:eastAsia="zh-CN"/>
        </w:rPr>
        <w:t>3.4.1 运维沟通计划</w:t>
      </w:r>
      <w:bookmarkEnd w:id="11"/>
    </w:p>
    <w:p w14:paraId="621EFF7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运维沟通计划应由运维项目经理组织编制。</w:t>
      </w:r>
    </w:p>
    <w:p w14:paraId="0C05D5F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编制运维沟通计划应依据下列资料：</w:t>
      </w:r>
    </w:p>
    <w:p w14:paraId="74121C5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（1）合同文件及招投标文件。</w:t>
      </w:r>
    </w:p>
    <w:p w14:paraId="1F1CA46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（2）运维各相关组织的信息需求。</w:t>
      </w:r>
    </w:p>
    <w:p w14:paraId="7894FFC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（3）运维项目的实际情况。</w:t>
      </w:r>
    </w:p>
    <w:p w14:paraId="4A2A5F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（4）运维的组织结构。</w:t>
      </w:r>
    </w:p>
    <w:p w14:paraId="2322273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（5）沟通方案的约束条件、假设，以及适用的沟通技术。</w:t>
      </w:r>
    </w:p>
    <w:p w14:paraId="309963A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运维沟通计划应与运维管理的其他各类计划相协调，沟通主体重点放在质量、安全、进度实施过程遇到障碍的矛盾点上。</w:t>
      </w:r>
    </w:p>
    <w:p w14:paraId="62C02724">
      <w:pPr>
        <w:pStyle w:val="4"/>
        <w:bidi w:val="0"/>
        <w:rPr>
          <w:rFonts w:hint="default"/>
          <w:lang w:val="en-US" w:eastAsia="zh-CN"/>
        </w:rPr>
      </w:pPr>
      <w:bookmarkStart w:id="12" w:name="_Toc29400"/>
      <w:r>
        <w:rPr>
          <w:rFonts w:hint="default"/>
          <w:lang w:val="en-US" w:eastAsia="zh-CN"/>
        </w:rPr>
        <w:t>3.4.2 问题跟踪</w:t>
      </w:r>
      <w:bookmarkEnd w:id="12"/>
    </w:p>
    <w:p w14:paraId="1C31C95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运维项目推行过程中所有需要解决的质量问题，各方均要通过问题反馈表或整改回复单进行反馈或回复；</w:t>
      </w:r>
    </w:p>
    <w:p w14:paraId="283819D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指定问题跟踪人，及时更新问题状态，直到问题解决。</w:t>
      </w:r>
    </w:p>
    <w:p w14:paraId="25BFCF5F">
      <w:pPr>
        <w:pStyle w:val="4"/>
        <w:bidi w:val="0"/>
        <w:rPr>
          <w:rFonts w:hint="default"/>
          <w:lang w:val="en-US" w:eastAsia="zh-CN"/>
        </w:rPr>
      </w:pPr>
      <w:bookmarkStart w:id="13" w:name="_Toc25574"/>
      <w:r>
        <w:rPr>
          <w:rFonts w:hint="default"/>
          <w:lang w:val="en-US" w:eastAsia="zh-CN"/>
        </w:rPr>
        <w:t>3.4.3 验收及整改回复</w:t>
      </w:r>
      <w:bookmarkEnd w:id="13"/>
    </w:p>
    <w:p w14:paraId="48AD5B9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运维项目推行过程中所有需验收的隐蔽工程及需要抽查的分部分项工程，及时通知质检站进行验收。</w:t>
      </w:r>
    </w:p>
    <w:p w14:paraId="5ECA581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对质监站和监理提出的质量缺陷定期进行整改。整改完成后向质检站以回复单的形式进行逐一回复。</w:t>
      </w:r>
    </w:p>
    <w:p w14:paraId="33E8D176">
      <w:pPr>
        <w:pStyle w:val="4"/>
        <w:bidi w:val="0"/>
        <w:rPr>
          <w:rFonts w:hint="default"/>
          <w:lang w:val="en-US" w:eastAsia="zh-CN"/>
        </w:rPr>
      </w:pPr>
      <w:bookmarkStart w:id="14" w:name="_Toc20091"/>
      <w:r>
        <w:rPr>
          <w:rFonts w:hint="default"/>
          <w:lang w:val="en-US" w:eastAsia="zh-CN"/>
        </w:rPr>
        <w:t>3.4.4 信息发布</w:t>
      </w:r>
      <w:bookmarkEnd w:id="14"/>
    </w:p>
    <w:p w14:paraId="1E54333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以周为时间单位向各质量监管方发布运维有关信息；</w:t>
      </w:r>
    </w:p>
    <w:p w14:paraId="0221419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每周五以邮件的方式向各质量监管方发布上周运维项目进度状态；</w:t>
      </w:r>
    </w:p>
    <w:p w14:paraId="7D301C7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每周五在监理例会上向甲方代表、监理汇报上周运维项目质量状态；</w:t>
      </w:r>
    </w:p>
    <w:p w14:paraId="36473C9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汇报主要包括：上周质量整改情况、本周质量计划、存在的问题；</w:t>
      </w:r>
    </w:p>
    <w:p w14:paraId="0949C6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具体信息见运维工作会议纪要。</w:t>
      </w:r>
    </w:p>
    <w:p w14:paraId="2D4CCBC5">
      <w:pPr>
        <w:pStyle w:val="4"/>
        <w:bidi w:val="0"/>
        <w:rPr>
          <w:rFonts w:hint="default"/>
          <w:lang w:val="en-US" w:eastAsia="zh-CN"/>
        </w:rPr>
      </w:pPr>
      <w:bookmarkStart w:id="15" w:name="_Toc15855"/>
      <w:r>
        <w:rPr>
          <w:rFonts w:hint="default"/>
          <w:lang w:val="en-US" w:eastAsia="zh-CN"/>
        </w:rPr>
        <w:t>3.4.5 沟通障碍与冲突管理</w:t>
      </w:r>
      <w:bookmarkEnd w:id="15"/>
    </w:p>
    <w:p w14:paraId="70CFF18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运维沟通应减少干扰，消除障碍、解决冲突、保持沟通与协调途径畅通、信息真实。</w:t>
      </w:r>
    </w:p>
    <w:p w14:paraId="1B5A2C1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消除沟通障碍可采用下列方法：</w:t>
      </w:r>
    </w:p>
    <w:p w14:paraId="2CD09D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（1）灵活运用各种沟通与协调方式，选择适宜的沟通途径。</w:t>
      </w:r>
    </w:p>
    <w:p w14:paraId="72A694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（2）充分利用反馈及掌握的实际情况；</w:t>
      </w:r>
    </w:p>
    <w:p w14:paraId="1638D05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组织应做好冲突的预测工作，了解冲突的性质，寻找解决冲突的途径并保存相关记录。</w:t>
      </w:r>
    </w:p>
    <w:p w14:paraId="2EA3F98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解决冲突可采用下列方法：</w:t>
      </w:r>
    </w:p>
    <w:p w14:paraId="344D338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（1）协商、让步、缓和、强制和退出。</w:t>
      </w:r>
    </w:p>
    <w:p w14:paraId="2AB2DF0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（2）使运维项目的相关方了解运维计划，明确运维目标。</w:t>
      </w:r>
    </w:p>
    <w:p w14:paraId="4C36FE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（3）搞好变更管理。</w:t>
      </w:r>
    </w:p>
    <w:p w14:paraId="1CB262CA">
      <w:pPr>
        <w:pStyle w:val="2"/>
        <w:bidi w:val="0"/>
        <w:rPr>
          <w:rFonts w:hint="default"/>
          <w:lang w:val="en-US" w:eastAsia="zh-CN"/>
        </w:rPr>
      </w:pPr>
      <w:bookmarkStart w:id="16" w:name="_Toc26796"/>
      <w:r>
        <w:rPr>
          <w:rFonts w:hint="default"/>
          <w:lang w:val="en-US" w:eastAsia="zh-CN"/>
        </w:rPr>
        <w:t>4 运维交付沟通机制评审</w:t>
      </w:r>
      <w:bookmarkEnd w:id="16"/>
    </w:p>
    <w:p w14:paraId="50224B0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为了控制流程的质量，提高用户体验，每年度对流程进行回顾，包括流程执行效率和流程支持工具的有效性，以改进和优化管理流程。每年对交付沟通机制进行分析总结，对存在的问题进行改进优化，并对改进优化情况进行持续性跟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7036"/>
    <w:rsid w:val="031E62CB"/>
    <w:rsid w:val="058B39C0"/>
    <w:rsid w:val="05B562F8"/>
    <w:rsid w:val="07133C6D"/>
    <w:rsid w:val="07472FAF"/>
    <w:rsid w:val="0B0E131B"/>
    <w:rsid w:val="0C27678D"/>
    <w:rsid w:val="0E6574A4"/>
    <w:rsid w:val="0EA24254"/>
    <w:rsid w:val="0EE03857"/>
    <w:rsid w:val="10974C0A"/>
    <w:rsid w:val="12013F0B"/>
    <w:rsid w:val="13755966"/>
    <w:rsid w:val="13F86586"/>
    <w:rsid w:val="140C03C2"/>
    <w:rsid w:val="15C0622B"/>
    <w:rsid w:val="15EC6FFD"/>
    <w:rsid w:val="167504A0"/>
    <w:rsid w:val="1AB01AA7"/>
    <w:rsid w:val="1B882A24"/>
    <w:rsid w:val="1CF96B9F"/>
    <w:rsid w:val="1DE67365"/>
    <w:rsid w:val="1DF61EC7"/>
    <w:rsid w:val="1F4712C6"/>
    <w:rsid w:val="20CC1D0B"/>
    <w:rsid w:val="216D06F2"/>
    <w:rsid w:val="22630065"/>
    <w:rsid w:val="22CD6F6E"/>
    <w:rsid w:val="24337556"/>
    <w:rsid w:val="24E94533"/>
    <w:rsid w:val="24FD0A68"/>
    <w:rsid w:val="252709A9"/>
    <w:rsid w:val="2540611D"/>
    <w:rsid w:val="25755DC7"/>
    <w:rsid w:val="258F13C6"/>
    <w:rsid w:val="25A20B86"/>
    <w:rsid w:val="25C96113"/>
    <w:rsid w:val="26502390"/>
    <w:rsid w:val="26DB2141"/>
    <w:rsid w:val="286916DB"/>
    <w:rsid w:val="28BC5ABB"/>
    <w:rsid w:val="2CDC08C3"/>
    <w:rsid w:val="2D0068BE"/>
    <w:rsid w:val="2F25260C"/>
    <w:rsid w:val="2F642A08"/>
    <w:rsid w:val="2FA572A9"/>
    <w:rsid w:val="2FCC6F2B"/>
    <w:rsid w:val="2FD45DE0"/>
    <w:rsid w:val="30A752A2"/>
    <w:rsid w:val="30C03516"/>
    <w:rsid w:val="31682C84"/>
    <w:rsid w:val="31A87524"/>
    <w:rsid w:val="31F44517"/>
    <w:rsid w:val="321921D0"/>
    <w:rsid w:val="33F7209D"/>
    <w:rsid w:val="3566572C"/>
    <w:rsid w:val="361B6516"/>
    <w:rsid w:val="362545F8"/>
    <w:rsid w:val="378404AE"/>
    <w:rsid w:val="378D125D"/>
    <w:rsid w:val="386D0B7F"/>
    <w:rsid w:val="3A59015E"/>
    <w:rsid w:val="3C127E96"/>
    <w:rsid w:val="3CB52AF5"/>
    <w:rsid w:val="3DDA05E5"/>
    <w:rsid w:val="3F5150F2"/>
    <w:rsid w:val="3F7D78FA"/>
    <w:rsid w:val="3F93711E"/>
    <w:rsid w:val="40503261"/>
    <w:rsid w:val="40A67324"/>
    <w:rsid w:val="411E7700"/>
    <w:rsid w:val="41CB242A"/>
    <w:rsid w:val="444C2BC0"/>
    <w:rsid w:val="45264590"/>
    <w:rsid w:val="455A248C"/>
    <w:rsid w:val="461E795D"/>
    <w:rsid w:val="464E6A92"/>
    <w:rsid w:val="46C73B51"/>
    <w:rsid w:val="47ED75E7"/>
    <w:rsid w:val="4AA91EEB"/>
    <w:rsid w:val="4BDF129B"/>
    <w:rsid w:val="4CF3569F"/>
    <w:rsid w:val="50EC0D83"/>
    <w:rsid w:val="51D0115E"/>
    <w:rsid w:val="54D758A7"/>
    <w:rsid w:val="551013C9"/>
    <w:rsid w:val="559D0A05"/>
    <w:rsid w:val="55CA674D"/>
    <w:rsid w:val="58975A79"/>
    <w:rsid w:val="59012EF2"/>
    <w:rsid w:val="590A14DD"/>
    <w:rsid w:val="59894B9F"/>
    <w:rsid w:val="5A5E221C"/>
    <w:rsid w:val="5AFC6067"/>
    <w:rsid w:val="5B832808"/>
    <w:rsid w:val="5D691C96"/>
    <w:rsid w:val="5DAB2539"/>
    <w:rsid w:val="5F8E33D2"/>
    <w:rsid w:val="61375910"/>
    <w:rsid w:val="61CB0541"/>
    <w:rsid w:val="62C51434"/>
    <w:rsid w:val="63302D52"/>
    <w:rsid w:val="63B7355E"/>
    <w:rsid w:val="63FF0976"/>
    <w:rsid w:val="64161DA3"/>
    <w:rsid w:val="64A4784A"/>
    <w:rsid w:val="64CF659A"/>
    <w:rsid w:val="65C6384A"/>
    <w:rsid w:val="66457CEB"/>
    <w:rsid w:val="670378F6"/>
    <w:rsid w:val="67803B7C"/>
    <w:rsid w:val="696574CD"/>
    <w:rsid w:val="6A8E035E"/>
    <w:rsid w:val="6BC14A92"/>
    <w:rsid w:val="6BFA7A47"/>
    <w:rsid w:val="6CBF6EF4"/>
    <w:rsid w:val="6D317DF2"/>
    <w:rsid w:val="6D744442"/>
    <w:rsid w:val="6D8A7502"/>
    <w:rsid w:val="6DDB5FB0"/>
    <w:rsid w:val="6E4C0C5C"/>
    <w:rsid w:val="6EC627BC"/>
    <w:rsid w:val="713A123F"/>
    <w:rsid w:val="71662034"/>
    <w:rsid w:val="728A45F4"/>
    <w:rsid w:val="728C1627"/>
    <w:rsid w:val="72FC1311"/>
    <w:rsid w:val="73274B12"/>
    <w:rsid w:val="7386076C"/>
    <w:rsid w:val="74B03CF2"/>
    <w:rsid w:val="775557EE"/>
    <w:rsid w:val="77E15F71"/>
    <w:rsid w:val="781412FC"/>
    <w:rsid w:val="78DB6E64"/>
    <w:rsid w:val="79C43D9C"/>
    <w:rsid w:val="7BE10C35"/>
    <w:rsid w:val="7BE35A96"/>
    <w:rsid w:val="7CA413CC"/>
    <w:rsid w:val="7CA57EB5"/>
    <w:rsid w:val="7CFF06D7"/>
    <w:rsid w:val="7D0A41BC"/>
    <w:rsid w:val="7D692C90"/>
    <w:rsid w:val="7EA2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99"/>
    <w:pPr>
      <w:ind w:firstLine="420" w:firstLineChars="200"/>
    </w:pPr>
    <w:rPr>
      <w:rFonts w:ascii="Arial" w:hAnsi="Arial"/>
    </w:r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No Spacing"/>
    <w:qFormat/>
    <w:uiPriority w:val="99"/>
    <w:rPr>
      <w:rFonts w:ascii="Calibri" w:hAnsi="Calibri" w:eastAsia="宋体" w:cs="Times New Roman"/>
      <w:sz w:val="22"/>
      <w:szCs w:val="22"/>
      <w:lang w:val="en-US" w:eastAsia="zh-CN" w:bidi="ar-SA"/>
    </w:rPr>
  </w:style>
  <w:style w:type="character" w:customStyle="1" w:styleId="18">
    <w:name w:val="标题 2 Char"/>
    <w:link w:val="3"/>
    <w:qFormat/>
    <w:uiPriority w:val="0"/>
    <w:rPr>
      <w:rFonts w:ascii="Arial" w:hAnsi="Arial" w:eastAsia="黑体"/>
      <w:b/>
      <w:sz w:val="32"/>
    </w:rPr>
  </w:style>
  <w:style w:type="paragraph" w:customStyle="1" w:styleId="19">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0">
    <w:name w:val="Table Text"/>
    <w:basedOn w:val="1"/>
    <w:semiHidden/>
    <w:qFormat/>
    <w:uiPriority w:val="0"/>
    <w:rPr>
      <w:rFonts w:ascii="宋体" w:hAnsi="宋体" w:eastAsia="宋体" w:cs="宋体"/>
      <w:sz w:val="28"/>
      <w:szCs w:val="28"/>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1691</Words>
  <Characters>1762</Characters>
  <Lines>0</Lines>
  <Paragraphs>0</Paragraphs>
  <TotalTime>0</TotalTime>
  <ScaleCrop>false</ScaleCrop>
  <LinksUpToDate>false</LinksUpToDate>
  <CharactersWithSpaces>1776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2025-08-21T20:33:35Z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