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6785"/>
      <w:r>
        <w:rPr>
          <w:rFonts w:hint="eastAsia" w:ascii="宋体" w:hAnsi="宋体" w:cs="宋体"/>
          <w:b/>
          <w:bCs/>
          <w:spacing w:val="-8"/>
          <w:sz w:val="52"/>
          <w:szCs w:val="52"/>
          <w:lang w:val="en-US" w:eastAsia="zh-CN"/>
        </w:rPr>
        <w:t>运维交付风险控制办法</w:t>
      </w:r>
      <w:bookmarkEnd w:id="0"/>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jc w:val="center"/>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422F1708">
      <w:pPr>
        <w:pStyle w:val="12"/>
        <w:spacing w:line="245" w:lineRule="auto"/>
      </w:pPr>
    </w:p>
    <w:p w14:paraId="5BAC13B5">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6D673480">
      <w:pPr>
        <w:bidi w:val="0"/>
        <w:spacing w:line="360" w:lineRule="auto"/>
        <w:jc w:val="center"/>
        <w:rPr>
          <w:rFonts w:hint="eastAsia" w:cs="宋体"/>
          <w:b/>
          <w:sz w:val="44"/>
          <w:szCs w:val="44"/>
          <w:u w:val="single"/>
        </w:rPr>
      </w:pPr>
    </w:p>
    <w:p w14:paraId="29937D6F">
      <w:r>
        <w:br w:type="page"/>
      </w:r>
    </w:p>
    <w:p w14:paraId="78AE1390">
      <w:pPr>
        <w:spacing w:before="69" w:line="220" w:lineRule="auto"/>
        <w:ind w:left="3954"/>
        <w:outlineLvl w:val="0"/>
        <w:rPr>
          <w:rFonts w:ascii="宋体" w:hAnsi="宋体" w:eastAsia="宋体" w:cs="宋体"/>
          <w:sz w:val="24"/>
          <w:szCs w:val="24"/>
        </w:rPr>
      </w:pPr>
      <w:bookmarkStart w:id="1" w:name="_Toc9784"/>
      <w:r>
        <w:rPr>
          <w:rFonts w:ascii="宋体" w:hAnsi="宋体" w:eastAsia="宋体" w:cs="宋体"/>
          <w:spacing w:val="-2"/>
          <w:sz w:val="24"/>
          <w:szCs w:val="24"/>
        </w:rPr>
        <w:t>文档信息</w:t>
      </w:r>
      <w:bookmarkEnd w:id="1"/>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widowControl w:val="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widowControl w:val="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运维交付风险控制办法</w:t>
            </w:r>
            <w:r>
              <w:rPr>
                <w:spacing w:val="-1"/>
              </w:rPr>
              <w:t>（HHLC-ITSS-</w:t>
            </w:r>
            <w:r>
              <w:rPr>
                <w:rFonts w:hint="eastAsia"/>
                <w:spacing w:val="-1"/>
                <w:lang w:val="en-US" w:eastAsia="zh-CN"/>
              </w:rPr>
              <w:t>YWJFFXGL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widowControl w:val="0"/>
              <w:spacing w:before="196" w:line="220" w:lineRule="auto"/>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widowControl w:val="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widowControl w:val="0"/>
              <w:spacing w:before="199" w:line="219" w:lineRule="auto"/>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widowControl w:val="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widowControl w:val="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widowControl w:val="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widowControl w:val="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0" w:type="auto"/>
            <w:shd w:val="clear" w:color="auto" w:fill="auto"/>
            <w:vAlign w:val="top"/>
          </w:tcPr>
          <w:p w14:paraId="27129100">
            <w:pPr>
              <w:pStyle w:val="26"/>
              <w:widowControl w:val="0"/>
              <w:spacing w:before="199" w:line="220" w:lineRule="auto"/>
              <w:rPr>
                <w:spacing w:val="-3"/>
                <w:lang w:val="en-US" w:eastAsia="en-US"/>
              </w:rPr>
            </w:pPr>
            <w:r>
              <w:rPr>
                <w:spacing w:val="-3"/>
                <w:lang w:val="en-US" w:eastAsia="en-US"/>
              </w:rPr>
              <w:t>V1.0</w:t>
            </w:r>
          </w:p>
        </w:tc>
        <w:tc>
          <w:tcPr>
            <w:tcW w:w="0" w:type="auto"/>
            <w:shd w:val="clear" w:color="auto" w:fill="auto"/>
            <w:vAlign w:val="top"/>
          </w:tcPr>
          <w:p w14:paraId="76C833A8">
            <w:pPr>
              <w:pStyle w:val="26"/>
              <w:widowControl w:val="0"/>
              <w:spacing w:before="199" w:line="220" w:lineRule="auto"/>
              <w:rPr>
                <w:rFonts w:hint="default"/>
                <w:spacing w:val="-3"/>
                <w:lang w:val="en-US" w:eastAsia="zh-CN"/>
              </w:rPr>
            </w:pPr>
            <w:r>
              <w:rPr>
                <w:spacing w:val="-3"/>
                <w:lang w:val="en-US" w:eastAsia="en-US"/>
              </w:rPr>
              <w:t>20</w:t>
            </w:r>
            <w:r>
              <w:rPr>
                <w:rFonts w:hint="eastAsia"/>
                <w:spacing w:val="-3"/>
                <w:lang w:val="en-US" w:eastAsia="zh-CN"/>
              </w:rPr>
              <w:t>25</w:t>
            </w:r>
            <w:r>
              <w:rPr>
                <w:spacing w:val="-3"/>
                <w:lang w:val="en-US" w:eastAsia="en-US"/>
              </w:rPr>
              <w:t>-</w:t>
            </w:r>
            <w:r>
              <w:rPr>
                <w:rFonts w:hint="eastAsia"/>
                <w:spacing w:val="-3"/>
                <w:lang w:val="en-US" w:eastAsia="zh-CN"/>
              </w:rPr>
              <w:t>1</w:t>
            </w:r>
            <w:r>
              <w:rPr>
                <w:spacing w:val="-3"/>
                <w:lang w:val="en-US" w:eastAsia="en-US"/>
              </w:rPr>
              <w:t>-</w:t>
            </w:r>
            <w:r>
              <w:rPr>
                <w:rFonts w:hint="eastAsia"/>
                <w:spacing w:val="-3"/>
                <w:lang w:val="en-US" w:eastAsia="zh-CN"/>
              </w:rPr>
              <w:t>4</w:t>
            </w:r>
          </w:p>
        </w:tc>
        <w:tc>
          <w:tcPr>
            <w:tcW w:w="0" w:type="auto"/>
            <w:shd w:val="clear" w:color="auto" w:fill="auto"/>
            <w:vAlign w:val="top"/>
          </w:tcPr>
          <w:p w14:paraId="15443572">
            <w:pPr>
              <w:pStyle w:val="26"/>
              <w:widowControl w:val="0"/>
              <w:spacing w:before="199" w:line="220" w:lineRule="auto"/>
              <w:rPr>
                <w:spacing w:val="-3"/>
                <w:lang w:val="en-US" w:eastAsia="en-US"/>
              </w:rPr>
            </w:pPr>
            <w:r>
              <w:rPr>
                <w:spacing w:val="-3"/>
                <w:lang w:val="en-US" w:eastAsia="en-US"/>
              </w:rPr>
              <w:t>发布版本</w:t>
            </w:r>
          </w:p>
        </w:tc>
        <w:tc>
          <w:tcPr>
            <w:tcW w:w="0" w:type="auto"/>
            <w:shd w:val="clear" w:color="auto" w:fill="auto"/>
            <w:vAlign w:val="top"/>
          </w:tcPr>
          <w:p w14:paraId="26D22F84">
            <w:pPr>
              <w:pStyle w:val="26"/>
              <w:widowControl w:val="0"/>
              <w:spacing w:before="199" w:line="220" w:lineRule="auto"/>
              <w:rPr>
                <w:rFonts w:hint="default"/>
                <w:spacing w:val="-3"/>
                <w:lang w:val="en-US" w:eastAsia="zh-CN"/>
              </w:rPr>
            </w:pPr>
            <w:r>
              <w:rPr>
                <w:rFonts w:hint="eastAsia"/>
                <w:spacing w:val="-3"/>
                <w:lang w:val="en-US" w:eastAsia="zh-CN"/>
              </w:rPr>
              <w:t>郑永伟</w:t>
            </w:r>
          </w:p>
        </w:tc>
        <w:tc>
          <w:tcPr>
            <w:tcW w:w="1124" w:type="dxa"/>
            <w:shd w:val="clear" w:color="auto" w:fill="auto"/>
            <w:vAlign w:val="top"/>
          </w:tcPr>
          <w:p w14:paraId="11E2D727">
            <w:pPr>
              <w:pStyle w:val="26"/>
              <w:widowControl w:val="0"/>
              <w:spacing w:before="199" w:line="220" w:lineRule="auto"/>
              <w:rPr>
                <w:spacing w:val="-3"/>
                <w:lang w:val="en-US" w:eastAsia="en-US"/>
              </w:rPr>
            </w:pPr>
            <w:r>
              <w:rPr>
                <w:spacing w:val="-3"/>
                <w:lang w:val="en-US" w:eastAsia="en-US"/>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widowControl w:val="0"/>
              <w:spacing w:before="163" w:line="239" w:lineRule="auto"/>
              <w:ind w:left="638" w:leftChars="0"/>
              <w:rPr>
                <w:spacing w:val="-1"/>
              </w:rPr>
            </w:pPr>
          </w:p>
        </w:tc>
        <w:tc>
          <w:tcPr>
            <w:tcW w:w="0" w:type="auto"/>
            <w:shd w:val="clear" w:color="auto" w:fill="auto"/>
            <w:vAlign w:val="top"/>
          </w:tcPr>
          <w:p w14:paraId="124DCA61">
            <w:pPr>
              <w:pStyle w:val="26"/>
              <w:widowControl w:val="0"/>
              <w:spacing w:before="163"/>
              <w:ind w:left="361" w:leftChars="0"/>
              <w:rPr>
                <w:spacing w:val="-2"/>
              </w:rPr>
            </w:pPr>
          </w:p>
        </w:tc>
        <w:tc>
          <w:tcPr>
            <w:tcW w:w="0" w:type="auto"/>
            <w:shd w:val="clear" w:color="auto" w:fill="auto"/>
            <w:vAlign w:val="top"/>
          </w:tcPr>
          <w:p w14:paraId="315EFC3B">
            <w:pPr>
              <w:pStyle w:val="26"/>
              <w:widowControl w:val="0"/>
              <w:spacing w:before="133" w:line="219" w:lineRule="auto"/>
              <w:rPr>
                <w:spacing w:val="-3"/>
              </w:rPr>
            </w:pPr>
          </w:p>
        </w:tc>
        <w:tc>
          <w:tcPr>
            <w:tcW w:w="0" w:type="auto"/>
            <w:shd w:val="clear" w:color="auto" w:fill="auto"/>
            <w:vAlign w:val="top"/>
          </w:tcPr>
          <w:p w14:paraId="2278060F">
            <w:pPr>
              <w:pStyle w:val="26"/>
              <w:widowControl w:val="0"/>
              <w:spacing w:before="134" w:line="220" w:lineRule="auto"/>
              <w:ind w:left="480" w:leftChars="0"/>
              <w:rPr>
                <w:spacing w:val="-5"/>
              </w:rPr>
            </w:pPr>
          </w:p>
        </w:tc>
        <w:tc>
          <w:tcPr>
            <w:tcW w:w="1124" w:type="dxa"/>
            <w:shd w:val="clear" w:color="auto" w:fill="auto"/>
            <w:vAlign w:val="top"/>
          </w:tcPr>
          <w:p w14:paraId="1F1F27D2">
            <w:pPr>
              <w:pStyle w:val="26"/>
              <w:widowControl w:val="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widowControl w:val="0"/>
              <w:spacing w:before="163" w:line="239" w:lineRule="auto"/>
              <w:ind w:left="638" w:leftChars="0"/>
              <w:rPr>
                <w:spacing w:val="-1"/>
              </w:rPr>
            </w:pPr>
          </w:p>
        </w:tc>
        <w:tc>
          <w:tcPr>
            <w:tcW w:w="0" w:type="auto"/>
            <w:shd w:val="clear" w:color="auto" w:fill="auto"/>
            <w:vAlign w:val="top"/>
          </w:tcPr>
          <w:p w14:paraId="7715811E">
            <w:pPr>
              <w:pStyle w:val="26"/>
              <w:widowControl w:val="0"/>
              <w:spacing w:before="163"/>
              <w:ind w:left="361" w:leftChars="0"/>
              <w:rPr>
                <w:spacing w:val="-2"/>
              </w:rPr>
            </w:pPr>
          </w:p>
        </w:tc>
        <w:tc>
          <w:tcPr>
            <w:tcW w:w="0" w:type="auto"/>
            <w:shd w:val="clear" w:color="auto" w:fill="auto"/>
            <w:vAlign w:val="top"/>
          </w:tcPr>
          <w:p w14:paraId="5BBE9771">
            <w:pPr>
              <w:pStyle w:val="26"/>
              <w:widowControl w:val="0"/>
              <w:spacing w:before="133" w:line="219" w:lineRule="auto"/>
              <w:rPr>
                <w:spacing w:val="-3"/>
              </w:rPr>
            </w:pPr>
          </w:p>
        </w:tc>
        <w:tc>
          <w:tcPr>
            <w:tcW w:w="0" w:type="auto"/>
            <w:shd w:val="clear" w:color="auto" w:fill="auto"/>
            <w:vAlign w:val="top"/>
          </w:tcPr>
          <w:p w14:paraId="45562AFB">
            <w:pPr>
              <w:pStyle w:val="26"/>
              <w:widowControl w:val="0"/>
              <w:spacing w:before="134" w:line="220" w:lineRule="auto"/>
              <w:ind w:left="480" w:leftChars="0"/>
              <w:rPr>
                <w:spacing w:val="-5"/>
              </w:rPr>
            </w:pPr>
          </w:p>
        </w:tc>
        <w:tc>
          <w:tcPr>
            <w:tcW w:w="1124" w:type="dxa"/>
            <w:shd w:val="clear" w:color="auto" w:fill="auto"/>
            <w:vAlign w:val="top"/>
          </w:tcPr>
          <w:p w14:paraId="10730223">
            <w:pPr>
              <w:pStyle w:val="26"/>
              <w:widowControl w:val="0"/>
              <w:spacing w:before="133" w:line="220" w:lineRule="auto"/>
              <w:rPr>
                <w:spacing w:val="-3"/>
              </w:rPr>
            </w:pPr>
          </w:p>
        </w:tc>
      </w:tr>
    </w:tbl>
    <w:p w14:paraId="7B8830CA">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3729"/>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0B840F3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C501C5C">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运维交付风险控制办法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06B2D">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FD3929">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1537D7">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管控目标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F78DA1">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风险管理过程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60A9A">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2165C2">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风险定性定量分析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84EB1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风险应对措施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FB6F8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风险跟踪与监控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93D03">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3.5 运维项目后续风险管理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B605A9">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3.6 风险控制流程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2ECE9">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04F6C300"/>
    <w:p w14:paraId="14B7F6A7">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br w:type="page"/>
      </w:r>
    </w:p>
    <w:p w14:paraId="446FF9FB">
      <w:pPr>
        <w:pStyle w:val="28"/>
        <w:bidi w:val="0"/>
        <w:rPr>
          <w:rFonts w:hint="eastAsia"/>
          <w:lang w:val="en-US" w:eastAsia="zh-CN"/>
        </w:rPr>
      </w:pPr>
      <w:bookmarkStart w:id="2" w:name="_Toc5005"/>
      <w:r>
        <w:rPr>
          <w:rFonts w:hint="eastAsia"/>
          <w:lang w:val="en-US" w:eastAsia="zh-CN"/>
        </w:rPr>
        <w:t>目的</w:t>
      </w:r>
      <w:bookmarkEnd w:id="2"/>
    </w:p>
    <w:p w14:paraId="24B8BF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本规范规定了从服务级别协议签署到结束的过程中，</w:t>
      </w:r>
      <w:r>
        <w:rPr>
          <w:spacing w:val="-1"/>
        </w:rPr>
        <w:t>青岛慧海联创</w:t>
      </w:r>
      <w:r>
        <w:rPr>
          <w:rFonts w:hint="default"/>
          <w:sz w:val="24"/>
          <w:lang w:val="en-US" w:eastAsia="zh-CN"/>
        </w:rPr>
        <w:t>团队向需方交付运行维护服务时的风险管控策略。</w:t>
      </w:r>
    </w:p>
    <w:p w14:paraId="7DDABC35">
      <w:pPr>
        <w:pStyle w:val="28"/>
        <w:bidi w:val="0"/>
        <w:rPr>
          <w:rFonts w:hint="eastAsia"/>
          <w:lang w:val="en-US" w:eastAsia="zh-CN"/>
        </w:rPr>
      </w:pPr>
      <w:bookmarkStart w:id="3" w:name="_Toc25295"/>
      <w:r>
        <w:rPr>
          <w:rFonts w:hint="eastAsia"/>
          <w:lang w:val="en-US" w:eastAsia="zh-CN"/>
        </w:rPr>
        <w:t>管控目标</w:t>
      </w:r>
      <w:bookmarkEnd w:id="3"/>
    </w:p>
    <w:p w14:paraId="2F1CA12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目前主要存在风险包括现有信息系统运维过程中整个运维项目进展过程中隐形和显性的风险，对于风险的把控轻则直接影响到整个信息系统运维服务的质量、效率，重则可能导致整个项目的停止，风险控制的目标即是项目准备过程中对可能存在的风险进行识别和分析，实施过程中对已经存在的风险进行有效应对，实施结束后对风险进行总结评估，并形成相应的风险评估报告，对后续的维护提供风险控制依据，从而保障信息系统的安全稳定运行。</w:t>
      </w:r>
    </w:p>
    <w:p w14:paraId="133A6032">
      <w:pPr>
        <w:pStyle w:val="28"/>
        <w:bidi w:val="0"/>
        <w:rPr>
          <w:rFonts w:hint="eastAsia"/>
          <w:lang w:val="en-US" w:eastAsia="zh-CN"/>
        </w:rPr>
      </w:pPr>
      <w:bookmarkStart w:id="4" w:name="_Toc5432"/>
      <w:r>
        <w:rPr>
          <w:rFonts w:hint="eastAsia"/>
          <w:lang w:val="en-US" w:eastAsia="zh-CN"/>
        </w:rPr>
        <w:t>风险管理过程</w:t>
      </w:r>
      <w:bookmarkEnd w:id="4"/>
    </w:p>
    <w:p w14:paraId="320079ED">
      <w:pPr>
        <w:pStyle w:val="29"/>
        <w:bidi w:val="0"/>
        <w:rPr>
          <w:rFonts w:hint="eastAsia"/>
          <w:lang w:val="en-US" w:eastAsia="zh-CN"/>
        </w:rPr>
      </w:pPr>
      <w:bookmarkStart w:id="5" w:name="_Toc11172"/>
      <w:r>
        <w:rPr>
          <w:rFonts w:hint="eastAsia"/>
          <w:lang w:val="en-US" w:eastAsia="zh-CN"/>
        </w:rPr>
        <w:t>风险识别</w:t>
      </w:r>
      <w:bookmarkEnd w:id="5"/>
    </w:p>
    <w:p w14:paraId="450492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在具体识别风险时，可以通过分解运维项目的范围、结构来识别风险，理清项目的组成和各个组成部分的性质、之间的关系、与外因的联系等内容，从而减少项目实施过程中的不确定性。</w:t>
      </w:r>
    </w:p>
    <w:p w14:paraId="6EAEFA8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运维服务项目实施过程中主要存在风险包括项目组内部存在的风险和项目组外部风险等两方面。</w:t>
      </w:r>
    </w:p>
    <w:p w14:paraId="43B9DE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内部风险</w:t>
      </w:r>
    </w:p>
    <w:p w14:paraId="32FBD00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资源风险：运维项目组人员变动、临时缺勤，新人接手需要增加时间成本；事前没有准备好某些特殊要求的运维软硬件工具耽搁正常运维工作。</w:t>
      </w:r>
    </w:p>
    <w:p w14:paraId="7F39B4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过程管理风险：运维服务人员违规操作即未按流程规范提供运维，运维服务人员错误操作等导致不可预测风险；对项目工作量估计不足，造成工作不能按计</w:t>
      </w:r>
    </w:p>
    <w:p w14:paraId="49E93B9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划执行，甚至放弃计划性。</w:t>
      </w:r>
    </w:p>
    <w:p w14:paraId="24F45F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变更风险：某些变更方案测试手段和时间不足，不能充分覆盖所有实际环境存在的因素，导致交付的实施服务有较多不确定因素。</w:t>
      </w:r>
    </w:p>
    <w:p w14:paraId="00D3DFE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技术风险：运维人员缺乏处理某些领域设备或系统故障的经验及技术能力。技术方案实施过程中出现未知风险。</w:t>
      </w:r>
    </w:p>
    <w:p w14:paraId="4CCA36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项目组外部风险</w:t>
      </w:r>
    </w:p>
    <w:p w14:paraId="634A48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预算控制风险：对项目实施过程中的资金支出预算不足，导致某些必要投入无法及时拨付到位。</w:t>
      </w:r>
    </w:p>
    <w:p w14:paraId="56BE81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运维环境风险：由于客户运维人员的变动，现场无法提供完整的的 IT 信息系统相关参数记录，如整体 IP 地址规划、技术说明书等;运维相关准备不充分，运维无法准时进行。</w:t>
      </w:r>
    </w:p>
    <w:p w14:paraId="72E5FF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客户支持风险：部分系统的运维实施将需要和具体的客户负责人进行协调并获得其配合，但由于部分原因不能及时提供配合支持。</w:t>
      </w:r>
    </w:p>
    <w:p w14:paraId="14CEBD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策略风险：运维项目进行过程中，国家政策、客户领导决策等发生变化，导致项目将针对相关政策、决策进行调整。</w:t>
      </w:r>
    </w:p>
    <w:p w14:paraId="3561CB56">
      <w:pPr>
        <w:pStyle w:val="29"/>
        <w:bidi w:val="0"/>
        <w:rPr>
          <w:rFonts w:hint="eastAsia"/>
          <w:lang w:val="en-US" w:eastAsia="zh-CN"/>
        </w:rPr>
      </w:pPr>
      <w:bookmarkStart w:id="6" w:name="_Toc29914"/>
      <w:r>
        <w:rPr>
          <w:rFonts w:hint="eastAsia"/>
          <w:lang w:val="en-US" w:eastAsia="zh-CN"/>
        </w:rPr>
        <w:t>风险定性定量分析</w:t>
      </w:r>
      <w:bookmarkEnd w:id="6"/>
    </w:p>
    <w:p w14:paraId="74036D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风险分析从三个风险参数入手，更加项目具体情况分别确定，风险发生概率、风险严重程度和发生时段的量化值，以此为基础利用公式风险等级公式</w:t>
      </w:r>
    </w:p>
    <w:p w14:paraId="25E9BC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风险等级＝风险发生概率*风险严重程度*发生时段计算出风险值，确定风险等级。</w:t>
      </w:r>
    </w:p>
    <w:p w14:paraId="3B050D4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风险发生概率（量化值为 1~~3）</w:t>
      </w:r>
    </w:p>
    <w:p w14:paraId="6A223C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风险发生概率是指风险发生的可能性。其量化评价方法是按下列三级划分：</w:t>
      </w:r>
    </w:p>
    <w:p w14:paraId="1DA9135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可能性</w:t>
      </w:r>
      <w:r>
        <w:rPr>
          <w:rFonts w:hint="default"/>
          <w:sz w:val="24"/>
          <w:lang w:val="en-US" w:eastAsia="zh-CN"/>
        </w:rPr>
        <w:tab/>
      </w:r>
      <w:r>
        <w:rPr>
          <w:rFonts w:hint="default"/>
          <w:sz w:val="24"/>
          <w:lang w:val="en-US" w:eastAsia="zh-CN"/>
        </w:rPr>
        <w:t>概率的说明</w:t>
      </w:r>
      <w:r>
        <w:rPr>
          <w:rFonts w:hint="default"/>
          <w:sz w:val="24"/>
          <w:lang w:val="en-US" w:eastAsia="zh-CN"/>
        </w:rPr>
        <w:tab/>
      </w:r>
      <w:r>
        <w:rPr>
          <w:rFonts w:hint="default"/>
          <w:sz w:val="24"/>
          <w:lang w:val="en-US" w:eastAsia="zh-CN"/>
        </w:rPr>
        <w:t>估计</w:t>
      </w:r>
    </w:p>
    <w:tbl>
      <w:tblPr>
        <w:tblStyle w:val="20"/>
        <w:tblW w:w="7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4241"/>
        <w:gridCol w:w="1367"/>
      </w:tblGrid>
      <w:tr w14:paraId="61DCA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E6E6E6"/>
            <w:vAlign w:val="top"/>
          </w:tcPr>
          <w:p w14:paraId="197B7F27">
            <w:pPr>
              <w:pStyle w:val="26"/>
              <w:widowControl w:val="0"/>
              <w:spacing w:before="56" w:line="221" w:lineRule="auto"/>
              <w:ind w:left="770" w:leftChars="0"/>
              <w:rPr>
                <w:rFonts w:hint="default" w:ascii="宋体" w:hAnsi="宋体" w:eastAsia="宋体" w:cs="宋体"/>
                <w:kern w:val="2"/>
                <w:sz w:val="24"/>
                <w:szCs w:val="24"/>
                <w:lang w:val="en-US" w:eastAsia="zh-CN" w:bidi="ar-SA"/>
              </w:rPr>
            </w:pPr>
            <w:r>
              <w:rPr>
                <w:b/>
                <w:bCs/>
                <w:color w:val="333333"/>
                <w:spacing w:val="-6"/>
              </w:rPr>
              <w:t>可能性</w:t>
            </w:r>
          </w:p>
        </w:tc>
        <w:tc>
          <w:tcPr>
            <w:tcW w:w="4241" w:type="dxa"/>
            <w:shd w:val="clear" w:color="auto" w:fill="E6E6E6"/>
            <w:vAlign w:val="top"/>
          </w:tcPr>
          <w:p w14:paraId="01CE37EA">
            <w:pPr>
              <w:pStyle w:val="26"/>
              <w:widowControl w:val="0"/>
              <w:spacing w:before="57" w:line="219" w:lineRule="auto"/>
              <w:ind w:left="14" w:leftChars="0"/>
              <w:rPr>
                <w:rFonts w:hint="default" w:ascii="宋体" w:hAnsi="宋体" w:eastAsia="宋体" w:cs="宋体"/>
                <w:kern w:val="2"/>
                <w:sz w:val="24"/>
                <w:szCs w:val="24"/>
                <w:lang w:val="en-US" w:eastAsia="zh-CN" w:bidi="ar-SA"/>
              </w:rPr>
            </w:pPr>
            <w:r>
              <w:rPr>
                <w:b/>
                <w:bCs/>
                <w:color w:val="333333"/>
                <w:spacing w:val="-4"/>
              </w:rPr>
              <w:t>概率的说明</w:t>
            </w:r>
          </w:p>
        </w:tc>
        <w:tc>
          <w:tcPr>
            <w:tcW w:w="1367" w:type="dxa"/>
            <w:shd w:val="clear" w:color="auto" w:fill="E6E6E6"/>
            <w:vAlign w:val="top"/>
          </w:tcPr>
          <w:p w14:paraId="041A4B5D">
            <w:pPr>
              <w:pStyle w:val="26"/>
              <w:widowControl w:val="0"/>
              <w:spacing w:before="56" w:line="218" w:lineRule="auto"/>
              <w:ind w:left="446" w:leftChars="0"/>
              <w:rPr>
                <w:rFonts w:hint="default" w:ascii="宋体" w:hAnsi="宋体" w:eastAsia="宋体" w:cs="宋体"/>
                <w:kern w:val="2"/>
                <w:sz w:val="24"/>
                <w:szCs w:val="24"/>
                <w:lang w:val="en-US" w:eastAsia="zh-CN" w:bidi="ar-SA"/>
              </w:rPr>
            </w:pPr>
            <w:r>
              <w:rPr>
                <w:b/>
                <w:bCs/>
                <w:color w:val="333333"/>
                <w:spacing w:val="-8"/>
              </w:rPr>
              <w:t>估计</w:t>
            </w:r>
          </w:p>
        </w:tc>
      </w:tr>
      <w:tr w14:paraId="242F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3435714E">
            <w:pPr>
              <w:pStyle w:val="26"/>
              <w:widowControl w:val="0"/>
              <w:spacing w:before="50"/>
              <w:ind w:left="713" w:leftChars="0"/>
              <w:rPr>
                <w:rFonts w:hint="default" w:ascii="宋体" w:hAnsi="宋体" w:eastAsia="宋体" w:cs="宋体"/>
                <w:kern w:val="2"/>
                <w:sz w:val="24"/>
                <w:szCs w:val="24"/>
                <w:lang w:val="en-US" w:eastAsia="zh-CN" w:bidi="ar-SA"/>
              </w:rPr>
            </w:pPr>
            <w:r>
              <w:rPr>
                <w:color w:val="333333"/>
                <w:spacing w:val="-2"/>
              </w:rPr>
              <w:t>67%~99%</w:t>
            </w:r>
          </w:p>
        </w:tc>
        <w:tc>
          <w:tcPr>
            <w:tcW w:w="4241" w:type="dxa"/>
            <w:shd w:val="clear" w:color="auto" w:fill="auto"/>
            <w:vAlign w:val="top"/>
          </w:tcPr>
          <w:p w14:paraId="31FA69FC">
            <w:pPr>
              <w:pStyle w:val="26"/>
              <w:widowControl w:val="0"/>
              <w:spacing w:before="51" w:line="220" w:lineRule="auto"/>
              <w:ind w:left="18" w:leftChars="0"/>
              <w:rPr>
                <w:rFonts w:hint="default" w:ascii="宋体" w:hAnsi="宋体" w:eastAsia="宋体" w:cs="宋体"/>
                <w:kern w:val="2"/>
                <w:sz w:val="24"/>
                <w:szCs w:val="24"/>
                <w:lang w:val="en-US" w:eastAsia="zh-CN" w:bidi="ar-SA"/>
              </w:rPr>
            </w:pPr>
            <w:r>
              <w:rPr>
                <w:color w:val="333333"/>
                <w:spacing w:val="-4"/>
              </w:rPr>
              <w:t>非常可能</w:t>
            </w:r>
          </w:p>
        </w:tc>
        <w:tc>
          <w:tcPr>
            <w:tcW w:w="1367" w:type="dxa"/>
            <w:shd w:val="clear" w:color="auto" w:fill="auto"/>
            <w:vAlign w:val="top"/>
          </w:tcPr>
          <w:p w14:paraId="153AB081">
            <w:pPr>
              <w:pStyle w:val="26"/>
              <w:widowControl w:val="0"/>
              <w:spacing w:before="50"/>
              <w:ind w:left="631" w:leftChars="0"/>
              <w:rPr>
                <w:rFonts w:hint="default" w:ascii="宋体" w:hAnsi="宋体" w:eastAsia="宋体" w:cs="宋体"/>
                <w:kern w:val="2"/>
                <w:sz w:val="24"/>
                <w:szCs w:val="24"/>
                <w:lang w:val="en-US" w:eastAsia="zh-CN" w:bidi="ar-SA"/>
              </w:rPr>
            </w:pPr>
            <w:r>
              <w:rPr>
                <w:color w:val="333333"/>
              </w:rPr>
              <w:t>3</w:t>
            </w:r>
          </w:p>
        </w:tc>
      </w:tr>
      <w:tr w14:paraId="12170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1D91DDD6">
            <w:pPr>
              <w:pStyle w:val="26"/>
              <w:widowControl w:val="0"/>
              <w:spacing w:before="53"/>
              <w:ind w:left="716" w:leftChars="0"/>
              <w:rPr>
                <w:rFonts w:hint="default" w:ascii="宋体" w:hAnsi="宋体" w:eastAsia="宋体" w:cs="宋体"/>
                <w:kern w:val="2"/>
                <w:sz w:val="24"/>
                <w:szCs w:val="24"/>
                <w:lang w:val="en-US" w:eastAsia="zh-CN" w:bidi="ar-SA"/>
              </w:rPr>
            </w:pPr>
            <w:r>
              <w:rPr>
                <w:color w:val="333333"/>
                <w:spacing w:val="-3"/>
              </w:rPr>
              <w:t>34%~66%</w:t>
            </w:r>
          </w:p>
        </w:tc>
        <w:tc>
          <w:tcPr>
            <w:tcW w:w="4241" w:type="dxa"/>
            <w:shd w:val="clear" w:color="auto" w:fill="auto"/>
            <w:vAlign w:val="top"/>
          </w:tcPr>
          <w:p w14:paraId="57D269CF">
            <w:pPr>
              <w:pStyle w:val="26"/>
              <w:widowControl w:val="0"/>
              <w:spacing w:before="53" w:line="219" w:lineRule="auto"/>
              <w:ind w:left="16" w:leftChars="0"/>
              <w:rPr>
                <w:rFonts w:hint="default" w:ascii="宋体" w:hAnsi="宋体" w:eastAsia="宋体" w:cs="宋体"/>
                <w:kern w:val="2"/>
                <w:sz w:val="24"/>
                <w:szCs w:val="24"/>
                <w:lang w:val="en-US" w:eastAsia="zh-CN" w:bidi="ar-SA"/>
              </w:rPr>
            </w:pPr>
            <w:r>
              <w:rPr>
                <w:color w:val="333333"/>
                <w:spacing w:val="-3"/>
              </w:rPr>
              <w:t>可能不会</w:t>
            </w:r>
          </w:p>
        </w:tc>
        <w:tc>
          <w:tcPr>
            <w:tcW w:w="1367" w:type="dxa"/>
            <w:shd w:val="clear" w:color="auto" w:fill="auto"/>
            <w:vAlign w:val="top"/>
          </w:tcPr>
          <w:p w14:paraId="7CEE6991">
            <w:pPr>
              <w:pStyle w:val="26"/>
              <w:widowControl w:val="0"/>
              <w:spacing w:before="54" w:line="241" w:lineRule="auto"/>
              <w:ind w:left="629" w:leftChars="0"/>
              <w:rPr>
                <w:rFonts w:hint="default" w:ascii="宋体" w:hAnsi="宋体" w:eastAsia="宋体" w:cs="宋体"/>
                <w:kern w:val="2"/>
                <w:sz w:val="24"/>
                <w:szCs w:val="24"/>
                <w:lang w:val="en-US" w:eastAsia="zh-CN" w:bidi="ar-SA"/>
              </w:rPr>
            </w:pPr>
            <w:r>
              <w:rPr>
                <w:color w:val="333333"/>
              </w:rPr>
              <w:t>2</w:t>
            </w:r>
          </w:p>
        </w:tc>
      </w:tr>
      <w:tr w14:paraId="7F66B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5EF47A72">
            <w:pPr>
              <w:pStyle w:val="26"/>
              <w:widowControl w:val="0"/>
              <w:spacing w:before="54"/>
              <w:ind w:left="789" w:leftChars="0"/>
              <w:rPr>
                <w:rFonts w:hint="default" w:ascii="宋体" w:hAnsi="宋体" w:eastAsia="宋体" w:cs="宋体"/>
                <w:kern w:val="2"/>
                <w:sz w:val="24"/>
                <w:szCs w:val="24"/>
                <w:lang w:val="en-US" w:eastAsia="zh-CN" w:bidi="ar-SA"/>
              </w:rPr>
            </w:pPr>
            <w:r>
              <w:rPr>
                <w:color w:val="333333"/>
                <w:spacing w:val="-5"/>
              </w:rPr>
              <w:t>1%~33%</w:t>
            </w:r>
          </w:p>
        </w:tc>
        <w:tc>
          <w:tcPr>
            <w:tcW w:w="4241" w:type="dxa"/>
            <w:shd w:val="clear" w:color="auto" w:fill="auto"/>
            <w:vAlign w:val="top"/>
          </w:tcPr>
          <w:p w14:paraId="6D22D4B5">
            <w:pPr>
              <w:pStyle w:val="26"/>
              <w:widowControl w:val="0"/>
              <w:spacing w:before="54" w:line="219" w:lineRule="auto"/>
              <w:ind w:left="13" w:leftChars="0"/>
              <w:rPr>
                <w:rFonts w:hint="default" w:ascii="宋体" w:hAnsi="宋体" w:eastAsia="宋体" w:cs="宋体"/>
                <w:kern w:val="2"/>
                <w:sz w:val="24"/>
                <w:szCs w:val="24"/>
                <w:lang w:val="en-US" w:eastAsia="zh-CN" w:bidi="ar-SA"/>
              </w:rPr>
            </w:pPr>
            <w:r>
              <w:rPr>
                <w:color w:val="333333"/>
                <w:spacing w:val="-3"/>
              </w:rPr>
              <w:t>机会很小</w:t>
            </w:r>
          </w:p>
        </w:tc>
        <w:tc>
          <w:tcPr>
            <w:tcW w:w="1367" w:type="dxa"/>
            <w:shd w:val="clear" w:color="auto" w:fill="auto"/>
            <w:vAlign w:val="top"/>
          </w:tcPr>
          <w:p w14:paraId="02E18E59">
            <w:pPr>
              <w:pStyle w:val="26"/>
              <w:widowControl w:val="0"/>
              <w:spacing w:before="54" w:line="241" w:lineRule="auto"/>
              <w:ind w:left="644" w:leftChars="0"/>
              <w:rPr>
                <w:rFonts w:hint="default" w:ascii="宋体" w:hAnsi="宋体" w:eastAsia="宋体" w:cs="宋体"/>
                <w:kern w:val="2"/>
                <w:sz w:val="24"/>
                <w:szCs w:val="24"/>
                <w:lang w:val="en-US" w:eastAsia="zh-CN" w:bidi="ar-SA"/>
              </w:rPr>
            </w:pPr>
            <w:r>
              <w:rPr>
                <w:color w:val="333333"/>
              </w:rPr>
              <w:t>1</w:t>
            </w:r>
          </w:p>
        </w:tc>
      </w:tr>
    </w:tbl>
    <w:p w14:paraId="7A61DC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风险影响程度（量化值为 1~~3）</w:t>
      </w:r>
    </w:p>
    <w:p w14:paraId="528199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风险影响程度是指当风险发生时，从成本，进度和技术目标三方面可能会对项目产生的综合影响。其量化评价要按下列三级划分：</w:t>
      </w:r>
    </w:p>
    <w:tbl>
      <w:tblPr>
        <w:tblStyle w:val="20"/>
        <w:tblW w:w="7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251"/>
        <w:gridCol w:w="2517"/>
        <w:gridCol w:w="2265"/>
        <w:gridCol w:w="1038"/>
      </w:tblGrid>
      <w:tr w14:paraId="1226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E6E6E6"/>
            <w:vAlign w:val="top"/>
          </w:tcPr>
          <w:p w14:paraId="02A086FC">
            <w:pPr>
              <w:pStyle w:val="26"/>
              <w:widowControl w:val="0"/>
              <w:spacing w:before="55" w:line="220" w:lineRule="auto"/>
              <w:ind w:left="168" w:leftChars="0"/>
              <w:rPr>
                <w:rFonts w:hint="default" w:ascii="宋体" w:hAnsi="宋体" w:eastAsia="宋体" w:cs="宋体"/>
                <w:kern w:val="2"/>
                <w:sz w:val="24"/>
                <w:szCs w:val="24"/>
                <w:lang w:val="en-US" w:eastAsia="zh-CN" w:bidi="ar-SA"/>
              </w:rPr>
            </w:pPr>
            <w:r>
              <w:rPr>
                <w:b/>
                <w:bCs/>
                <w:color w:val="333333"/>
                <w:spacing w:val="-9"/>
              </w:rPr>
              <w:t>准则</w:t>
            </w:r>
          </w:p>
        </w:tc>
        <w:tc>
          <w:tcPr>
            <w:tcW w:w="1251" w:type="dxa"/>
            <w:shd w:val="clear" w:color="auto" w:fill="E6E6E6"/>
            <w:vAlign w:val="top"/>
          </w:tcPr>
          <w:p w14:paraId="40AEF1F9">
            <w:pPr>
              <w:pStyle w:val="26"/>
              <w:widowControl w:val="0"/>
              <w:spacing w:before="55" w:line="219" w:lineRule="auto"/>
              <w:ind w:left="393" w:leftChars="0"/>
              <w:rPr>
                <w:rFonts w:hint="default" w:ascii="宋体" w:hAnsi="宋体" w:eastAsia="宋体" w:cs="宋体"/>
                <w:kern w:val="2"/>
                <w:sz w:val="24"/>
                <w:szCs w:val="24"/>
                <w:lang w:val="en-US" w:eastAsia="zh-CN" w:bidi="ar-SA"/>
              </w:rPr>
            </w:pPr>
            <w:r>
              <w:rPr>
                <w:b/>
                <w:bCs/>
                <w:color w:val="333333"/>
                <w:spacing w:val="-9"/>
              </w:rPr>
              <w:t>成本</w:t>
            </w:r>
          </w:p>
        </w:tc>
        <w:tc>
          <w:tcPr>
            <w:tcW w:w="2517" w:type="dxa"/>
            <w:shd w:val="clear" w:color="auto" w:fill="E6E6E6"/>
            <w:vAlign w:val="top"/>
          </w:tcPr>
          <w:p w14:paraId="6D5A30C2">
            <w:pPr>
              <w:pStyle w:val="26"/>
              <w:widowControl w:val="0"/>
              <w:spacing w:before="55" w:line="220" w:lineRule="auto"/>
              <w:ind w:left="1027" w:leftChars="0"/>
              <w:rPr>
                <w:rFonts w:hint="default" w:ascii="宋体" w:hAnsi="宋体" w:eastAsia="宋体" w:cs="宋体"/>
                <w:kern w:val="2"/>
                <w:sz w:val="24"/>
                <w:szCs w:val="24"/>
                <w:lang w:val="en-US" w:eastAsia="zh-CN" w:bidi="ar-SA"/>
              </w:rPr>
            </w:pPr>
            <w:r>
              <w:rPr>
                <w:b/>
                <w:bCs/>
                <w:color w:val="333333"/>
                <w:spacing w:val="-7"/>
              </w:rPr>
              <w:t>进度</w:t>
            </w:r>
          </w:p>
        </w:tc>
        <w:tc>
          <w:tcPr>
            <w:tcW w:w="2265" w:type="dxa"/>
            <w:shd w:val="clear" w:color="auto" w:fill="E6E6E6"/>
            <w:vAlign w:val="top"/>
          </w:tcPr>
          <w:p w14:paraId="683CD676">
            <w:pPr>
              <w:pStyle w:val="26"/>
              <w:widowControl w:val="0"/>
              <w:spacing w:before="56" w:line="219" w:lineRule="auto"/>
              <w:ind w:left="661" w:leftChars="0"/>
              <w:rPr>
                <w:rFonts w:hint="default" w:ascii="宋体" w:hAnsi="宋体" w:eastAsia="宋体" w:cs="宋体"/>
                <w:kern w:val="2"/>
                <w:sz w:val="24"/>
                <w:szCs w:val="24"/>
                <w:lang w:val="en-US" w:eastAsia="zh-CN" w:bidi="ar-SA"/>
              </w:rPr>
            </w:pPr>
            <w:r>
              <w:rPr>
                <w:b/>
                <w:bCs/>
                <w:color w:val="333333"/>
                <w:spacing w:val="-5"/>
              </w:rPr>
              <w:t>技术目标</w:t>
            </w:r>
          </w:p>
        </w:tc>
        <w:tc>
          <w:tcPr>
            <w:tcW w:w="1038" w:type="dxa"/>
            <w:shd w:val="clear" w:color="auto" w:fill="E6E6E6"/>
            <w:vAlign w:val="top"/>
          </w:tcPr>
          <w:p w14:paraId="4188F646">
            <w:pPr>
              <w:pStyle w:val="26"/>
              <w:widowControl w:val="0"/>
              <w:spacing w:before="55" w:line="218" w:lineRule="auto"/>
              <w:ind w:left="133" w:leftChars="0"/>
              <w:rPr>
                <w:rFonts w:hint="default" w:ascii="宋体" w:hAnsi="宋体" w:eastAsia="宋体" w:cs="宋体"/>
                <w:kern w:val="2"/>
                <w:sz w:val="24"/>
                <w:szCs w:val="24"/>
                <w:lang w:val="en-US" w:eastAsia="zh-CN" w:bidi="ar-SA"/>
              </w:rPr>
            </w:pPr>
            <w:r>
              <w:rPr>
                <w:b/>
                <w:bCs/>
                <w:color w:val="333333"/>
                <w:spacing w:val="-8"/>
              </w:rPr>
              <w:t>估计</w:t>
            </w:r>
          </w:p>
        </w:tc>
      </w:tr>
      <w:tr w14:paraId="0EDA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4154F5E0">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rPr>
              <w:t>高</w:t>
            </w:r>
          </w:p>
        </w:tc>
        <w:tc>
          <w:tcPr>
            <w:tcW w:w="1251" w:type="dxa"/>
            <w:shd w:val="clear" w:color="auto" w:fill="auto"/>
            <w:vAlign w:val="top"/>
          </w:tcPr>
          <w:p w14:paraId="20206B82">
            <w:pPr>
              <w:pStyle w:val="26"/>
              <w:widowControl w:val="0"/>
              <w:spacing w:before="50" w:line="221" w:lineRule="auto"/>
              <w:ind w:left="35" w:leftChars="0"/>
              <w:rPr>
                <w:rFonts w:hint="default" w:ascii="宋体" w:hAnsi="宋体" w:eastAsia="宋体" w:cs="宋体"/>
                <w:kern w:val="2"/>
                <w:sz w:val="24"/>
                <w:szCs w:val="24"/>
                <w:lang w:val="en-US" w:eastAsia="zh-CN" w:bidi="ar-SA"/>
              </w:rPr>
            </w:pPr>
            <w:r>
              <w:rPr>
                <w:color w:val="333333"/>
                <w:spacing w:val="-5"/>
              </w:rPr>
              <w:t>10％或更多</w:t>
            </w:r>
          </w:p>
        </w:tc>
        <w:tc>
          <w:tcPr>
            <w:tcW w:w="2517" w:type="dxa"/>
            <w:shd w:val="clear" w:color="auto" w:fill="auto"/>
            <w:vAlign w:val="top"/>
          </w:tcPr>
          <w:p w14:paraId="1DFB647D">
            <w:pPr>
              <w:pStyle w:val="26"/>
              <w:widowControl w:val="0"/>
              <w:spacing w:before="50" w:line="342" w:lineRule="auto"/>
              <w:ind w:left="28" w:leftChars="0" w:right="90" w:rightChars="0" w:firstLine="24"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上</w:t>
            </w:r>
          </w:p>
        </w:tc>
        <w:tc>
          <w:tcPr>
            <w:tcW w:w="2265" w:type="dxa"/>
            <w:shd w:val="clear" w:color="auto" w:fill="auto"/>
            <w:vAlign w:val="top"/>
          </w:tcPr>
          <w:p w14:paraId="7C7BEB9E">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spacing w:val="-3"/>
              </w:rPr>
              <w:t>功能无法完成</w:t>
            </w:r>
          </w:p>
        </w:tc>
        <w:tc>
          <w:tcPr>
            <w:tcW w:w="1038" w:type="dxa"/>
            <w:shd w:val="clear" w:color="auto" w:fill="auto"/>
            <w:vAlign w:val="top"/>
          </w:tcPr>
          <w:p w14:paraId="35FA149E">
            <w:pPr>
              <w:pStyle w:val="26"/>
              <w:widowControl w:val="0"/>
              <w:spacing w:before="49"/>
              <w:ind w:left="317" w:leftChars="0"/>
              <w:rPr>
                <w:rFonts w:hint="default" w:ascii="宋体" w:hAnsi="宋体" w:eastAsia="宋体" w:cs="宋体"/>
                <w:kern w:val="2"/>
                <w:sz w:val="24"/>
                <w:szCs w:val="24"/>
                <w:lang w:val="en-US" w:eastAsia="zh-CN" w:bidi="ar-SA"/>
              </w:rPr>
            </w:pPr>
            <w:r>
              <w:rPr>
                <w:color w:val="333333"/>
              </w:rPr>
              <w:t>3</w:t>
            </w:r>
          </w:p>
        </w:tc>
      </w:tr>
      <w:tr w14:paraId="52F9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793B690F">
            <w:pPr>
              <w:pStyle w:val="26"/>
              <w:widowControl w:val="0"/>
              <w:spacing w:before="53" w:line="219" w:lineRule="auto"/>
              <w:ind w:left="49" w:leftChars="0"/>
              <w:rPr>
                <w:rFonts w:hint="default" w:ascii="宋体" w:hAnsi="宋体" w:eastAsia="宋体" w:cs="宋体"/>
                <w:kern w:val="2"/>
                <w:sz w:val="24"/>
                <w:szCs w:val="24"/>
                <w:lang w:val="en-US" w:eastAsia="zh-CN" w:bidi="ar-SA"/>
              </w:rPr>
            </w:pPr>
            <w:r>
              <w:rPr>
                <w:color w:val="333333"/>
                <w:spacing w:val="-16"/>
              </w:rPr>
              <w:t>中等</w:t>
            </w:r>
          </w:p>
        </w:tc>
        <w:tc>
          <w:tcPr>
            <w:tcW w:w="1251" w:type="dxa"/>
            <w:shd w:val="clear" w:color="auto" w:fill="auto"/>
            <w:vAlign w:val="top"/>
          </w:tcPr>
          <w:p w14:paraId="15159019">
            <w:pPr>
              <w:pStyle w:val="26"/>
              <w:widowControl w:val="0"/>
              <w:spacing w:before="52" w:line="221" w:lineRule="auto"/>
              <w:ind w:left="16" w:leftChars="0"/>
              <w:rPr>
                <w:rFonts w:hint="default" w:ascii="宋体" w:hAnsi="宋体" w:eastAsia="宋体" w:cs="宋体"/>
                <w:kern w:val="2"/>
                <w:sz w:val="24"/>
                <w:szCs w:val="24"/>
                <w:lang w:val="en-US" w:eastAsia="zh-CN" w:bidi="ar-SA"/>
              </w:rPr>
            </w:pPr>
            <w:r>
              <w:rPr>
                <w:color w:val="333333"/>
                <w:spacing w:val="10"/>
              </w:rPr>
              <w:t>低于</w:t>
            </w:r>
            <w:r>
              <w:rPr>
                <w:color w:val="333333"/>
                <w:spacing w:val="-32"/>
              </w:rPr>
              <w:t xml:space="preserve"> </w:t>
            </w:r>
            <w:r>
              <w:rPr>
                <w:color w:val="333333"/>
                <w:spacing w:val="10"/>
              </w:rPr>
              <w:t>10%</w:t>
            </w:r>
          </w:p>
        </w:tc>
        <w:tc>
          <w:tcPr>
            <w:tcW w:w="2517" w:type="dxa"/>
            <w:shd w:val="clear" w:color="auto" w:fill="auto"/>
            <w:vAlign w:val="top"/>
          </w:tcPr>
          <w:p w14:paraId="3EC480A5">
            <w:pPr>
              <w:pStyle w:val="26"/>
              <w:widowControl w:val="0"/>
              <w:spacing w:before="51" w:line="342" w:lineRule="auto"/>
              <w:ind w:left="54" w:leftChars="0" w:right="90" w:rightChars="0" w:hanging="2"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内</w:t>
            </w:r>
          </w:p>
        </w:tc>
        <w:tc>
          <w:tcPr>
            <w:tcW w:w="2265" w:type="dxa"/>
            <w:shd w:val="clear" w:color="auto" w:fill="auto"/>
            <w:vAlign w:val="top"/>
          </w:tcPr>
          <w:p w14:paraId="031B1F12">
            <w:pPr>
              <w:pStyle w:val="26"/>
              <w:widowControl w:val="0"/>
              <w:spacing w:before="52" w:line="220" w:lineRule="auto"/>
              <w:ind w:left="28" w:leftChars="0"/>
              <w:rPr>
                <w:rFonts w:hint="default" w:ascii="宋体" w:hAnsi="宋体" w:eastAsia="宋体" w:cs="宋体"/>
                <w:kern w:val="2"/>
                <w:sz w:val="24"/>
                <w:szCs w:val="24"/>
                <w:lang w:val="en-US" w:eastAsia="zh-CN" w:bidi="ar-SA"/>
              </w:rPr>
            </w:pPr>
            <w:r>
              <w:rPr>
                <w:color w:val="333333"/>
                <w:spacing w:val="-2"/>
              </w:rPr>
              <w:t>对性能有严重影响</w:t>
            </w:r>
          </w:p>
        </w:tc>
        <w:tc>
          <w:tcPr>
            <w:tcW w:w="1038" w:type="dxa"/>
            <w:shd w:val="clear" w:color="auto" w:fill="auto"/>
            <w:vAlign w:val="top"/>
          </w:tcPr>
          <w:p w14:paraId="6AD75B6B">
            <w:pPr>
              <w:pStyle w:val="26"/>
              <w:widowControl w:val="0"/>
              <w:spacing w:before="52" w:line="241" w:lineRule="auto"/>
              <w:ind w:left="316" w:leftChars="0"/>
              <w:rPr>
                <w:rFonts w:hint="default" w:ascii="宋体" w:hAnsi="宋体" w:eastAsia="宋体" w:cs="宋体"/>
                <w:kern w:val="2"/>
                <w:sz w:val="24"/>
                <w:szCs w:val="24"/>
                <w:lang w:val="en-US" w:eastAsia="zh-CN" w:bidi="ar-SA"/>
              </w:rPr>
            </w:pPr>
            <w:r>
              <w:rPr>
                <w:color w:val="333333"/>
              </w:rPr>
              <w:t>2</w:t>
            </w:r>
          </w:p>
        </w:tc>
      </w:tr>
      <w:tr w14:paraId="6D39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1F94A0B9">
            <w:pPr>
              <w:pStyle w:val="26"/>
              <w:widowControl w:val="0"/>
              <w:spacing w:before="56" w:line="221" w:lineRule="auto"/>
              <w:ind w:left="26" w:leftChars="0"/>
              <w:rPr>
                <w:rFonts w:hint="default" w:ascii="宋体" w:hAnsi="宋体" w:eastAsia="宋体" w:cs="宋体"/>
                <w:kern w:val="2"/>
                <w:sz w:val="24"/>
                <w:szCs w:val="24"/>
                <w:lang w:val="en-US" w:eastAsia="zh-CN" w:bidi="ar-SA"/>
              </w:rPr>
            </w:pPr>
            <w:r>
              <w:rPr>
                <w:color w:val="333333"/>
              </w:rPr>
              <w:t>低</w:t>
            </w:r>
          </w:p>
        </w:tc>
        <w:tc>
          <w:tcPr>
            <w:tcW w:w="1251" w:type="dxa"/>
            <w:shd w:val="clear" w:color="auto" w:fill="auto"/>
            <w:vAlign w:val="top"/>
          </w:tcPr>
          <w:p w14:paraId="214358AC">
            <w:pPr>
              <w:pStyle w:val="26"/>
              <w:widowControl w:val="0"/>
              <w:spacing w:before="56" w:line="221" w:lineRule="auto"/>
              <w:ind w:left="16" w:leftChars="0"/>
              <w:rPr>
                <w:rFonts w:hint="default" w:ascii="宋体" w:hAnsi="宋体" w:eastAsia="宋体" w:cs="宋体"/>
                <w:kern w:val="2"/>
                <w:sz w:val="24"/>
                <w:szCs w:val="24"/>
                <w:lang w:val="en-US" w:eastAsia="zh-CN" w:bidi="ar-SA"/>
              </w:rPr>
            </w:pPr>
            <w:r>
              <w:rPr>
                <w:color w:val="333333"/>
                <w:spacing w:val="16"/>
              </w:rPr>
              <w:t>低于</w:t>
            </w:r>
            <w:r>
              <w:rPr>
                <w:color w:val="333333"/>
                <w:spacing w:val="-46"/>
              </w:rPr>
              <w:t xml:space="preserve"> </w:t>
            </w:r>
            <w:r>
              <w:rPr>
                <w:color w:val="333333"/>
                <w:spacing w:val="16"/>
              </w:rPr>
              <w:t>2%</w:t>
            </w:r>
          </w:p>
        </w:tc>
        <w:tc>
          <w:tcPr>
            <w:tcW w:w="2517" w:type="dxa"/>
            <w:shd w:val="clear" w:color="auto" w:fill="auto"/>
            <w:vAlign w:val="top"/>
          </w:tcPr>
          <w:p w14:paraId="1FC25158">
            <w:pPr>
              <w:pStyle w:val="26"/>
              <w:widowControl w:val="0"/>
              <w:spacing w:before="57" w:line="219" w:lineRule="auto"/>
              <w:ind w:left="52" w:left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7"/>
              </w:rPr>
              <w:t xml:space="preserve"> </w:t>
            </w:r>
            <w:r>
              <w:rPr>
                <w:color w:val="333333"/>
                <w:spacing w:val="-8"/>
              </w:rPr>
              <w:t>1</w:t>
            </w:r>
            <w:r>
              <w:rPr>
                <w:color w:val="333333"/>
                <w:spacing w:val="-50"/>
              </w:rPr>
              <w:t xml:space="preserve"> </w:t>
            </w:r>
            <w:r>
              <w:rPr>
                <w:color w:val="333333"/>
                <w:spacing w:val="-8"/>
              </w:rPr>
              <w:t>周以内</w:t>
            </w:r>
          </w:p>
        </w:tc>
        <w:tc>
          <w:tcPr>
            <w:tcW w:w="2265" w:type="dxa"/>
            <w:shd w:val="clear" w:color="auto" w:fill="auto"/>
            <w:vAlign w:val="top"/>
          </w:tcPr>
          <w:p w14:paraId="6079C8BB">
            <w:pPr>
              <w:pStyle w:val="26"/>
              <w:widowControl w:val="0"/>
              <w:spacing w:before="56" w:line="220" w:lineRule="auto"/>
              <w:ind w:left="28" w:leftChars="0"/>
              <w:rPr>
                <w:rFonts w:hint="default" w:ascii="宋体" w:hAnsi="宋体" w:eastAsia="宋体" w:cs="宋体"/>
                <w:kern w:val="2"/>
                <w:sz w:val="24"/>
                <w:szCs w:val="24"/>
                <w:lang w:val="en-US" w:eastAsia="zh-CN" w:bidi="ar-SA"/>
              </w:rPr>
            </w:pPr>
            <w:r>
              <w:rPr>
                <w:color w:val="333333"/>
                <w:spacing w:val="-2"/>
              </w:rPr>
              <w:t>对性能有一定影响</w:t>
            </w:r>
          </w:p>
        </w:tc>
        <w:tc>
          <w:tcPr>
            <w:tcW w:w="1038" w:type="dxa"/>
            <w:shd w:val="clear" w:color="auto" w:fill="auto"/>
            <w:vAlign w:val="top"/>
          </w:tcPr>
          <w:p w14:paraId="017E0DB3">
            <w:pPr>
              <w:pStyle w:val="26"/>
              <w:widowControl w:val="0"/>
              <w:spacing w:before="56" w:line="241" w:lineRule="auto"/>
              <w:ind w:left="330" w:leftChars="0"/>
              <w:rPr>
                <w:rFonts w:hint="default" w:ascii="宋体" w:hAnsi="宋体" w:eastAsia="宋体" w:cs="宋体"/>
                <w:kern w:val="2"/>
                <w:sz w:val="24"/>
                <w:szCs w:val="24"/>
                <w:lang w:val="en-US" w:eastAsia="zh-CN" w:bidi="ar-SA"/>
              </w:rPr>
            </w:pPr>
            <w:r>
              <w:rPr>
                <w:color w:val="333333"/>
              </w:rPr>
              <w:t>1</w:t>
            </w:r>
          </w:p>
        </w:tc>
      </w:tr>
    </w:tbl>
    <w:p w14:paraId="3670FC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D57F03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发生时段（量化值为 1~~3）</w:t>
      </w:r>
    </w:p>
    <w:p w14:paraId="3822D7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发生时段：根据项目的完成时间跨度、风险的发生时间，解决风险的准备时间，按三级量化评价。</w:t>
      </w:r>
    </w:p>
    <w:tbl>
      <w:tblPr>
        <w:tblStyle w:val="20"/>
        <w:tblW w:w="8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149"/>
        <w:gridCol w:w="3203"/>
        <w:gridCol w:w="1213"/>
      </w:tblGrid>
      <w:tr w14:paraId="79F7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E6E6E6"/>
            <w:vAlign w:val="top"/>
          </w:tcPr>
          <w:p w14:paraId="64212BA8">
            <w:pPr>
              <w:pStyle w:val="26"/>
              <w:widowControl w:val="0"/>
              <w:spacing w:before="55" w:line="220" w:lineRule="auto"/>
              <w:ind w:left="507" w:leftChars="0"/>
              <w:rPr>
                <w:rFonts w:hint="default" w:ascii="宋体" w:hAnsi="宋体" w:eastAsia="宋体" w:cs="宋体"/>
                <w:kern w:val="2"/>
                <w:sz w:val="24"/>
                <w:szCs w:val="24"/>
                <w:lang w:val="en-US" w:eastAsia="zh-CN" w:bidi="ar-SA"/>
              </w:rPr>
            </w:pPr>
            <w:r>
              <w:rPr>
                <w:b/>
                <w:bCs/>
                <w:color w:val="333333"/>
                <w:spacing w:val="-9"/>
              </w:rPr>
              <w:t>准则</w:t>
            </w:r>
          </w:p>
        </w:tc>
        <w:tc>
          <w:tcPr>
            <w:tcW w:w="2149" w:type="dxa"/>
            <w:shd w:val="clear" w:color="auto" w:fill="E6E6E6"/>
            <w:vAlign w:val="top"/>
          </w:tcPr>
          <w:p w14:paraId="40663171">
            <w:pPr>
              <w:pStyle w:val="26"/>
              <w:widowControl w:val="0"/>
              <w:spacing w:before="55" w:line="220" w:lineRule="auto"/>
              <w:ind w:left="992" w:leftChars="0"/>
              <w:rPr>
                <w:rFonts w:hint="default" w:ascii="宋体" w:hAnsi="宋体" w:eastAsia="宋体" w:cs="宋体"/>
                <w:kern w:val="2"/>
                <w:sz w:val="24"/>
                <w:szCs w:val="24"/>
                <w:lang w:val="en-US" w:eastAsia="zh-CN" w:bidi="ar-SA"/>
              </w:rPr>
            </w:pPr>
            <w:r>
              <w:rPr>
                <w:b/>
                <w:bCs/>
                <w:color w:val="333333"/>
                <w:spacing w:val="-6"/>
              </w:rPr>
              <w:t>发生时间</w:t>
            </w:r>
          </w:p>
        </w:tc>
        <w:tc>
          <w:tcPr>
            <w:tcW w:w="3203" w:type="dxa"/>
            <w:shd w:val="clear" w:color="auto" w:fill="E6E6E6"/>
            <w:vAlign w:val="top"/>
          </w:tcPr>
          <w:p w14:paraId="0F6ACCC3">
            <w:pPr>
              <w:pStyle w:val="26"/>
              <w:widowControl w:val="0"/>
              <w:spacing w:before="56" w:line="219" w:lineRule="auto"/>
              <w:ind w:left="485" w:leftChars="0"/>
              <w:rPr>
                <w:rFonts w:hint="default" w:ascii="宋体" w:hAnsi="宋体" w:eastAsia="宋体" w:cs="宋体"/>
                <w:kern w:val="2"/>
                <w:sz w:val="24"/>
                <w:szCs w:val="24"/>
                <w:lang w:val="en-US" w:eastAsia="zh-CN" w:bidi="ar-SA"/>
              </w:rPr>
            </w:pPr>
            <w:r>
              <w:rPr>
                <w:b/>
                <w:bCs/>
                <w:color w:val="333333"/>
                <w:spacing w:val="-4"/>
              </w:rPr>
              <w:t>解决准备时间</w:t>
            </w:r>
          </w:p>
        </w:tc>
        <w:tc>
          <w:tcPr>
            <w:tcW w:w="1213" w:type="dxa"/>
            <w:shd w:val="clear" w:color="auto" w:fill="E6E6E6"/>
            <w:vAlign w:val="top"/>
          </w:tcPr>
          <w:p w14:paraId="68107D51">
            <w:pPr>
              <w:pStyle w:val="26"/>
              <w:widowControl w:val="0"/>
              <w:spacing w:before="55" w:line="218" w:lineRule="auto"/>
              <w:ind w:left="369" w:leftChars="0"/>
              <w:rPr>
                <w:rFonts w:hint="default" w:ascii="宋体" w:hAnsi="宋体" w:eastAsia="宋体" w:cs="宋体"/>
                <w:kern w:val="2"/>
                <w:sz w:val="24"/>
                <w:szCs w:val="24"/>
                <w:lang w:val="en-US" w:eastAsia="zh-CN" w:bidi="ar-SA"/>
              </w:rPr>
            </w:pPr>
            <w:r>
              <w:rPr>
                <w:b/>
                <w:bCs/>
                <w:color w:val="333333"/>
                <w:spacing w:val="-8"/>
              </w:rPr>
              <w:t>估计</w:t>
            </w:r>
          </w:p>
        </w:tc>
      </w:tr>
      <w:tr w14:paraId="6AF74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25EEACD6">
            <w:pPr>
              <w:pStyle w:val="26"/>
              <w:widowControl w:val="0"/>
              <w:spacing w:before="50" w:line="228" w:lineRule="auto"/>
              <w:ind w:left="27" w:leftChars="0"/>
              <w:rPr>
                <w:rFonts w:hint="default" w:ascii="宋体" w:hAnsi="宋体" w:eastAsia="宋体" w:cs="宋体"/>
                <w:kern w:val="2"/>
                <w:sz w:val="24"/>
                <w:szCs w:val="24"/>
                <w:lang w:val="en-US" w:eastAsia="zh-CN" w:bidi="ar-SA"/>
              </w:rPr>
            </w:pPr>
            <w:r>
              <w:rPr>
                <w:color w:val="333333"/>
              </w:rPr>
              <w:t>近</w:t>
            </w:r>
          </w:p>
        </w:tc>
        <w:tc>
          <w:tcPr>
            <w:tcW w:w="2149" w:type="dxa"/>
            <w:shd w:val="clear" w:color="auto" w:fill="auto"/>
            <w:vAlign w:val="top"/>
          </w:tcPr>
          <w:p w14:paraId="1B65D718">
            <w:pPr>
              <w:pStyle w:val="26"/>
              <w:widowControl w:val="0"/>
              <w:spacing w:before="50" w:line="219" w:lineRule="auto"/>
              <w:ind w:left="14" w:leftChars="0"/>
              <w:rPr>
                <w:rFonts w:hint="default" w:ascii="宋体" w:hAnsi="宋体" w:eastAsia="宋体" w:cs="宋体"/>
                <w:kern w:val="2"/>
                <w:sz w:val="24"/>
                <w:szCs w:val="24"/>
                <w:lang w:val="en-US" w:eastAsia="zh-CN" w:bidi="ar-SA"/>
              </w:rPr>
            </w:pPr>
            <w:r>
              <w:rPr>
                <w:spacing w:val="-4"/>
              </w:rPr>
              <w:t>本阶段</w:t>
            </w:r>
          </w:p>
        </w:tc>
        <w:tc>
          <w:tcPr>
            <w:tcW w:w="3203" w:type="dxa"/>
            <w:shd w:val="clear" w:color="auto" w:fill="auto"/>
            <w:vAlign w:val="top"/>
          </w:tcPr>
          <w:p w14:paraId="29A1B990">
            <w:pPr>
              <w:pStyle w:val="26"/>
              <w:widowControl w:val="0"/>
              <w:spacing w:before="51" w:line="342" w:lineRule="auto"/>
              <w:ind w:left="15" w:leftChars="0" w:right="7" w:rightChars="0"/>
              <w:rPr>
                <w:rFonts w:hint="default" w:ascii="宋体" w:hAnsi="宋体" w:eastAsia="宋体" w:cs="宋体"/>
                <w:kern w:val="2"/>
                <w:sz w:val="24"/>
                <w:szCs w:val="24"/>
                <w:lang w:val="en-US" w:eastAsia="zh-CN" w:bidi="ar-SA"/>
              </w:rPr>
            </w:pPr>
            <w:r>
              <w:rPr>
                <w:spacing w:val="-2"/>
              </w:rPr>
              <w:t>三个月内准备（项目根</w:t>
            </w:r>
            <w:r>
              <w:rPr>
                <w:spacing w:val="-3"/>
              </w:rPr>
              <w:t>据具体情况自行定义）</w:t>
            </w:r>
          </w:p>
        </w:tc>
        <w:tc>
          <w:tcPr>
            <w:tcW w:w="1213" w:type="dxa"/>
            <w:shd w:val="clear" w:color="auto" w:fill="auto"/>
            <w:vAlign w:val="top"/>
          </w:tcPr>
          <w:p w14:paraId="44AC6606">
            <w:pPr>
              <w:pStyle w:val="26"/>
              <w:widowControl w:val="0"/>
              <w:spacing w:before="50"/>
              <w:ind w:left="556" w:leftChars="0"/>
              <w:rPr>
                <w:rFonts w:hint="default" w:ascii="宋体" w:hAnsi="宋体" w:eastAsia="宋体" w:cs="宋体"/>
                <w:kern w:val="2"/>
                <w:sz w:val="24"/>
                <w:szCs w:val="24"/>
                <w:lang w:val="en-US" w:eastAsia="zh-CN" w:bidi="ar-SA"/>
              </w:rPr>
            </w:pPr>
            <w:r>
              <w:rPr>
                <w:color w:val="333333"/>
              </w:rPr>
              <w:t>3</w:t>
            </w:r>
          </w:p>
        </w:tc>
      </w:tr>
      <w:tr w14:paraId="0B54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056869A4">
            <w:pPr>
              <w:pStyle w:val="26"/>
              <w:widowControl w:val="0"/>
              <w:spacing w:before="52" w:line="220" w:lineRule="auto"/>
              <w:ind w:left="50" w:leftChars="0"/>
              <w:rPr>
                <w:rFonts w:hint="default" w:ascii="宋体" w:hAnsi="宋体" w:eastAsia="宋体" w:cs="宋体"/>
                <w:kern w:val="2"/>
                <w:sz w:val="24"/>
                <w:szCs w:val="24"/>
                <w:lang w:val="en-US" w:eastAsia="zh-CN" w:bidi="ar-SA"/>
              </w:rPr>
            </w:pPr>
            <w:r>
              <w:rPr>
                <w:color w:val="333333"/>
              </w:rPr>
              <w:t>中</w:t>
            </w:r>
          </w:p>
        </w:tc>
        <w:tc>
          <w:tcPr>
            <w:tcW w:w="2149" w:type="dxa"/>
            <w:shd w:val="clear" w:color="auto" w:fill="auto"/>
            <w:vAlign w:val="top"/>
          </w:tcPr>
          <w:p w14:paraId="3AE5B0F3">
            <w:pPr>
              <w:pStyle w:val="26"/>
              <w:widowControl w:val="0"/>
              <w:spacing w:before="51" w:line="221" w:lineRule="auto"/>
              <w:ind w:left="21" w:leftChars="0"/>
              <w:rPr>
                <w:rFonts w:hint="default" w:ascii="宋体" w:hAnsi="宋体" w:eastAsia="宋体" w:cs="宋体"/>
                <w:kern w:val="2"/>
                <w:sz w:val="24"/>
                <w:szCs w:val="24"/>
                <w:lang w:val="en-US" w:eastAsia="zh-CN" w:bidi="ar-SA"/>
              </w:rPr>
            </w:pPr>
            <w:r>
              <w:rPr>
                <w:spacing w:val="-6"/>
              </w:rPr>
              <w:t>下阶段</w:t>
            </w:r>
          </w:p>
        </w:tc>
        <w:tc>
          <w:tcPr>
            <w:tcW w:w="3203" w:type="dxa"/>
            <w:shd w:val="clear" w:color="auto" w:fill="auto"/>
            <w:vAlign w:val="top"/>
          </w:tcPr>
          <w:p w14:paraId="14B03061">
            <w:pPr>
              <w:pStyle w:val="26"/>
              <w:widowControl w:val="0"/>
              <w:spacing w:before="51" w:line="342"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二个月内准备（项目根</w:t>
            </w:r>
            <w:r>
              <w:rPr>
                <w:spacing w:val="-1"/>
              </w:rPr>
              <w:t>据具体情况自行定义</w:t>
            </w:r>
          </w:p>
        </w:tc>
        <w:tc>
          <w:tcPr>
            <w:tcW w:w="1213" w:type="dxa"/>
            <w:shd w:val="clear" w:color="auto" w:fill="auto"/>
            <w:vAlign w:val="top"/>
          </w:tcPr>
          <w:p w14:paraId="2F636047">
            <w:pPr>
              <w:pStyle w:val="26"/>
              <w:widowControl w:val="0"/>
              <w:spacing w:before="51" w:line="241" w:lineRule="auto"/>
              <w:ind w:left="554" w:leftChars="0"/>
              <w:rPr>
                <w:rFonts w:hint="default" w:ascii="宋体" w:hAnsi="宋体" w:eastAsia="宋体" w:cs="宋体"/>
                <w:kern w:val="2"/>
                <w:sz w:val="24"/>
                <w:szCs w:val="24"/>
                <w:lang w:val="en-US" w:eastAsia="zh-CN" w:bidi="ar-SA"/>
              </w:rPr>
            </w:pPr>
            <w:r>
              <w:rPr>
                <w:color w:val="333333"/>
              </w:rPr>
              <w:t>2</w:t>
            </w:r>
          </w:p>
        </w:tc>
      </w:tr>
      <w:tr w14:paraId="4089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6" w:type="dxa"/>
            <w:shd w:val="clear" w:color="auto" w:fill="auto"/>
            <w:vAlign w:val="top"/>
          </w:tcPr>
          <w:p w14:paraId="298C9ACA">
            <w:pPr>
              <w:pStyle w:val="26"/>
              <w:widowControl w:val="0"/>
              <w:spacing w:before="56" w:line="227" w:lineRule="auto"/>
              <w:ind w:left="28" w:leftChars="0"/>
              <w:rPr>
                <w:rFonts w:hint="default" w:ascii="宋体" w:hAnsi="宋体" w:eastAsia="宋体" w:cs="宋体"/>
                <w:kern w:val="2"/>
                <w:sz w:val="24"/>
                <w:szCs w:val="24"/>
                <w:lang w:val="en-US" w:eastAsia="zh-CN" w:bidi="ar-SA"/>
              </w:rPr>
            </w:pPr>
            <w:r>
              <w:rPr>
                <w:color w:val="333333"/>
              </w:rPr>
              <w:t>远</w:t>
            </w:r>
          </w:p>
        </w:tc>
        <w:tc>
          <w:tcPr>
            <w:tcW w:w="2149" w:type="dxa"/>
            <w:shd w:val="clear" w:color="auto" w:fill="auto"/>
            <w:vAlign w:val="top"/>
          </w:tcPr>
          <w:p w14:paraId="266034AB">
            <w:pPr>
              <w:pStyle w:val="26"/>
              <w:widowControl w:val="0"/>
              <w:spacing w:before="55" w:line="221" w:lineRule="auto"/>
              <w:ind w:left="28" w:leftChars="0"/>
              <w:rPr>
                <w:rFonts w:hint="default" w:ascii="宋体" w:hAnsi="宋体" w:eastAsia="宋体" w:cs="宋体"/>
                <w:kern w:val="2"/>
                <w:sz w:val="24"/>
                <w:szCs w:val="24"/>
                <w:lang w:val="en-US" w:eastAsia="zh-CN" w:bidi="ar-SA"/>
              </w:rPr>
            </w:pPr>
            <w:r>
              <w:rPr>
                <w:spacing w:val="-8"/>
              </w:rPr>
              <w:t>隔阶段</w:t>
            </w:r>
          </w:p>
        </w:tc>
        <w:tc>
          <w:tcPr>
            <w:tcW w:w="3203" w:type="dxa"/>
            <w:shd w:val="clear" w:color="auto" w:fill="auto"/>
            <w:vAlign w:val="top"/>
          </w:tcPr>
          <w:p w14:paraId="3EB3A259">
            <w:pPr>
              <w:pStyle w:val="26"/>
              <w:widowControl w:val="0"/>
              <w:spacing w:before="55" w:line="349"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一个月内准备（项目根</w:t>
            </w:r>
            <w:r>
              <w:rPr>
                <w:spacing w:val="-1"/>
              </w:rPr>
              <w:t>据具体情况自行定义</w:t>
            </w:r>
          </w:p>
        </w:tc>
        <w:tc>
          <w:tcPr>
            <w:tcW w:w="1213" w:type="dxa"/>
            <w:shd w:val="clear" w:color="auto" w:fill="auto"/>
            <w:vAlign w:val="top"/>
          </w:tcPr>
          <w:p w14:paraId="778481F2">
            <w:pPr>
              <w:pStyle w:val="26"/>
              <w:widowControl w:val="0"/>
              <w:spacing w:before="55" w:line="241" w:lineRule="auto"/>
              <w:ind w:left="569" w:leftChars="0"/>
              <w:rPr>
                <w:rFonts w:hint="default" w:ascii="宋体" w:hAnsi="宋体" w:eastAsia="宋体" w:cs="宋体"/>
                <w:kern w:val="2"/>
                <w:sz w:val="24"/>
                <w:szCs w:val="24"/>
                <w:lang w:val="en-US" w:eastAsia="zh-CN" w:bidi="ar-SA"/>
              </w:rPr>
            </w:pPr>
            <w:r>
              <w:rPr>
                <w:color w:val="333333"/>
              </w:rPr>
              <w:t>1</w:t>
            </w:r>
          </w:p>
        </w:tc>
      </w:tr>
    </w:tbl>
    <w:p w14:paraId="636CA76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7B090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l 风险等级标准</w:t>
      </w:r>
    </w:p>
    <w:p w14:paraId="014E6B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风险等级＝风险发生概率*风险严重程度*发生时段生成下列风险值:1,2,3,4,6,8,9,12,18,27</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33C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6E6E6"/>
            <w:vAlign w:val="top"/>
          </w:tcPr>
          <w:p w14:paraId="57BC90A9">
            <w:pPr>
              <w:pStyle w:val="26"/>
              <w:widowControl w:val="0"/>
              <w:spacing w:before="56" w:line="219" w:lineRule="auto"/>
              <w:ind w:left="363" w:leftChars="0"/>
              <w:rPr>
                <w:rFonts w:hint="default" w:ascii="宋体" w:hAnsi="宋体" w:eastAsia="宋体" w:cs="宋体"/>
                <w:kern w:val="2"/>
                <w:sz w:val="24"/>
                <w:szCs w:val="24"/>
                <w:lang w:val="en-US" w:eastAsia="zh-CN" w:bidi="ar-SA"/>
              </w:rPr>
            </w:pPr>
            <w:r>
              <w:rPr>
                <w:b/>
                <w:bCs/>
                <w:spacing w:val="-5"/>
              </w:rPr>
              <w:t>风险等级</w:t>
            </w:r>
          </w:p>
        </w:tc>
        <w:tc>
          <w:tcPr>
            <w:tcW w:w="2841" w:type="dxa"/>
            <w:shd w:val="clear" w:color="auto" w:fill="E6E6E6"/>
            <w:vAlign w:val="top"/>
          </w:tcPr>
          <w:p w14:paraId="03DE6EB9">
            <w:pPr>
              <w:pStyle w:val="26"/>
              <w:widowControl w:val="0"/>
              <w:spacing w:before="56" w:line="342" w:lineRule="auto"/>
              <w:ind w:left="209" w:leftChars="0" w:right="3" w:rightChars="0" w:hanging="188" w:firstLineChars="0"/>
              <w:rPr>
                <w:rFonts w:hint="default" w:ascii="宋体" w:hAnsi="宋体" w:eastAsia="宋体" w:cs="宋体"/>
                <w:kern w:val="2"/>
                <w:sz w:val="24"/>
                <w:szCs w:val="24"/>
                <w:lang w:val="en-US" w:eastAsia="zh-CN" w:bidi="ar-SA"/>
              </w:rPr>
            </w:pPr>
            <w:r>
              <w:rPr>
                <w:b/>
                <w:bCs/>
                <w:spacing w:val="-4"/>
              </w:rPr>
              <w:t>风险等级数值</w:t>
            </w:r>
            <w:r>
              <w:rPr>
                <w:b/>
                <w:bCs/>
                <w:spacing w:val="-5"/>
              </w:rPr>
              <w:t>（1~~27）</w:t>
            </w:r>
          </w:p>
        </w:tc>
        <w:tc>
          <w:tcPr>
            <w:tcW w:w="2841" w:type="dxa"/>
            <w:shd w:val="clear" w:color="auto" w:fill="E6E6E6"/>
            <w:vAlign w:val="top"/>
          </w:tcPr>
          <w:p w14:paraId="2EA5BB22">
            <w:pPr>
              <w:pStyle w:val="26"/>
              <w:widowControl w:val="0"/>
              <w:spacing w:before="56" w:line="219" w:lineRule="auto"/>
              <w:jc w:val="left"/>
              <w:rPr>
                <w:rFonts w:hint="default" w:ascii="宋体" w:hAnsi="宋体" w:eastAsia="宋体" w:cs="宋体"/>
                <w:kern w:val="2"/>
                <w:sz w:val="24"/>
                <w:szCs w:val="24"/>
                <w:lang w:val="en-US" w:eastAsia="zh-CN" w:bidi="ar-SA"/>
              </w:rPr>
            </w:pPr>
            <w:r>
              <w:rPr>
                <w:b/>
                <w:bCs/>
                <w:spacing w:val="-5"/>
              </w:rPr>
              <w:t>缓解措施</w:t>
            </w:r>
          </w:p>
        </w:tc>
      </w:tr>
      <w:tr w14:paraId="27BB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0B9B8C5">
            <w:pPr>
              <w:pStyle w:val="26"/>
              <w:widowControl w:val="0"/>
              <w:spacing w:before="51" w:line="221" w:lineRule="auto"/>
              <w:ind w:left="291" w:leftChars="0"/>
              <w:rPr>
                <w:rFonts w:hint="default" w:ascii="宋体" w:hAnsi="宋体" w:eastAsia="宋体" w:cs="宋体"/>
                <w:kern w:val="2"/>
                <w:sz w:val="24"/>
                <w:szCs w:val="24"/>
                <w:lang w:val="en-US" w:eastAsia="zh-CN" w:bidi="ar-SA"/>
              </w:rPr>
            </w:pPr>
            <w:r>
              <w:rPr>
                <w:color w:val="333333"/>
                <w:spacing w:val="-7"/>
              </w:rPr>
              <w:t>1</w:t>
            </w:r>
            <w:r>
              <w:rPr>
                <w:color w:val="333333"/>
                <w:spacing w:val="-47"/>
              </w:rPr>
              <w:t xml:space="preserve"> </w:t>
            </w:r>
            <w:r>
              <w:rPr>
                <w:color w:val="333333"/>
                <w:spacing w:val="-7"/>
              </w:rPr>
              <w:t>级(低级)</w:t>
            </w:r>
          </w:p>
        </w:tc>
        <w:tc>
          <w:tcPr>
            <w:tcW w:w="2841" w:type="dxa"/>
            <w:shd w:val="clear" w:color="auto" w:fill="auto"/>
            <w:vAlign w:val="top"/>
          </w:tcPr>
          <w:p w14:paraId="477FFAD5">
            <w:pPr>
              <w:pStyle w:val="26"/>
              <w:widowControl w:val="0"/>
              <w:spacing w:before="52" w:line="216" w:lineRule="auto"/>
              <w:ind w:left="340" w:leftChars="0"/>
              <w:rPr>
                <w:rFonts w:hint="default" w:ascii="宋体" w:hAnsi="宋体" w:eastAsia="宋体" w:cs="宋体"/>
                <w:kern w:val="2"/>
                <w:sz w:val="24"/>
                <w:szCs w:val="24"/>
                <w:lang w:val="en-US" w:eastAsia="zh-CN" w:bidi="ar-SA"/>
              </w:rPr>
            </w:pPr>
            <w:r>
              <w:rPr>
                <w:color w:val="333333"/>
                <w:spacing w:val="-4"/>
              </w:rPr>
              <w:t>1,2,3,4</w:t>
            </w:r>
          </w:p>
        </w:tc>
        <w:tc>
          <w:tcPr>
            <w:tcW w:w="2841" w:type="dxa"/>
            <w:shd w:val="clear" w:color="auto" w:fill="auto"/>
            <w:vAlign w:val="top"/>
          </w:tcPr>
          <w:p w14:paraId="5207E951">
            <w:pPr>
              <w:pStyle w:val="26"/>
              <w:widowControl w:val="0"/>
              <w:spacing w:before="51" w:line="349"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项目组内部确定具体行动措施，经过项目经理审批同意，对此类风险可作接受处理。</w:t>
            </w:r>
          </w:p>
        </w:tc>
      </w:tr>
      <w:tr w14:paraId="6A94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16A31B">
            <w:pPr>
              <w:pStyle w:val="26"/>
              <w:widowControl w:val="0"/>
              <w:spacing w:before="56" w:line="220" w:lineRule="auto"/>
              <w:ind w:left="156" w:leftChars="0"/>
              <w:rPr>
                <w:rFonts w:hint="default" w:ascii="宋体" w:hAnsi="宋体" w:eastAsia="宋体" w:cs="宋体"/>
                <w:kern w:val="2"/>
                <w:sz w:val="24"/>
                <w:szCs w:val="24"/>
                <w:lang w:val="en-US" w:eastAsia="zh-CN" w:bidi="ar-SA"/>
              </w:rPr>
            </w:pPr>
            <w:r>
              <w:rPr>
                <w:color w:val="333333"/>
                <w:spacing w:val="-5"/>
              </w:rPr>
              <w:t>2</w:t>
            </w:r>
            <w:r>
              <w:rPr>
                <w:color w:val="333333"/>
                <w:spacing w:val="-44"/>
              </w:rPr>
              <w:t xml:space="preserve"> </w:t>
            </w:r>
            <w:r>
              <w:rPr>
                <w:color w:val="333333"/>
                <w:spacing w:val="-5"/>
              </w:rPr>
              <w:t>级（中级）</w:t>
            </w:r>
          </w:p>
        </w:tc>
        <w:tc>
          <w:tcPr>
            <w:tcW w:w="2841" w:type="dxa"/>
            <w:shd w:val="clear" w:color="auto" w:fill="auto"/>
            <w:vAlign w:val="top"/>
          </w:tcPr>
          <w:p w14:paraId="3D01CE8A">
            <w:pPr>
              <w:pStyle w:val="26"/>
              <w:widowControl w:val="0"/>
              <w:spacing w:before="56" w:line="216" w:lineRule="auto"/>
              <w:ind w:left="264" w:leftChars="0"/>
              <w:rPr>
                <w:rFonts w:hint="default" w:ascii="宋体" w:hAnsi="宋体" w:eastAsia="宋体" w:cs="宋体"/>
                <w:kern w:val="2"/>
                <w:sz w:val="24"/>
                <w:szCs w:val="24"/>
                <w:lang w:val="en-US" w:eastAsia="zh-CN" w:bidi="ar-SA"/>
              </w:rPr>
            </w:pPr>
            <w:r>
              <w:rPr>
                <w:color w:val="333333"/>
                <w:spacing w:val="-2"/>
              </w:rPr>
              <w:t>6,8,9,12</w:t>
            </w:r>
          </w:p>
        </w:tc>
        <w:tc>
          <w:tcPr>
            <w:tcW w:w="2841" w:type="dxa"/>
            <w:shd w:val="clear" w:color="auto" w:fill="auto"/>
            <w:vAlign w:val="top"/>
          </w:tcPr>
          <w:p w14:paraId="38C9389F">
            <w:pPr>
              <w:pStyle w:val="26"/>
              <w:widowControl w:val="0"/>
              <w:spacing w:before="55" w:line="343"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w:t>
            </w:r>
            <w:r>
              <w:rPr>
                <w:color w:val="333333"/>
                <w:spacing w:val="-5"/>
              </w:rPr>
              <w:t>审批同意。</w:t>
            </w:r>
          </w:p>
        </w:tc>
      </w:tr>
      <w:tr w14:paraId="5EAB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F73D2B">
            <w:pPr>
              <w:pStyle w:val="26"/>
              <w:widowControl w:val="0"/>
              <w:spacing w:before="51" w:line="219" w:lineRule="auto"/>
              <w:ind w:left="158" w:leftChars="0"/>
              <w:rPr>
                <w:rFonts w:hint="default" w:ascii="宋体" w:hAnsi="宋体" w:eastAsia="宋体" w:cs="宋体"/>
                <w:kern w:val="2"/>
                <w:sz w:val="24"/>
                <w:szCs w:val="24"/>
                <w:lang w:val="en-US" w:eastAsia="zh-CN" w:bidi="ar-SA"/>
              </w:rPr>
            </w:pPr>
            <w:r>
              <w:rPr>
                <w:color w:val="333333"/>
                <w:spacing w:val="-5"/>
              </w:rPr>
              <w:t>3</w:t>
            </w:r>
            <w:r>
              <w:rPr>
                <w:color w:val="333333"/>
                <w:spacing w:val="-46"/>
              </w:rPr>
              <w:t xml:space="preserve"> </w:t>
            </w:r>
            <w:r>
              <w:rPr>
                <w:color w:val="333333"/>
                <w:spacing w:val="-5"/>
              </w:rPr>
              <w:t>级（高级）</w:t>
            </w:r>
          </w:p>
        </w:tc>
        <w:tc>
          <w:tcPr>
            <w:tcW w:w="2841" w:type="dxa"/>
            <w:shd w:val="clear" w:color="auto" w:fill="auto"/>
            <w:vAlign w:val="top"/>
          </w:tcPr>
          <w:p w14:paraId="0E75B67B">
            <w:pPr>
              <w:pStyle w:val="26"/>
              <w:widowControl w:val="0"/>
              <w:spacing w:before="52" w:line="216" w:lineRule="auto"/>
              <w:ind w:left="460" w:leftChars="0"/>
              <w:rPr>
                <w:rFonts w:hint="default" w:ascii="宋体" w:hAnsi="宋体" w:eastAsia="宋体" w:cs="宋体"/>
                <w:kern w:val="2"/>
                <w:sz w:val="24"/>
                <w:szCs w:val="24"/>
                <w:lang w:val="en-US" w:eastAsia="zh-CN" w:bidi="ar-SA"/>
              </w:rPr>
            </w:pPr>
            <w:r>
              <w:rPr>
                <w:color w:val="333333"/>
                <w:spacing w:val="-6"/>
              </w:rPr>
              <w:t>18,27</w:t>
            </w:r>
          </w:p>
        </w:tc>
        <w:tc>
          <w:tcPr>
            <w:tcW w:w="2841" w:type="dxa"/>
            <w:shd w:val="clear" w:color="auto" w:fill="auto"/>
            <w:vAlign w:val="top"/>
          </w:tcPr>
          <w:p w14:paraId="489E09DE">
            <w:pPr>
              <w:pStyle w:val="26"/>
              <w:widowControl w:val="0"/>
              <w:spacing w:before="53" w:line="352" w:lineRule="auto"/>
              <w:ind w:left="30" w:leftChars="0"/>
              <w:jc w:val="both"/>
              <w:rPr>
                <w:rFonts w:hint="default" w:ascii="宋体" w:hAnsi="宋体" w:eastAsia="宋体" w:cs="宋体"/>
                <w:kern w:val="2"/>
                <w:sz w:val="24"/>
                <w:szCs w:val="24"/>
                <w:lang w:val="en-US" w:eastAsia="zh-CN" w:bidi="ar-SA"/>
              </w:rPr>
            </w:pPr>
            <w:r>
              <w:rPr>
                <w:spacing w:val="-6"/>
              </w:rPr>
              <w:t>项目经理牵头组织会议，请相关项客户信息管</w:t>
            </w:r>
            <w:r>
              <w:rPr>
                <w:spacing w:val="7"/>
              </w:rPr>
              <w:t>理部门领导及项目总监共同制定风险应对策</w:t>
            </w:r>
            <w:r>
              <w:rPr>
                <w:spacing w:val="-13"/>
              </w:rPr>
              <w:t>略，在需要时，请求相关领导的资源支援承诺。</w:t>
            </w:r>
          </w:p>
        </w:tc>
      </w:tr>
    </w:tbl>
    <w:p w14:paraId="187DBD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48820F2">
      <w:pPr>
        <w:pStyle w:val="29"/>
        <w:bidi w:val="0"/>
        <w:rPr>
          <w:rFonts w:hint="eastAsia"/>
          <w:lang w:val="en-US" w:eastAsia="zh-CN"/>
        </w:rPr>
      </w:pPr>
      <w:bookmarkStart w:id="7" w:name="_Toc29556"/>
      <w:r>
        <w:rPr>
          <w:rFonts w:hint="eastAsia"/>
          <w:lang w:val="en-US" w:eastAsia="zh-CN"/>
        </w:rPr>
        <w:t>风险应对措施</w:t>
      </w:r>
      <w:bookmarkEnd w:id="7"/>
    </w:p>
    <w:p w14:paraId="65E7E61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风险管理规划基础上进行风险控制，一旦监视到风险，就采取合理措施进行风险应对，可以从改变风险性质、改变风险发生的概率、改变风险的影响大小等多方面着手。风险应对的策略一般有预防、回避、接受、后备措施等几种方式。</w:t>
      </w:r>
    </w:p>
    <w:p w14:paraId="68928DE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其中，预防风险尤其不能忽视项目的教育培训和按程序办事两个方面。由于项目实施成员的任何不当行为都会构成项目的风险因素，要减轻与之相应的影响，就必须对有关人员进行详细和有效的风险教育和项目培训，教育培训的内容应该包含项目相关的策略、计划、标准、规章规范、项目知识、产品知识等。在项目活动中，应该严格按照运维制度，如进度、人力调配、文档管理、资源分配等。</w:t>
      </w:r>
    </w:p>
    <w:p w14:paraId="3F5817E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回避风险，是指当项目风险潜在威胁的可能性极大，并会带来严重的后果，无法转移又不能承受时，通过改变项目来规避风险。通常会通过修改运维目标、范围、结构等方式来回避风险的威胁。</w:t>
      </w:r>
    </w:p>
    <w:p w14:paraId="0DB01F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接受风险，作为规避风险的常见方法，主要是指主动将风险事件的不利后果承担下来，这种后果通常主要反映在实施周期、成本费用的有限增加上，以牺牲项目收益而不影响项目整体。</w:t>
      </w:r>
    </w:p>
    <w:p w14:paraId="0561A5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用于规避风险的后备措施，主要体现在后备费用、预留进度时间、后备技术力量三个方面，这些后备措施在项目计划中就应预留，保证在项目实施过程中，能充分调用后备力量解决问题。</w:t>
      </w:r>
    </w:p>
    <w:p w14:paraId="08BDF90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由运维项目</w:t>
      </w:r>
      <w:r>
        <w:rPr>
          <w:rFonts w:hint="eastAsia"/>
          <w:sz w:val="24"/>
          <w:lang w:val="en-US" w:eastAsia="zh-CN"/>
        </w:rPr>
        <w:t>经理</w:t>
      </w:r>
      <w:r>
        <w:rPr>
          <w:rFonts w:hint="default"/>
          <w:sz w:val="24"/>
          <w:lang w:val="en-US" w:eastAsia="zh-CN"/>
        </w:rPr>
        <w:t>牵头成立</w:t>
      </w:r>
      <w:r>
        <w:rPr>
          <w:rFonts w:hint="eastAsia"/>
          <w:sz w:val="24"/>
          <w:lang w:val="en-US" w:eastAsia="zh-CN"/>
        </w:rPr>
        <w:t>应急管理小组</w:t>
      </w:r>
      <w:r>
        <w:rPr>
          <w:rFonts w:hint="default"/>
          <w:sz w:val="24"/>
          <w:lang w:val="en-US" w:eastAsia="zh-CN"/>
        </w:rPr>
        <w:t>，包括项目经理及客户方直接管理领导等相关人员，领导项目组对风险进行管控。</w:t>
      </w:r>
    </w:p>
    <w:tbl>
      <w:tblPr>
        <w:tblStyle w:val="20"/>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6708"/>
      </w:tblGrid>
      <w:tr w14:paraId="1FB0D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CCCCCC"/>
            <w:vAlign w:val="top"/>
          </w:tcPr>
          <w:p w14:paraId="59D63BA8">
            <w:pPr>
              <w:pStyle w:val="26"/>
              <w:widowControl w:val="0"/>
              <w:spacing w:before="148" w:line="219" w:lineRule="auto"/>
              <w:ind w:left="529" w:leftChars="0"/>
              <w:rPr>
                <w:rFonts w:hint="default" w:ascii="宋体" w:hAnsi="宋体" w:eastAsia="宋体" w:cs="宋体"/>
                <w:kern w:val="2"/>
                <w:sz w:val="18"/>
                <w:szCs w:val="18"/>
                <w:lang w:val="en-US" w:eastAsia="zh-CN" w:bidi="ar-SA"/>
              </w:rPr>
            </w:pPr>
            <w:r>
              <w:rPr>
                <w:spacing w:val="-5"/>
                <w:sz w:val="18"/>
                <w:szCs w:val="18"/>
              </w:rPr>
              <w:t>角色</w:t>
            </w:r>
          </w:p>
        </w:tc>
        <w:tc>
          <w:tcPr>
            <w:tcW w:w="6708" w:type="dxa"/>
            <w:shd w:val="clear" w:color="auto" w:fill="CCCCCC"/>
            <w:vAlign w:val="top"/>
          </w:tcPr>
          <w:p w14:paraId="30E69F5C">
            <w:pPr>
              <w:pStyle w:val="26"/>
              <w:widowControl w:val="0"/>
              <w:spacing w:before="148" w:line="221" w:lineRule="auto"/>
              <w:ind w:left="3177" w:leftChars="0"/>
              <w:rPr>
                <w:rFonts w:hint="default" w:ascii="宋体" w:hAnsi="宋体" w:eastAsia="宋体" w:cs="宋体"/>
                <w:kern w:val="2"/>
                <w:sz w:val="18"/>
                <w:szCs w:val="18"/>
                <w:lang w:val="en-US" w:eastAsia="zh-CN" w:bidi="ar-SA"/>
              </w:rPr>
            </w:pPr>
            <w:r>
              <w:rPr>
                <w:spacing w:val="-4"/>
                <w:sz w:val="18"/>
                <w:szCs w:val="18"/>
              </w:rPr>
              <w:t>职责</w:t>
            </w:r>
          </w:p>
        </w:tc>
      </w:tr>
      <w:tr w14:paraId="656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7E430A45">
            <w:pPr>
              <w:widowControl w:val="0"/>
              <w:spacing w:line="253" w:lineRule="auto"/>
              <w:rPr>
                <w:rFonts w:ascii="Arial"/>
                <w:sz w:val="21"/>
              </w:rPr>
            </w:pPr>
          </w:p>
          <w:p w14:paraId="49BA30C9">
            <w:pPr>
              <w:widowControl w:val="0"/>
              <w:spacing w:line="254" w:lineRule="auto"/>
              <w:rPr>
                <w:rFonts w:ascii="Arial"/>
                <w:sz w:val="21"/>
              </w:rPr>
            </w:pPr>
          </w:p>
          <w:p w14:paraId="228F83C3">
            <w:pPr>
              <w:widowControl w:val="0"/>
              <w:spacing w:line="254" w:lineRule="auto"/>
              <w:rPr>
                <w:rFonts w:ascii="Arial"/>
                <w:sz w:val="21"/>
              </w:rPr>
            </w:pPr>
          </w:p>
          <w:p w14:paraId="7A2EA047">
            <w:pPr>
              <w:widowControl w:val="0"/>
              <w:spacing w:line="254" w:lineRule="auto"/>
              <w:rPr>
                <w:rFonts w:ascii="Arial"/>
                <w:sz w:val="21"/>
              </w:rPr>
            </w:pPr>
          </w:p>
          <w:p w14:paraId="7B8FEA90">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项目组</w:t>
            </w:r>
          </w:p>
        </w:tc>
        <w:tc>
          <w:tcPr>
            <w:tcW w:w="6708" w:type="dxa"/>
            <w:shd w:val="clear" w:color="auto" w:fill="auto"/>
            <w:vAlign w:val="top"/>
          </w:tcPr>
          <w:p w14:paraId="25FE016E">
            <w:pPr>
              <w:pStyle w:val="26"/>
              <w:widowControl w:val="0"/>
              <w:spacing w:before="144" w:line="219" w:lineRule="auto"/>
              <w:ind w:left="125"/>
              <w:rPr>
                <w:sz w:val="18"/>
                <w:szCs w:val="18"/>
              </w:rPr>
            </w:pPr>
            <w:r>
              <w:rPr>
                <w:spacing w:val="-2"/>
                <w:sz w:val="18"/>
                <w:szCs w:val="18"/>
              </w:rPr>
              <w:t>1）负责项目的风险管理计划</w:t>
            </w:r>
          </w:p>
          <w:p w14:paraId="7153A992">
            <w:pPr>
              <w:pStyle w:val="26"/>
              <w:widowControl w:val="0"/>
              <w:spacing w:before="254" w:line="219" w:lineRule="auto"/>
              <w:ind w:left="113"/>
              <w:rPr>
                <w:sz w:val="18"/>
                <w:szCs w:val="18"/>
              </w:rPr>
            </w:pPr>
            <w:r>
              <w:rPr>
                <w:spacing w:val="-1"/>
                <w:sz w:val="18"/>
                <w:szCs w:val="18"/>
              </w:rPr>
              <w:t>2）负责实施和维护项目的风险管理计划</w:t>
            </w:r>
          </w:p>
          <w:p w14:paraId="0F87AC0E">
            <w:pPr>
              <w:pStyle w:val="26"/>
              <w:widowControl w:val="0"/>
              <w:spacing w:before="254" w:line="219" w:lineRule="auto"/>
              <w:ind w:left="115"/>
              <w:rPr>
                <w:sz w:val="18"/>
                <w:szCs w:val="18"/>
              </w:rPr>
            </w:pPr>
            <w:r>
              <w:rPr>
                <w:spacing w:val="-1"/>
                <w:sz w:val="18"/>
                <w:szCs w:val="18"/>
              </w:rPr>
              <w:t>3）负责项目过程中风险的跟踪控制</w:t>
            </w:r>
          </w:p>
          <w:p w14:paraId="09C71073">
            <w:pPr>
              <w:pStyle w:val="26"/>
              <w:widowControl w:val="0"/>
              <w:spacing w:before="254" w:line="219" w:lineRule="auto"/>
              <w:ind w:left="111"/>
              <w:rPr>
                <w:sz w:val="18"/>
                <w:szCs w:val="18"/>
              </w:rPr>
            </w:pPr>
            <w:r>
              <w:rPr>
                <w:spacing w:val="-1"/>
                <w:sz w:val="18"/>
                <w:szCs w:val="18"/>
              </w:rPr>
              <w:t>4）负责对项目风险管理计划中相关的度量元进行度量</w:t>
            </w:r>
          </w:p>
          <w:p w14:paraId="55D0421E">
            <w:pPr>
              <w:pStyle w:val="26"/>
              <w:widowControl w:val="0"/>
              <w:spacing w:before="254" w:line="219" w:lineRule="auto"/>
              <w:ind w:left="115" w:leftChars="0"/>
              <w:rPr>
                <w:rFonts w:hint="default" w:ascii="宋体" w:hAnsi="宋体" w:eastAsia="宋体" w:cs="宋体"/>
                <w:kern w:val="2"/>
                <w:sz w:val="18"/>
                <w:szCs w:val="18"/>
                <w:lang w:val="en-US" w:eastAsia="zh-CN" w:bidi="ar-SA"/>
              </w:rPr>
            </w:pPr>
            <w:r>
              <w:rPr>
                <w:spacing w:val="-1"/>
                <w:sz w:val="18"/>
                <w:szCs w:val="18"/>
              </w:rPr>
              <w:t>5）负责把项目形成的风险管理计划以及相关的风险信息进行配置管理</w:t>
            </w:r>
          </w:p>
        </w:tc>
      </w:tr>
      <w:tr w14:paraId="5662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4F7F2DCC">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rFonts w:hint="eastAsia"/>
                <w:spacing w:val="-4"/>
                <w:sz w:val="18"/>
                <w:szCs w:val="18"/>
                <w:lang w:val="en-US" w:eastAsia="zh-CN"/>
              </w:rPr>
              <w:t>应急管理小组</w:t>
            </w:r>
          </w:p>
        </w:tc>
        <w:tc>
          <w:tcPr>
            <w:tcW w:w="6708" w:type="dxa"/>
            <w:shd w:val="clear" w:color="auto" w:fill="auto"/>
            <w:vAlign w:val="top"/>
          </w:tcPr>
          <w:p w14:paraId="2020E5CB">
            <w:pPr>
              <w:pStyle w:val="26"/>
              <w:widowControl w:val="0"/>
              <w:spacing w:before="149" w:line="219" w:lineRule="auto"/>
              <w:ind w:left="125"/>
              <w:rPr>
                <w:sz w:val="18"/>
                <w:szCs w:val="18"/>
              </w:rPr>
            </w:pPr>
            <w:r>
              <w:rPr>
                <w:spacing w:val="-1"/>
                <w:sz w:val="18"/>
                <w:szCs w:val="18"/>
              </w:rPr>
              <w:t>1）负责项目过程中一些重大风险的相关处理方法的审批</w:t>
            </w:r>
          </w:p>
          <w:p w14:paraId="674F4583">
            <w:pPr>
              <w:pStyle w:val="26"/>
              <w:widowControl w:val="0"/>
              <w:spacing w:before="254" w:line="219" w:lineRule="auto"/>
              <w:ind w:left="113"/>
              <w:rPr>
                <w:sz w:val="18"/>
                <w:szCs w:val="18"/>
              </w:rPr>
            </w:pPr>
            <w:r>
              <w:rPr>
                <w:spacing w:val="-1"/>
                <w:sz w:val="18"/>
                <w:szCs w:val="18"/>
              </w:rPr>
              <w:t>2）定期的评审项目的风险管理工作</w:t>
            </w:r>
          </w:p>
          <w:p w14:paraId="7648F38A">
            <w:pPr>
              <w:pStyle w:val="26"/>
              <w:widowControl w:val="0"/>
              <w:spacing w:before="253" w:line="219" w:lineRule="auto"/>
              <w:ind w:left="115" w:leftChars="0"/>
              <w:rPr>
                <w:rFonts w:hint="default" w:ascii="宋体" w:hAnsi="宋体" w:eastAsia="宋体" w:cs="宋体"/>
                <w:kern w:val="2"/>
                <w:sz w:val="18"/>
                <w:szCs w:val="18"/>
                <w:lang w:val="en-US" w:eastAsia="zh-CN" w:bidi="ar-SA"/>
              </w:rPr>
            </w:pPr>
            <w:r>
              <w:rPr>
                <w:spacing w:val="-1"/>
                <w:sz w:val="18"/>
                <w:szCs w:val="18"/>
              </w:rPr>
              <w:t>3）为风险管理活动提供足够的资源</w:t>
            </w:r>
          </w:p>
        </w:tc>
      </w:tr>
    </w:tbl>
    <w:p w14:paraId="69A6D46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bookmarkStart w:id="11" w:name="_GoBack"/>
      <w:bookmarkEnd w:id="11"/>
      <w:r>
        <w:rPr>
          <w:rFonts w:hint="default"/>
          <w:sz w:val="24"/>
          <w:lang w:val="en-US" w:eastAsia="zh-CN"/>
        </w:rPr>
        <w:t>项目组在</w:t>
      </w:r>
      <w:r>
        <w:rPr>
          <w:rFonts w:hint="eastAsia"/>
          <w:sz w:val="24"/>
          <w:lang w:val="en-US" w:eastAsia="zh-CN"/>
        </w:rPr>
        <w:t>应急管理小组</w:t>
      </w:r>
      <w:r>
        <w:rPr>
          <w:rFonts w:hint="default"/>
          <w:sz w:val="24"/>
          <w:lang w:val="en-US" w:eastAsia="zh-CN"/>
        </w:rPr>
        <w:t>指导下展开风险研讨，吸纳项目相关人员包括客户人员参加，对项目开发计划的工作分解结构中所有工作要素中可能存在的风险进行识别。对风险的识别建立《风险来源和分类一览表》罗列出风险项，并逐一研讨其显含或隐含的可能性。项目经理负责将识别出来的风险项记录在项目计划的风险估计的《风险识别和跟踪表》中。</w:t>
      </w:r>
    </w:p>
    <w:p w14:paraId="49CF17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项目负责人根据风险等级标准，制定风险应对则略，并确定责任人。</w:t>
      </w:r>
    </w:p>
    <w:p w14:paraId="4464FED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首先判断运维的风险发生时，带来的后果,项目是否可以承受，如果答案是肯定的，则可作接受处理，即不作任何风险管理工作。当风险发生时，当作问题处理，不再花费额外的资源管理；接受处理的另一种情况是，当缓解风险的成本比接受其发生更大时，可以作为接受处理。如果风险不可接受，则需要制定缓解计划和应急计划。</w:t>
      </w:r>
    </w:p>
    <w:p w14:paraId="1ED40BE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缓解计划：在适当的时间启动的，可以降低风险发生概率、减少风险发生带来的影响或推迟风险发生时间的措施。</w:t>
      </w:r>
    </w:p>
    <w:p w14:paraId="7D6E1B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应急计划：风险万一发生时，采取的行动，以处理风险发生带来的影响。</w:t>
      </w:r>
    </w:p>
    <w:p w14:paraId="10D0EAC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对于高等级的风险项，建议项目经理牵头组织会议，请相关上级经理参加共同制定风险缓解和急应计划。若风险项为项目级无法解决的风险，由项目经理提交相关领导以寻求帮助。</w:t>
      </w:r>
    </w:p>
    <w:p w14:paraId="04A8748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对于中等级的风险项，建议项目经理组织项目组成员或部分人员以讨论的方式，制定风险缓解和急应计划。计划需经所在事业部相关经理审签通过。</w:t>
      </w:r>
    </w:p>
    <w:p w14:paraId="39F1C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对于低级的风险项，建议项目经理组织项目组成员或项目内部人员以讨论的方式，制定风险缓解和急应计划。</w:t>
      </w:r>
    </w:p>
    <w:p w14:paraId="38DCCDAB">
      <w:pPr>
        <w:pStyle w:val="29"/>
        <w:bidi w:val="0"/>
        <w:rPr>
          <w:rFonts w:hint="eastAsia"/>
          <w:lang w:val="en-US" w:eastAsia="zh-CN"/>
        </w:rPr>
      </w:pPr>
      <w:bookmarkStart w:id="8" w:name="_Toc10725"/>
      <w:r>
        <w:rPr>
          <w:rFonts w:hint="eastAsia"/>
          <w:lang w:val="en-US" w:eastAsia="zh-CN"/>
        </w:rPr>
        <w:t>风险跟踪与监控</w:t>
      </w:r>
      <w:bookmarkEnd w:id="8"/>
    </w:p>
    <w:p w14:paraId="3ACCB74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w:t>
      </w:r>
    </w:p>
    <w:p w14:paraId="46C9F2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项目负责人指定责任人将识别出来的风险全部填入《风险识别和跟踪表》中，并每周或事件驱动跟踪控制表中风险参数和状态。</w:t>
      </w:r>
    </w:p>
    <w:p w14:paraId="41BCE1E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风险跟踪项：</w:t>
      </w:r>
    </w:p>
    <w:p w14:paraId="387B1B2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风险跟踪只针对《风险识别和跟踪表》中状态为“未处理 ”和“处理中 ”的风险。其中风险等级为高等级风险必须跟踪，对于中等级和低等级的风险可以根据项目的资源情况和风险等级数值，选择跟踪全部风险或只跟踪风险等级值高的前三项风险。</w:t>
      </w:r>
    </w:p>
    <w:p w14:paraId="6BE00B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风险跟踪状态表：</w:t>
      </w:r>
    </w:p>
    <w:tbl>
      <w:tblPr>
        <w:tblStyle w:val="20"/>
        <w:tblW w:w="7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704"/>
      </w:tblGrid>
      <w:tr w14:paraId="7235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4" w:type="dxa"/>
            <w:shd w:val="clear" w:color="auto" w:fill="auto"/>
            <w:vAlign w:val="top"/>
          </w:tcPr>
          <w:p w14:paraId="2F919F74">
            <w:pPr>
              <w:pStyle w:val="26"/>
              <w:widowControl w:val="0"/>
              <w:spacing w:before="150" w:line="219" w:lineRule="auto"/>
              <w:ind w:left="290" w:leftChars="0"/>
              <w:rPr>
                <w:rFonts w:hint="default" w:ascii="宋体" w:hAnsi="宋体" w:eastAsia="宋体" w:cs="宋体"/>
                <w:kern w:val="2"/>
                <w:sz w:val="18"/>
                <w:szCs w:val="18"/>
                <w:lang w:val="en-US" w:eastAsia="zh-CN" w:bidi="ar-SA"/>
              </w:rPr>
            </w:pPr>
            <w:r>
              <w:rPr>
                <w:b/>
                <w:bCs/>
                <w:spacing w:val="-4"/>
                <w:sz w:val="18"/>
                <w:szCs w:val="18"/>
              </w:rPr>
              <w:t>状态名称</w:t>
            </w:r>
          </w:p>
        </w:tc>
        <w:tc>
          <w:tcPr>
            <w:tcW w:w="6704" w:type="dxa"/>
            <w:shd w:val="clear" w:color="auto" w:fill="auto"/>
            <w:vAlign w:val="top"/>
          </w:tcPr>
          <w:p w14:paraId="1407E0AD">
            <w:pPr>
              <w:pStyle w:val="26"/>
              <w:widowControl w:val="0"/>
              <w:spacing w:before="150" w:line="219" w:lineRule="auto"/>
              <w:ind w:left="2549" w:leftChars="0"/>
              <w:rPr>
                <w:rFonts w:hint="default" w:ascii="宋体" w:hAnsi="宋体" w:eastAsia="宋体" w:cs="宋体"/>
                <w:kern w:val="2"/>
                <w:sz w:val="18"/>
                <w:szCs w:val="18"/>
                <w:lang w:val="en-US" w:eastAsia="zh-CN" w:bidi="ar-SA"/>
              </w:rPr>
            </w:pPr>
            <w:r>
              <w:rPr>
                <w:b/>
                <w:bCs/>
                <w:spacing w:val="-6"/>
                <w:sz w:val="18"/>
                <w:szCs w:val="18"/>
              </w:rPr>
              <w:t>解释</w:t>
            </w:r>
          </w:p>
        </w:tc>
      </w:tr>
      <w:tr w14:paraId="4A32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844AC70">
            <w:pPr>
              <w:pStyle w:val="26"/>
              <w:widowControl w:val="0"/>
              <w:spacing w:before="145" w:line="220" w:lineRule="auto"/>
              <w:ind w:left="384" w:leftChars="0"/>
              <w:rPr>
                <w:rFonts w:hint="default" w:ascii="宋体" w:hAnsi="宋体" w:eastAsia="宋体" w:cs="宋体"/>
                <w:kern w:val="2"/>
                <w:sz w:val="18"/>
                <w:szCs w:val="18"/>
                <w:lang w:val="en-US" w:eastAsia="zh-CN" w:bidi="ar-SA"/>
              </w:rPr>
            </w:pPr>
            <w:r>
              <w:rPr>
                <w:spacing w:val="-4"/>
                <w:sz w:val="18"/>
                <w:szCs w:val="18"/>
              </w:rPr>
              <w:t>未处理</w:t>
            </w:r>
          </w:p>
        </w:tc>
        <w:tc>
          <w:tcPr>
            <w:tcW w:w="6704" w:type="dxa"/>
            <w:shd w:val="clear" w:color="auto" w:fill="auto"/>
            <w:vAlign w:val="top"/>
          </w:tcPr>
          <w:p w14:paraId="308A066D">
            <w:pPr>
              <w:pStyle w:val="26"/>
              <w:widowControl w:val="0"/>
              <w:spacing w:before="145" w:line="219" w:lineRule="auto"/>
              <w:ind w:left="111" w:leftChars="0"/>
              <w:rPr>
                <w:rFonts w:hint="default" w:ascii="宋体" w:hAnsi="宋体" w:eastAsia="宋体" w:cs="宋体"/>
                <w:kern w:val="2"/>
                <w:sz w:val="18"/>
                <w:szCs w:val="18"/>
                <w:lang w:val="en-US" w:eastAsia="zh-CN" w:bidi="ar-SA"/>
              </w:rPr>
            </w:pPr>
            <w:r>
              <w:rPr>
                <w:spacing w:val="-2"/>
                <w:sz w:val="18"/>
                <w:szCs w:val="18"/>
              </w:rPr>
              <w:t>指风险未发生，也未对其采取缓解措施，即“</w:t>
            </w:r>
            <w:r>
              <w:rPr>
                <w:spacing w:val="-64"/>
                <w:sz w:val="18"/>
                <w:szCs w:val="18"/>
              </w:rPr>
              <w:t xml:space="preserve"> </w:t>
            </w:r>
            <w:r>
              <w:rPr>
                <w:spacing w:val="-3"/>
                <w:sz w:val="18"/>
                <w:szCs w:val="18"/>
              </w:rPr>
              <w:t>已识别</w:t>
            </w:r>
            <w:r>
              <w:rPr>
                <w:spacing w:val="-66"/>
                <w:sz w:val="18"/>
                <w:szCs w:val="18"/>
              </w:rPr>
              <w:t xml:space="preserve"> </w:t>
            </w:r>
            <w:r>
              <w:rPr>
                <w:spacing w:val="-3"/>
                <w:sz w:val="18"/>
                <w:szCs w:val="18"/>
              </w:rPr>
              <w:t>”状态。</w:t>
            </w:r>
          </w:p>
        </w:tc>
      </w:tr>
      <w:tr w14:paraId="5060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62103C85">
            <w:pPr>
              <w:widowControl w:val="0"/>
              <w:spacing w:line="318" w:lineRule="auto"/>
              <w:rPr>
                <w:rFonts w:ascii="Arial"/>
                <w:sz w:val="21"/>
              </w:rPr>
            </w:pPr>
          </w:p>
          <w:p w14:paraId="37022F7B">
            <w:pPr>
              <w:pStyle w:val="26"/>
              <w:widowControl w:val="0"/>
              <w:spacing w:before="59" w:line="220" w:lineRule="auto"/>
              <w:ind w:left="384" w:leftChars="0"/>
              <w:rPr>
                <w:rFonts w:hint="default" w:ascii="宋体" w:hAnsi="宋体" w:eastAsia="宋体" w:cs="宋体"/>
                <w:kern w:val="2"/>
                <w:sz w:val="18"/>
                <w:szCs w:val="18"/>
                <w:lang w:val="en-US" w:eastAsia="zh-CN" w:bidi="ar-SA"/>
              </w:rPr>
            </w:pPr>
            <w:r>
              <w:rPr>
                <w:spacing w:val="-4"/>
                <w:sz w:val="18"/>
                <w:szCs w:val="18"/>
              </w:rPr>
              <w:t>处理中</w:t>
            </w:r>
          </w:p>
        </w:tc>
        <w:tc>
          <w:tcPr>
            <w:tcW w:w="6704" w:type="dxa"/>
            <w:shd w:val="clear" w:color="auto" w:fill="auto"/>
            <w:vAlign w:val="top"/>
          </w:tcPr>
          <w:p w14:paraId="475CCF1A">
            <w:pPr>
              <w:pStyle w:val="26"/>
              <w:widowControl w:val="0"/>
              <w:spacing w:before="146" w:line="402" w:lineRule="auto"/>
              <w:ind w:left="102" w:leftChars="0" w:right="49" w:rightChars="0" w:firstLine="10" w:firstLineChars="0"/>
              <w:rPr>
                <w:rFonts w:hint="default" w:ascii="宋体" w:hAnsi="宋体" w:eastAsia="宋体" w:cs="宋体"/>
                <w:kern w:val="2"/>
                <w:sz w:val="18"/>
                <w:szCs w:val="18"/>
                <w:lang w:val="en-US" w:eastAsia="zh-CN" w:bidi="ar-SA"/>
              </w:rPr>
            </w:pPr>
            <w:r>
              <w:rPr>
                <w:spacing w:val="-9"/>
                <w:sz w:val="18"/>
                <w:szCs w:val="18"/>
              </w:rPr>
              <w:t>项目已按照缓解计划或应急计划，实施了缓解行动，但未解决完成，包括“缓解中</w:t>
            </w:r>
            <w:r>
              <w:rPr>
                <w:spacing w:val="-52"/>
                <w:sz w:val="18"/>
                <w:szCs w:val="18"/>
              </w:rPr>
              <w:t xml:space="preserve"> </w:t>
            </w:r>
            <w:r>
              <w:rPr>
                <w:spacing w:val="-9"/>
                <w:sz w:val="18"/>
                <w:szCs w:val="18"/>
              </w:rPr>
              <w:t>”、</w:t>
            </w:r>
            <w:r>
              <w:rPr>
                <w:sz w:val="18"/>
                <w:szCs w:val="18"/>
              </w:rPr>
              <w:t xml:space="preserve"> </w:t>
            </w:r>
            <w:r>
              <w:rPr>
                <w:spacing w:val="-27"/>
                <w:sz w:val="18"/>
                <w:szCs w:val="18"/>
              </w:rPr>
              <w:t>“</w:t>
            </w:r>
            <w:r>
              <w:rPr>
                <w:spacing w:val="-52"/>
                <w:sz w:val="18"/>
                <w:szCs w:val="18"/>
              </w:rPr>
              <w:t xml:space="preserve"> </w:t>
            </w:r>
            <w:r>
              <w:rPr>
                <w:spacing w:val="-27"/>
                <w:sz w:val="18"/>
                <w:szCs w:val="18"/>
              </w:rPr>
              <w:t>已缓解</w:t>
            </w:r>
            <w:r>
              <w:rPr>
                <w:spacing w:val="-66"/>
                <w:sz w:val="18"/>
                <w:szCs w:val="18"/>
              </w:rPr>
              <w:t xml:space="preserve"> </w:t>
            </w:r>
            <w:r>
              <w:rPr>
                <w:spacing w:val="-27"/>
                <w:sz w:val="18"/>
                <w:szCs w:val="18"/>
              </w:rPr>
              <w:t>”、“已发生</w:t>
            </w:r>
            <w:r>
              <w:rPr>
                <w:spacing w:val="-66"/>
                <w:sz w:val="18"/>
                <w:szCs w:val="18"/>
              </w:rPr>
              <w:t xml:space="preserve"> </w:t>
            </w:r>
            <w:r>
              <w:rPr>
                <w:spacing w:val="-27"/>
                <w:sz w:val="18"/>
                <w:szCs w:val="18"/>
              </w:rPr>
              <w:t>”、“应急中</w:t>
            </w:r>
            <w:r>
              <w:rPr>
                <w:spacing w:val="-66"/>
                <w:sz w:val="18"/>
                <w:szCs w:val="18"/>
              </w:rPr>
              <w:t xml:space="preserve"> </w:t>
            </w:r>
            <w:r>
              <w:rPr>
                <w:spacing w:val="-27"/>
                <w:sz w:val="18"/>
                <w:szCs w:val="18"/>
              </w:rPr>
              <w:t>”、“已应急</w:t>
            </w:r>
            <w:r>
              <w:rPr>
                <w:spacing w:val="-66"/>
                <w:sz w:val="18"/>
                <w:szCs w:val="18"/>
              </w:rPr>
              <w:t xml:space="preserve"> </w:t>
            </w:r>
            <w:r>
              <w:rPr>
                <w:spacing w:val="-27"/>
                <w:sz w:val="18"/>
                <w:szCs w:val="18"/>
              </w:rPr>
              <w:t>”状态</w:t>
            </w:r>
          </w:p>
        </w:tc>
      </w:tr>
      <w:tr w14:paraId="4BA21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429944B0">
            <w:pPr>
              <w:pStyle w:val="26"/>
              <w:widowControl w:val="0"/>
              <w:spacing w:before="146" w:line="221" w:lineRule="auto"/>
              <w:ind w:left="471" w:leftChars="0"/>
              <w:rPr>
                <w:rFonts w:hint="default" w:ascii="宋体" w:hAnsi="宋体" w:eastAsia="宋体" w:cs="宋体"/>
                <w:kern w:val="2"/>
                <w:sz w:val="18"/>
                <w:szCs w:val="18"/>
                <w:lang w:val="en-US" w:eastAsia="zh-CN" w:bidi="ar-SA"/>
              </w:rPr>
            </w:pPr>
            <w:r>
              <w:rPr>
                <w:spacing w:val="-4"/>
                <w:sz w:val="18"/>
                <w:szCs w:val="18"/>
              </w:rPr>
              <w:t>接受</w:t>
            </w:r>
          </w:p>
        </w:tc>
        <w:tc>
          <w:tcPr>
            <w:tcW w:w="6704" w:type="dxa"/>
            <w:shd w:val="clear" w:color="auto" w:fill="auto"/>
            <w:vAlign w:val="top"/>
          </w:tcPr>
          <w:p w14:paraId="01B26933">
            <w:pPr>
              <w:pStyle w:val="26"/>
              <w:widowControl w:val="0"/>
              <w:spacing w:before="146" w:line="219" w:lineRule="auto"/>
              <w:ind w:left="109" w:leftChars="0"/>
              <w:rPr>
                <w:rFonts w:hint="default" w:ascii="宋体" w:hAnsi="宋体" w:eastAsia="宋体" w:cs="宋体"/>
                <w:kern w:val="2"/>
                <w:sz w:val="18"/>
                <w:szCs w:val="18"/>
                <w:lang w:val="en-US" w:eastAsia="zh-CN" w:bidi="ar-SA"/>
              </w:rPr>
            </w:pPr>
            <w:r>
              <w:rPr>
                <w:spacing w:val="-3"/>
                <w:sz w:val="18"/>
                <w:szCs w:val="18"/>
              </w:rPr>
              <w:t>承认风险，并决定不采取缓解措施，即“</w:t>
            </w:r>
            <w:r>
              <w:rPr>
                <w:spacing w:val="-47"/>
                <w:sz w:val="18"/>
                <w:szCs w:val="18"/>
              </w:rPr>
              <w:t xml:space="preserve"> </w:t>
            </w:r>
            <w:r>
              <w:rPr>
                <w:spacing w:val="-3"/>
                <w:sz w:val="18"/>
                <w:szCs w:val="18"/>
              </w:rPr>
              <w:t>已识别</w:t>
            </w:r>
            <w:r>
              <w:rPr>
                <w:spacing w:val="-67"/>
                <w:sz w:val="18"/>
                <w:szCs w:val="18"/>
              </w:rPr>
              <w:t xml:space="preserve"> </w:t>
            </w:r>
            <w:r>
              <w:rPr>
                <w:spacing w:val="-3"/>
                <w:sz w:val="18"/>
                <w:szCs w:val="18"/>
              </w:rPr>
              <w:t>”状态。</w:t>
            </w:r>
          </w:p>
        </w:tc>
      </w:tr>
      <w:tr w14:paraId="0EF3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E50DABF">
            <w:pPr>
              <w:widowControl w:val="0"/>
              <w:spacing w:line="262" w:lineRule="auto"/>
              <w:rPr>
                <w:rFonts w:ascii="Arial"/>
                <w:sz w:val="21"/>
              </w:rPr>
            </w:pPr>
          </w:p>
          <w:p w14:paraId="01387D2F">
            <w:pPr>
              <w:widowControl w:val="0"/>
              <w:spacing w:line="262" w:lineRule="auto"/>
              <w:rPr>
                <w:rFonts w:ascii="Arial"/>
                <w:sz w:val="21"/>
              </w:rPr>
            </w:pPr>
          </w:p>
          <w:p w14:paraId="1B074BDA">
            <w:pPr>
              <w:widowControl w:val="0"/>
              <w:spacing w:line="263" w:lineRule="auto"/>
              <w:rPr>
                <w:rFonts w:ascii="Arial"/>
                <w:sz w:val="21"/>
              </w:rPr>
            </w:pPr>
          </w:p>
          <w:p w14:paraId="551FB6F7">
            <w:pPr>
              <w:pStyle w:val="26"/>
              <w:widowControl w:val="0"/>
              <w:spacing w:before="58" w:line="221" w:lineRule="auto"/>
              <w:ind w:left="400" w:leftChars="0"/>
              <w:rPr>
                <w:rFonts w:hint="default" w:ascii="宋体" w:hAnsi="宋体" w:eastAsia="宋体" w:cs="宋体"/>
                <w:kern w:val="2"/>
                <w:sz w:val="18"/>
                <w:szCs w:val="18"/>
                <w:lang w:val="en-US" w:eastAsia="zh-CN" w:bidi="ar-SA"/>
              </w:rPr>
            </w:pPr>
            <w:r>
              <w:rPr>
                <w:spacing w:val="-9"/>
                <w:sz w:val="18"/>
                <w:szCs w:val="18"/>
              </w:rPr>
              <w:t>已消失</w:t>
            </w:r>
          </w:p>
        </w:tc>
        <w:tc>
          <w:tcPr>
            <w:tcW w:w="6704" w:type="dxa"/>
            <w:shd w:val="clear" w:color="auto" w:fill="auto"/>
            <w:vAlign w:val="top"/>
          </w:tcPr>
          <w:p w14:paraId="587D7CB8">
            <w:pPr>
              <w:pStyle w:val="26"/>
              <w:widowControl w:val="0"/>
              <w:spacing w:before="147" w:line="219" w:lineRule="auto"/>
              <w:ind w:left="109"/>
              <w:rPr>
                <w:sz w:val="18"/>
                <w:szCs w:val="18"/>
              </w:rPr>
            </w:pPr>
            <w:r>
              <w:rPr>
                <w:spacing w:val="-1"/>
                <w:sz w:val="18"/>
                <w:szCs w:val="18"/>
              </w:rPr>
              <w:t>通过缓解行动，风险消失；</w:t>
            </w:r>
          </w:p>
          <w:p w14:paraId="0B842AF2">
            <w:pPr>
              <w:pStyle w:val="26"/>
              <w:widowControl w:val="0"/>
              <w:spacing w:before="254" w:line="219" w:lineRule="auto"/>
              <w:ind w:left="110"/>
              <w:rPr>
                <w:sz w:val="18"/>
                <w:szCs w:val="18"/>
              </w:rPr>
            </w:pPr>
            <w:r>
              <w:rPr>
                <w:spacing w:val="-1"/>
                <w:sz w:val="18"/>
                <w:szCs w:val="18"/>
              </w:rPr>
              <w:t>风险未发生，但已不存在；</w:t>
            </w:r>
          </w:p>
          <w:p w14:paraId="633CEC72">
            <w:pPr>
              <w:pStyle w:val="26"/>
              <w:widowControl w:val="0"/>
              <w:spacing w:before="254" w:line="219" w:lineRule="auto"/>
              <w:ind w:left="110"/>
              <w:rPr>
                <w:sz w:val="18"/>
                <w:szCs w:val="18"/>
              </w:rPr>
            </w:pPr>
            <w:r>
              <w:rPr>
                <w:spacing w:val="-1"/>
                <w:sz w:val="18"/>
                <w:szCs w:val="18"/>
              </w:rPr>
              <w:t>风险已发生，并启动应急计划解决完成。</w:t>
            </w:r>
          </w:p>
          <w:p w14:paraId="20C09700">
            <w:pPr>
              <w:pStyle w:val="26"/>
              <w:widowControl w:val="0"/>
              <w:spacing w:before="254" w:line="219" w:lineRule="auto"/>
              <w:ind w:left="129" w:leftChars="0"/>
              <w:rPr>
                <w:rFonts w:hint="default" w:ascii="宋体" w:hAnsi="宋体" w:eastAsia="宋体" w:cs="宋体"/>
                <w:kern w:val="2"/>
                <w:sz w:val="18"/>
                <w:szCs w:val="18"/>
                <w:lang w:val="en-US" w:eastAsia="zh-CN" w:bidi="ar-SA"/>
              </w:rPr>
            </w:pPr>
            <w:r>
              <w:rPr>
                <w:spacing w:val="-5"/>
                <w:sz w:val="18"/>
                <w:szCs w:val="18"/>
              </w:rPr>
              <w:t>以上三种情况请填写“完成时间</w:t>
            </w:r>
            <w:r>
              <w:rPr>
                <w:spacing w:val="-49"/>
                <w:sz w:val="18"/>
                <w:szCs w:val="18"/>
              </w:rPr>
              <w:t xml:space="preserve"> </w:t>
            </w:r>
            <w:r>
              <w:rPr>
                <w:spacing w:val="-5"/>
                <w:sz w:val="18"/>
                <w:szCs w:val="18"/>
              </w:rPr>
              <w:t>”。即“</w:t>
            </w:r>
            <w:r>
              <w:rPr>
                <w:spacing w:val="-64"/>
                <w:sz w:val="18"/>
                <w:szCs w:val="18"/>
              </w:rPr>
              <w:t xml:space="preserve"> </w:t>
            </w:r>
            <w:r>
              <w:rPr>
                <w:spacing w:val="-5"/>
                <w:sz w:val="18"/>
                <w:szCs w:val="18"/>
              </w:rPr>
              <w:t>已关闭</w:t>
            </w:r>
            <w:r>
              <w:rPr>
                <w:spacing w:val="-66"/>
                <w:sz w:val="18"/>
                <w:szCs w:val="18"/>
              </w:rPr>
              <w:t xml:space="preserve"> </w:t>
            </w:r>
            <w:r>
              <w:rPr>
                <w:spacing w:val="-5"/>
                <w:sz w:val="18"/>
                <w:szCs w:val="18"/>
              </w:rPr>
              <w:t>”状态</w:t>
            </w:r>
          </w:p>
        </w:tc>
      </w:tr>
    </w:tbl>
    <w:p w14:paraId="37A405D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E723A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w:t>
      </w:r>
    </w:p>
    <w:p w14:paraId="3D03EC9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项目负责人须对计划中定义的风险跟踪项进行跟踪，对风险参数（概率、影响度和发生时段）重新评估，并重新计算风险等级数值，观察是否发生了变化，必要时对项目开发计划（风险部分）进行及时的变更。</w:t>
      </w:r>
    </w:p>
    <w:p w14:paraId="2BCC904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在项目执行的各个阶段，需要再次对风险进行识别，确定新风险项的概率、影响度和发生时段，计算风险等级，并制定应对策略，必要时对《风险识别和跟踪表》（在项目状态报告中）进行及时的变更，以确保风险管理的动态性和完整性。</w:t>
      </w:r>
    </w:p>
    <w:p w14:paraId="760CD089">
      <w:pPr>
        <w:pStyle w:val="29"/>
        <w:bidi w:val="0"/>
        <w:rPr>
          <w:rFonts w:hint="eastAsia"/>
          <w:lang w:val="en-US" w:eastAsia="zh-CN"/>
        </w:rPr>
      </w:pPr>
      <w:bookmarkStart w:id="9" w:name="_Toc27913"/>
      <w:r>
        <w:rPr>
          <w:rFonts w:hint="eastAsia"/>
          <w:lang w:val="en-US" w:eastAsia="zh-CN"/>
        </w:rPr>
        <w:t>运维项目后续风险管理</w:t>
      </w:r>
      <w:bookmarkEnd w:id="9"/>
    </w:p>
    <w:p w14:paraId="298A4B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运维结束后，将项目的《风险识别和跟踪表》随流程上交组织过程资产库。</w:t>
      </w:r>
    </w:p>
    <w:p w14:paraId="29B66B0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参照行业内常见风险，编制《风险来源和分类一览表》，并组织客户信息部门主管领导、经理和相关项目成员评审，建立组织级《风险来源和分类一览表》。</w:t>
      </w:r>
    </w:p>
    <w:p w14:paraId="3A0078E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负责根据项目的《风险识别和跟踪表》的内容，整理新识别的风险项，定期维护更新组织级的《风险来源和分类一览表》。必要时可以召集运维项目经理、客户方主管领导及其他相关人员对《风险来源和分类一览表》的更新内容进行评审。</w:t>
      </w:r>
    </w:p>
    <w:p w14:paraId="1F98E91D">
      <w:pPr>
        <w:pStyle w:val="29"/>
        <w:bidi w:val="0"/>
        <w:rPr>
          <w:rFonts w:hint="eastAsia"/>
          <w:lang w:val="en-US" w:eastAsia="zh-CN"/>
        </w:rPr>
      </w:pPr>
      <w:bookmarkStart w:id="10" w:name="_Toc14503"/>
      <w:r>
        <w:rPr>
          <w:rFonts w:hint="eastAsia"/>
          <w:lang w:val="en-US" w:eastAsia="zh-CN"/>
        </w:rPr>
        <w:t>风险控制流程</w:t>
      </w:r>
      <w:bookmarkEnd w:id="10"/>
    </w:p>
    <w:p w14:paraId="50224B05">
      <w:pPr>
        <w:bidi w:val="0"/>
        <w:rPr>
          <w:rFonts w:hint="eastAsia"/>
          <w:lang w:val="en-US" w:eastAsia="zh-CN"/>
        </w:rPr>
      </w:pPr>
      <w:r>
        <w:drawing>
          <wp:inline distT="0" distB="0" distL="0" distR="0">
            <wp:extent cx="5274310" cy="4472940"/>
            <wp:effectExtent l="0" t="0" r="1397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5274563" cy="4472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21B2"/>
    <w:rsid w:val="00C2346B"/>
    <w:rsid w:val="01F97036"/>
    <w:rsid w:val="02CD0FA0"/>
    <w:rsid w:val="031E62CB"/>
    <w:rsid w:val="04744737"/>
    <w:rsid w:val="04BE5FB8"/>
    <w:rsid w:val="053B615C"/>
    <w:rsid w:val="058B39C0"/>
    <w:rsid w:val="06B36D07"/>
    <w:rsid w:val="07133C6D"/>
    <w:rsid w:val="07F850B2"/>
    <w:rsid w:val="08A454C4"/>
    <w:rsid w:val="0AF838A6"/>
    <w:rsid w:val="0B0E131B"/>
    <w:rsid w:val="0C27678D"/>
    <w:rsid w:val="0D782A7C"/>
    <w:rsid w:val="0DE83EE0"/>
    <w:rsid w:val="0E6574A4"/>
    <w:rsid w:val="0EA24254"/>
    <w:rsid w:val="0EE03857"/>
    <w:rsid w:val="0EE242F3"/>
    <w:rsid w:val="10156CA8"/>
    <w:rsid w:val="107734BE"/>
    <w:rsid w:val="10974C0A"/>
    <w:rsid w:val="12F26E2C"/>
    <w:rsid w:val="13516249"/>
    <w:rsid w:val="136715C8"/>
    <w:rsid w:val="13755966"/>
    <w:rsid w:val="13F86586"/>
    <w:rsid w:val="149955B3"/>
    <w:rsid w:val="15C0622B"/>
    <w:rsid w:val="167C182F"/>
    <w:rsid w:val="19616ABA"/>
    <w:rsid w:val="19B906A4"/>
    <w:rsid w:val="1AB01AA7"/>
    <w:rsid w:val="1B7900EB"/>
    <w:rsid w:val="1B882A24"/>
    <w:rsid w:val="1BD16179"/>
    <w:rsid w:val="1CF96B9F"/>
    <w:rsid w:val="1DB06039"/>
    <w:rsid w:val="1F136AA8"/>
    <w:rsid w:val="1F4712C6"/>
    <w:rsid w:val="201C54DB"/>
    <w:rsid w:val="20A0611A"/>
    <w:rsid w:val="20B41BC5"/>
    <w:rsid w:val="216D06F2"/>
    <w:rsid w:val="22097CEF"/>
    <w:rsid w:val="221B63A0"/>
    <w:rsid w:val="225047E7"/>
    <w:rsid w:val="22630065"/>
    <w:rsid w:val="22CD6F6E"/>
    <w:rsid w:val="23CD36CA"/>
    <w:rsid w:val="24337556"/>
    <w:rsid w:val="244020ED"/>
    <w:rsid w:val="246C2EE2"/>
    <w:rsid w:val="24FD0A68"/>
    <w:rsid w:val="252709A9"/>
    <w:rsid w:val="2540611D"/>
    <w:rsid w:val="25755DC7"/>
    <w:rsid w:val="258F13C6"/>
    <w:rsid w:val="25A20B86"/>
    <w:rsid w:val="27D33279"/>
    <w:rsid w:val="286916DB"/>
    <w:rsid w:val="28927A2A"/>
    <w:rsid w:val="28BC5ABB"/>
    <w:rsid w:val="2AED63FF"/>
    <w:rsid w:val="2BE00497"/>
    <w:rsid w:val="2CDC08C3"/>
    <w:rsid w:val="2D0068BE"/>
    <w:rsid w:val="2D4F15F3"/>
    <w:rsid w:val="2D6B4043"/>
    <w:rsid w:val="2F25260C"/>
    <w:rsid w:val="2F642A08"/>
    <w:rsid w:val="30A752A2"/>
    <w:rsid w:val="30C03516"/>
    <w:rsid w:val="30D15C16"/>
    <w:rsid w:val="31682C84"/>
    <w:rsid w:val="31A87524"/>
    <w:rsid w:val="31F44517"/>
    <w:rsid w:val="321626E0"/>
    <w:rsid w:val="32236BAB"/>
    <w:rsid w:val="32285F6F"/>
    <w:rsid w:val="325A3C70"/>
    <w:rsid w:val="33C85833"/>
    <w:rsid w:val="33EC194A"/>
    <w:rsid w:val="33F7209D"/>
    <w:rsid w:val="3566572C"/>
    <w:rsid w:val="35976880"/>
    <w:rsid w:val="35BE7316"/>
    <w:rsid w:val="35C81F43"/>
    <w:rsid w:val="361B6516"/>
    <w:rsid w:val="362545F8"/>
    <w:rsid w:val="36274EBB"/>
    <w:rsid w:val="386D0B7F"/>
    <w:rsid w:val="38B50D3E"/>
    <w:rsid w:val="3A1439A9"/>
    <w:rsid w:val="3A59015E"/>
    <w:rsid w:val="3C127E96"/>
    <w:rsid w:val="3DDA05E5"/>
    <w:rsid w:val="3ECD4126"/>
    <w:rsid w:val="3F261A88"/>
    <w:rsid w:val="3F5150F2"/>
    <w:rsid w:val="3F7D78FA"/>
    <w:rsid w:val="40503261"/>
    <w:rsid w:val="40A67324"/>
    <w:rsid w:val="411E7700"/>
    <w:rsid w:val="41766CF7"/>
    <w:rsid w:val="41C55588"/>
    <w:rsid w:val="41CB242A"/>
    <w:rsid w:val="4272310A"/>
    <w:rsid w:val="43055AE3"/>
    <w:rsid w:val="444C2BC0"/>
    <w:rsid w:val="44E67CEF"/>
    <w:rsid w:val="45264590"/>
    <w:rsid w:val="45594965"/>
    <w:rsid w:val="461E795D"/>
    <w:rsid w:val="464E6A92"/>
    <w:rsid w:val="46C73B51"/>
    <w:rsid w:val="480E5EDB"/>
    <w:rsid w:val="4A314103"/>
    <w:rsid w:val="4BE33F9B"/>
    <w:rsid w:val="4C3E0AC3"/>
    <w:rsid w:val="4C825B51"/>
    <w:rsid w:val="4CF3569F"/>
    <w:rsid w:val="4F2F6737"/>
    <w:rsid w:val="50151DD1"/>
    <w:rsid w:val="50396934"/>
    <w:rsid w:val="50866022"/>
    <w:rsid w:val="513D615D"/>
    <w:rsid w:val="5181771E"/>
    <w:rsid w:val="51870AAC"/>
    <w:rsid w:val="51C95322"/>
    <w:rsid w:val="51D0115E"/>
    <w:rsid w:val="52796647"/>
    <w:rsid w:val="52860856"/>
    <w:rsid w:val="52F43CAD"/>
    <w:rsid w:val="53BF452D"/>
    <w:rsid w:val="54D758A7"/>
    <w:rsid w:val="559D0A05"/>
    <w:rsid w:val="55CA674D"/>
    <w:rsid w:val="56854DDE"/>
    <w:rsid w:val="590A14DD"/>
    <w:rsid w:val="593A2391"/>
    <w:rsid w:val="59747B68"/>
    <w:rsid w:val="59894B9F"/>
    <w:rsid w:val="5AC93EE4"/>
    <w:rsid w:val="5AFC6067"/>
    <w:rsid w:val="5B742CF8"/>
    <w:rsid w:val="5B832808"/>
    <w:rsid w:val="5D04750C"/>
    <w:rsid w:val="5D691C96"/>
    <w:rsid w:val="5DAB2539"/>
    <w:rsid w:val="5DB1138B"/>
    <w:rsid w:val="5E7F4668"/>
    <w:rsid w:val="5EEC63F2"/>
    <w:rsid w:val="5F2B1624"/>
    <w:rsid w:val="602045A6"/>
    <w:rsid w:val="61375910"/>
    <w:rsid w:val="61CA2A1B"/>
    <w:rsid w:val="61CB0541"/>
    <w:rsid w:val="6203471A"/>
    <w:rsid w:val="62C51434"/>
    <w:rsid w:val="63B7355E"/>
    <w:rsid w:val="64161DA3"/>
    <w:rsid w:val="64A4784A"/>
    <w:rsid w:val="64CF659A"/>
    <w:rsid w:val="64E8140A"/>
    <w:rsid w:val="66017845"/>
    <w:rsid w:val="665C0C2E"/>
    <w:rsid w:val="66C33EDD"/>
    <w:rsid w:val="66E75E1D"/>
    <w:rsid w:val="670378F6"/>
    <w:rsid w:val="67347F06"/>
    <w:rsid w:val="67803B7C"/>
    <w:rsid w:val="680C4F78"/>
    <w:rsid w:val="696574CD"/>
    <w:rsid w:val="6A8E035E"/>
    <w:rsid w:val="6BC14A92"/>
    <w:rsid w:val="6C472AB5"/>
    <w:rsid w:val="6CBF6EF4"/>
    <w:rsid w:val="6CC028ED"/>
    <w:rsid w:val="6D1014FE"/>
    <w:rsid w:val="6D1C4347"/>
    <w:rsid w:val="6D317DF2"/>
    <w:rsid w:val="6DDB5FB0"/>
    <w:rsid w:val="6E2B2A93"/>
    <w:rsid w:val="6E4C0C5C"/>
    <w:rsid w:val="6EC627BC"/>
    <w:rsid w:val="6F0E7CBF"/>
    <w:rsid w:val="703025E3"/>
    <w:rsid w:val="70952446"/>
    <w:rsid w:val="71662034"/>
    <w:rsid w:val="728A45F4"/>
    <w:rsid w:val="728C1627"/>
    <w:rsid w:val="72FC1311"/>
    <w:rsid w:val="73274B12"/>
    <w:rsid w:val="7386076C"/>
    <w:rsid w:val="74B03CF2"/>
    <w:rsid w:val="75701C77"/>
    <w:rsid w:val="75FD6934"/>
    <w:rsid w:val="775557EE"/>
    <w:rsid w:val="77FF5426"/>
    <w:rsid w:val="78DB6E64"/>
    <w:rsid w:val="79393B8B"/>
    <w:rsid w:val="79A040E8"/>
    <w:rsid w:val="79C43D9C"/>
    <w:rsid w:val="7B14665D"/>
    <w:rsid w:val="7B46247D"/>
    <w:rsid w:val="7BE10C35"/>
    <w:rsid w:val="7BE35A96"/>
    <w:rsid w:val="7CA413CC"/>
    <w:rsid w:val="7CA57EB5"/>
    <w:rsid w:val="7CC22486"/>
    <w:rsid w:val="7CFF06D7"/>
    <w:rsid w:val="7D0A41BC"/>
    <w:rsid w:val="7D692C90"/>
    <w:rsid w:val="7DCC06C1"/>
    <w:rsid w:val="7E977CD1"/>
    <w:rsid w:val="7ED9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2443</Words>
  <Characters>2568</Characters>
  <Lines>0</Lines>
  <Paragraphs>0</Paragraphs>
  <TotalTime>0</TotalTime>
  <ScaleCrop>false</ScaleCrop>
  <LinksUpToDate>false</LinksUpToDate>
  <CharactersWithSpaces>2632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