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73F8F8">
      <w:pPr>
        <w:bidi w:val="0"/>
        <w:spacing w:line="360" w:lineRule="auto"/>
        <w:jc w:val="center"/>
        <w:rPr>
          <w:rFonts w:hint="eastAsia" w:cs="宋体"/>
          <w:b/>
          <w:sz w:val="44"/>
          <w:szCs w:val="44"/>
        </w:rPr>
      </w:pPr>
    </w:p>
    <w:p w14:paraId="0E4D35AE">
      <w:pPr>
        <w:spacing w:before="169" w:line="220" w:lineRule="auto"/>
        <w:jc w:val="center"/>
        <w:outlineLvl w:val="0"/>
        <w:rPr>
          <w:rFonts w:hint="default" w:ascii="宋体" w:hAnsi="宋体" w:eastAsia="宋体" w:cs="宋体"/>
          <w:sz w:val="52"/>
          <w:szCs w:val="52"/>
          <w:lang w:val="en-US" w:eastAsia="zh-CN"/>
        </w:rPr>
      </w:pPr>
      <w:bookmarkStart w:id="0" w:name="_Toc6785"/>
      <w:r>
        <w:rPr>
          <w:rFonts w:hint="eastAsia" w:ascii="宋体" w:hAnsi="宋体" w:cs="宋体"/>
          <w:b/>
          <w:bCs/>
          <w:spacing w:val="-8"/>
          <w:sz w:val="52"/>
          <w:szCs w:val="52"/>
          <w:lang w:val="en-US" w:eastAsia="zh-CN"/>
        </w:rPr>
        <w:t>运维交付风险控制办法</w:t>
      </w:r>
      <w:bookmarkEnd w:id="0"/>
    </w:p>
    <w:p w14:paraId="0E3AD7F3">
      <w:pPr>
        <w:pStyle w:val="12"/>
        <w:spacing w:line="259" w:lineRule="auto"/>
      </w:pPr>
    </w:p>
    <w:p w14:paraId="682FA42E">
      <w:pPr>
        <w:pStyle w:val="12"/>
        <w:spacing w:line="259" w:lineRule="auto"/>
      </w:pPr>
    </w:p>
    <w:p w14:paraId="7163D500">
      <w:pPr>
        <w:pStyle w:val="12"/>
        <w:spacing w:line="259" w:lineRule="auto"/>
      </w:pPr>
    </w:p>
    <w:p w14:paraId="15D18578">
      <w:pPr>
        <w:pStyle w:val="12"/>
        <w:spacing w:line="259" w:lineRule="auto"/>
      </w:pPr>
    </w:p>
    <w:p w14:paraId="0851C5B3">
      <w:pPr>
        <w:pStyle w:val="12"/>
        <w:spacing w:line="259" w:lineRule="auto"/>
      </w:pPr>
    </w:p>
    <w:p w14:paraId="691B768F">
      <w:pPr>
        <w:pStyle w:val="12"/>
        <w:spacing w:line="260" w:lineRule="auto"/>
      </w:pPr>
    </w:p>
    <w:p w14:paraId="386A63A2">
      <w:pPr>
        <w:pStyle w:val="12"/>
        <w:spacing w:line="260" w:lineRule="auto"/>
      </w:pPr>
    </w:p>
    <w:p w14:paraId="62386F0A">
      <w:pPr>
        <w:spacing w:line="1293" w:lineRule="exact"/>
        <w:jc w:val="center"/>
      </w:pPr>
      <w:r>
        <w:rPr>
          <w:position w:val="-25"/>
        </w:rPr>
        <w:drawing>
          <wp:inline distT="0" distB="0" distL="0" distR="0">
            <wp:extent cx="2757170" cy="820420"/>
            <wp:effectExtent l="0" t="0" r="1270" b="2540"/>
            <wp:docPr id="4" name="IM 2"/>
            <wp:cNvGraphicFramePr/>
            <a:graphic xmlns:a="http://schemas.openxmlformats.org/drawingml/2006/main">
              <a:graphicData uri="http://schemas.openxmlformats.org/drawingml/2006/picture">
                <pic:pic xmlns:pic="http://schemas.openxmlformats.org/drawingml/2006/picture">
                  <pic:nvPicPr>
                    <pic:cNvPr id="4" name="IM 2"/>
                    <pic:cNvPicPr/>
                  </pic:nvPicPr>
                  <pic:blipFill>
                    <a:blip r:embed="rId6"/>
                    <a:stretch>
                      <a:fillRect/>
                    </a:stretch>
                  </pic:blipFill>
                  <pic:spPr>
                    <a:xfrm>
                      <a:off x="0" y="0"/>
                      <a:ext cx="2757599" cy="820799"/>
                    </a:xfrm>
                    <a:prstGeom prst="rect">
                      <a:avLst/>
                    </a:prstGeom>
                  </pic:spPr>
                </pic:pic>
              </a:graphicData>
            </a:graphic>
          </wp:inline>
        </w:drawing>
      </w:r>
    </w:p>
    <w:p w14:paraId="3E2EAECF">
      <w:pPr>
        <w:pStyle w:val="12"/>
        <w:spacing w:line="245" w:lineRule="auto"/>
      </w:pPr>
    </w:p>
    <w:p w14:paraId="65C3EEA3">
      <w:pPr>
        <w:pStyle w:val="12"/>
        <w:spacing w:line="245" w:lineRule="auto"/>
        <w:jc w:val="center"/>
      </w:pPr>
    </w:p>
    <w:p w14:paraId="23E6F599">
      <w:pPr>
        <w:pStyle w:val="12"/>
        <w:spacing w:line="245" w:lineRule="auto"/>
      </w:pPr>
    </w:p>
    <w:p w14:paraId="6C4CB0B8">
      <w:pPr>
        <w:pStyle w:val="12"/>
        <w:spacing w:line="245" w:lineRule="auto"/>
      </w:pPr>
    </w:p>
    <w:p w14:paraId="43FA5B40">
      <w:pPr>
        <w:pStyle w:val="12"/>
        <w:spacing w:line="245" w:lineRule="auto"/>
      </w:pPr>
    </w:p>
    <w:p w14:paraId="66DDE666">
      <w:pPr>
        <w:pStyle w:val="12"/>
        <w:spacing w:line="245" w:lineRule="auto"/>
      </w:pPr>
    </w:p>
    <w:p w14:paraId="53A9C8A5">
      <w:pPr>
        <w:pStyle w:val="12"/>
        <w:spacing w:line="245" w:lineRule="auto"/>
      </w:pPr>
    </w:p>
    <w:p w14:paraId="1986E5BC">
      <w:pPr>
        <w:pStyle w:val="12"/>
        <w:spacing w:line="245" w:lineRule="auto"/>
      </w:pPr>
    </w:p>
    <w:p w14:paraId="39B0EDE3">
      <w:pPr>
        <w:pStyle w:val="12"/>
        <w:spacing w:line="245" w:lineRule="auto"/>
      </w:pPr>
    </w:p>
    <w:p w14:paraId="1BABDE98">
      <w:pPr>
        <w:pStyle w:val="12"/>
        <w:spacing w:line="245" w:lineRule="auto"/>
      </w:pPr>
    </w:p>
    <w:p w14:paraId="136F2CD5">
      <w:pPr>
        <w:pStyle w:val="12"/>
        <w:spacing w:line="245" w:lineRule="auto"/>
      </w:pPr>
    </w:p>
    <w:p w14:paraId="3E4BE39B">
      <w:pPr>
        <w:pStyle w:val="12"/>
        <w:spacing w:line="245" w:lineRule="auto"/>
      </w:pPr>
    </w:p>
    <w:p w14:paraId="5EFD7F07">
      <w:pPr>
        <w:pStyle w:val="12"/>
        <w:spacing w:line="245" w:lineRule="auto"/>
      </w:pPr>
    </w:p>
    <w:p w14:paraId="5908EAFD">
      <w:pPr>
        <w:pStyle w:val="12"/>
        <w:spacing w:line="245" w:lineRule="auto"/>
      </w:pPr>
    </w:p>
    <w:p w14:paraId="3986BC7F">
      <w:pPr>
        <w:pStyle w:val="12"/>
        <w:spacing w:line="245" w:lineRule="auto"/>
      </w:pPr>
    </w:p>
    <w:p w14:paraId="39C9E1CF">
      <w:pPr>
        <w:pStyle w:val="12"/>
        <w:spacing w:line="245" w:lineRule="auto"/>
      </w:pPr>
    </w:p>
    <w:p w14:paraId="422F1708">
      <w:pPr>
        <w:pStyle w:val="12"/>
        <w:spacing w:line="245" w:lineRule="auto"/>
      </w:pPr>
    </w:p>
    <w:p w14:paraId="5BAC13B5">
      <w:pPr>
        <w:spacing w:before="117" w:line="219" w:lineRule="auto"/>
        <w:jc w:val="center"/>
        <w:rPr>
          <w:rFonts w:ascii="宋体" w:hAnsi="宋体" w:eastAsia="宋体" w:cs="宋体"/>
          <w:spacing w:val="-1"/>
          <w:sz w:val="36"/>
          <w:szCs w:val="36"/>
        </w:rPr>
      </w:pPr>
      <w:r>
        <w:rPr>
          <w:rFonts w:ascii="宋体" w:hAnsi="宋体" w:eastAsia="宋体" w:cs="宋体"/>
          <w:spacing w:val="-1"/>
          <w:sz w:val="36"/>
          <w:szCs w:val="36"/>
        </w:rPr>
        <w:t>青岛慧海联创信息技术有限公司</w:t>
      </w:r>
    </w:p>
    <w:p w14:paraId="63B8470F">
      <w:pPr>
        <w:spacing w:before="117" w:line="219" w:lineRule="auto"/>
        <w:jc w:val="center"/>
        <w:rPr>
          <w:rFonts w:hint="default" w:ascii="宋体" w:hAnsi="宋体" w:eastAsia="宋体" w:cs="宋体"/>
          <w:spacing w:val="-1"/>
          <w:sz w:val="36"/>
          <w:szCs w:val="36"/>
          <w:lang w:val="en-US" w:eastAsia="zh-CN"/>
        </w:rPr>
      </w:pPr>
      <w:r>
        <w:rPr>
          <w:rFonts w:ascii="宋体" w:hAnsi="宋体" w:eastAsia="宋体" w:cs="宋体"/>
          <w:spacing w:val="-1"/>
          <w:sz w:val="36"/>
          <w:szCs w:val="36"/>
        </w:rPr>
        <w:t>202</w:t>
      </w:r>
      <w:r>
        <w:rPr>
          <w:rFonts w:hint="eastAsia" w:ascii="宋体" w:hAnsi="宋体" w:eastAsia="宋体" w:cs="宋体"/>
          <w:spacing w:val="-1"/>
          <w:sz w:val="36"/>
          <w:szCs w:val="36"/>
          <w:lang w:val="en-US" w:eastAsia="zh-CN"/>
        </w:rPr>
        <w:t>5</w:t>
      </w:r>
      <w:r>
        <w:rPr>
          <w:rFonts w:ascii="宋体" w:hAnsi="宋体" w:eastAsia="宋体" w:cs="宋体"/>
          <w:spacing w:val="-1"/>
          <w:sz w:val="36"/>
          <w:szCs w:val="36"/>
        </w:rPr>
        <w:t>-0</w:t>
      </w:r>
      <w:r>
        <w:rPr>
          <w:rFonts w:hint="eastAsia" w:ascii="宋体" w:hAnsi="宋体" w:cs="宋体"/>
          <w:spacing w:val="-1"/>
          <w:sz w:val="36"/>
          <w:szCs w:val="36"/>
          <w:lang w:val="en-US" w:eastAsia="zh-CN"/>
        </w:rPr>
        <w:t>1</w:t>
      </w:r>
      <w:r>
        <w:rPr>
          <w:rFonts w:ascii="宋体" w:hAnsi="宋体" w:eastAsia="宋体" w:cs="宋体"/>
          <w:spacing w:val="-1"/>
          <w:sz w:val="36"/>
          <w:szCs w:val="36"/>
        </w:rPr>
        <w:t>-</w:t>
      </w:r>
      <w:r>
        <w:rPr>
          <w:rFonts w:hint="eastAsia" w:ascii="宋体" w:hAnsi="宋体" w:cs="宋体"/>
          <w:spacing w:val="-1"/>
          <w:sz w:val="36"/>
          <w:szCs w:val="36"/>
          <w:lang w:val="en-US" w:eastAsia="zh-CN"/>
        </w:rPr>
        <w:t>04</w:t>
      </w:r>
    </w:p>
    <w:p w14:paraId="6D673480">
      <w:pPr>
        <w:bidi w:val="0"/>
        <w:spacing w:line="360" w:lineRule="auto"/>
        <w:jc w:val="center"/>
        <w:rPr>
          <w:rFonts w:hint="eastAsia" w:cs="宋体"/>
          <w:b/>
          <w:sz w:val="44"/>
          <w:szCs w:val="44"/>
          <w:u w:val="single"/>
        </w:rPr>
      </w:pPr>
    </w:p>
    <w:p w14:paraId="29937D6F">
      <w:r>
        <w:br w:type="page"/>
      </w:r>
    </w:p>
    <w:p w14:paraId="78AE1390">
      <w:pPr>
        <w:spacing w:before="69" w:line="220" w:lineRule="auto"/>
        <w:ind w:left="3954"/>
        <w:outlineLvl w:val="0"/>
        <w:rPr>
          <w:rFonts w:ascii="宋体" w:hAnsi="宋体" w:eastAsia="宋体" w:cs="宋体"/>
          <w:sz w:val="24"/>
          <w:szCs w:val="24"/>
        </w:rPr>
      </w:pPr>
      <w:bookmarkStart w:id="1" w:name="_Toc9784"/>
      <w:r>
        <w:rPr>
          <w:rFonts w:ascii="宋体" w:hAnsi="宋体" w:eastAsia="宋体" w:cs="宋体"/>
          <w:spacing w:val="-2"/>
          <w:sz w:val="24"/>
          <w:szCs w:val="24"/>
        </w:rPr>
        <w:t>文档信息</w:t>
      </w:r>
      <w:bookmarkEnd w:id="1"/>
    </w:p>
    <w:p w14:paraId="3C9A308F">
      <w:pPr>
        <w:spacing w:line="16" w:lineRule="exact"/>
      </w:pPr>
    </w:p>
    <w:p w14:paraId="252ED3DD">
      <w:pPr>
        <w:spacing w:before="116" w:line="221" w:lineRule="auto"/>
        <w:ind w:left="5767" w:leftChars="0"/>
      </w:pP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5"/>
        <w:gridCol w:w="1646"/>
        <w:gridCol w:w="1646"/>
        <w:gridCol w:w="1646"/>
        <w:gridCol w:w="1124"/>
      </w:tblGrid>
      <w:tr w14:paraId="1C242B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shd w:val="clear" w:color="auto" w:fill="auto"/>
            <w:vAlign w:val="top"/>
          </w:tcPr>
          <w:p w14:paraId="506C99B7">
            <w:pPr>
              <w:pStyle w:val="26"/>
              <w:widowControl w:val="0"/>
              <w:spacing w:before="199" w:line="220" w:lineRule="auto"/>
              <w:rPr>
                <w:rFonts w:ascii="宋体" w:hAnsi="宋体" w:eastAsia="宋体" w:cs="宋体"/>
                <w:kern w:val="2"/>
                <w:sz w:val="28"/>
                <w:szCs w:val="28"/>
                <w:lang w:val="en-US" w:eastAsia="en-US" w:bidi="ar-SA"/>
              </w:rPr>
            </w:pPr>
            <w:r>
              <w:rPr>
                <w:spacing w:val="-2"/>
              </w:rPr>
              <w:t>文档名称编号</w:t>
            </w:r>
          </w:p>
        </w:tc>
        <w:tc>
          <w:tcPr>
            <w:tcW w:w="6062" w:type="dxa"/>
            <w:gridSpan w:val="4"/>
            <w:shd w:val="clear" w:color="auto" w:fill="auto"/>
            <w:vAlign w:val="top"/>
          </w:tcPr>
          <w:p w14:paraId="4AB8FA8C">
            <w:pPr>
              <w:pStyle w:val="26"/>
              <w:widowControl w:val="0"/>
              <w:spacing w:before="200" w:line="218" w:lineRule="auto"/>
              <w:ind w:left="108" w:leftChars="0"/>
              <w:rPr>
                <w:rFonts w:ascii="宋体" w:hAnsi="宋体" w:eastAsia="宋体" w:cs="宋体"/>
                <w:kern w:val="2"/>
                <w:sz w:val="28"/>
                <w:szCs w:val="28"/>
                <w:lang w:val="en-US" w:eastAsia="en-US" w:bidi="ar-SA"/>
              </w:rPr>
            </w:pPr>
            <w:r>
              <w:rPr>
                <w:rFonts w:hint="eastAsia"/>
                <w:spacing w:val="-1"/>
                <w:lang w:val="en-US" w:eastAsia="zh-CN"/>
              </w:rPr>
              <w:t>运维交付风险控制办法</w:t>
            </w:r>
            <w:r>
              <w:rPr>
                <w:spacing w:val="-1"/>
              </w:rPr>
              <w:t>（HHLC-ITSS-</w:t>
            </w:r>
            <w:r>
              <w:rPr>
                <w:rFonts w:hint="eastAsia"/>
                <w:spacing w:val="-1"/>
                <w:lang w:val="en-US" w:eastAsia="zh-CN"/>
              </w:rPr>
              <w:t>YWJFFXGL</w:t>
            </w:r>
            <w:r>
              <w:rPr>
                <w:spacing w:val="-1"/>
              </w:rPr>
              <w:t>）</w:t>
            </w:r>
          </w:p>
        </w:tc>
      </w:tr>
      <w:tr w14:paraId="64565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shd w:val="clear" w:color="auto" w:fill="auto"/>
            <w:vAlign w:val="top"/>
          </w:tcPr>
          <w:p w14:paraId="1F7EEB2A">
            <w:pPr>
              <w:pStyle w:val="26"/>
              <w:widowControl w:val="0"/>
              <w:spacing w:before="196" w:line="220" w:lineRule="auto"/>
              <w:rPr>
                <w:rFonts w:ascii="宋体" w:hAnsi="宋体" w:eastAsia="宋体" w:cs="宋体"/>
                <w:kern w:val="2"/>
                <w:sz w:val="28"/>
                <w:szCs w:val="28"/>
                <w:lang w:val="en-US" w:eastAsia="en-US" w:bidi="ar-SA"/>
              </w:rPr>
            </w:pPr>
            <w:r>
              <w:rPr>
                <w:spacing w:val="-2"/>
              </w:rPr>
              <w:t>编制单位</w:t>
            </w:r>
          </w:p>
        </w:tc>
        <w:tc>
          <w:tcPr>
            <w:tcW w:w="6062" w:type="dxa"/>
            <w:gridSpan w:val="4"/>
            <w:shd w:val="clear" w:color="auto" w:fill="auto"/>
            <w:vAlign w:val="top"/>
          </w:tcPr>
          <w:p w14:paraId="65CD7FCC">
            <w:pPr>
              <w:pStyle w:val="26"/>
              <w:widowControl w:val="0"/>
              <w:spacing w:before="197" w:line="219" w:lineRule="auto"/>
              <w:ind w:left="108" w:leftChars="0"/>
              <w:rPr>
                <w:rFonts w:ascii="宋体" w:hAnsi="宋体" w:eastAsia="宋体" w:cs="宋体"/>
                <w:kern w:val="2"/>
                <w:sz w:val="28"/>
                <w:szCs w:val="28"/>
                <w:lang w:val="en-US" w:eastAsia="en-US" w:bidi="ar-SA"/>
              </w:rPr>
            </w:pPr>
            <w:r>
              <w:rPr>
                <w:spacing w:val="-1"/>
              </w:rPr>
              <w:t>青岛慧海联创信息技术有限公司</w:t>
            </w:r>
          </w:p>
        </w:tc>
      </w:tr>
      <w:tr w14:paraId="5E6299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shd w:val="clear" w:color="auto" w:fill="auto"/>
            <w:vAlign w:val="top"/>
          </w:tcPr>
          <w:p w14:paraId="0CFAFAFC">
            <w:pPr>
              <w:pStyle w:val="26"/>
              <w:widowControl w:val="0"/>
              <w:spacing w:before="199" w:line="219" w:lineRule="auto"/>
              <w:rPr>
                <w:rFonts w:ascii="宋体" w:hAnsi="宋体" w:eastAsia="宋体" w:cs="宋体"/>
                <w:kern w:val="2"/>
                <w:sz w:val="28"/>
                <w:szCs w:val="28"/>
                <w:lang w:val="en-US" w:eastAsia="en-US" w:bidi="ar-SA"/>
              </w:rPr>
            </w:pPr>
            <w:r>
              <w:rPr>
                <w:spacing w:val="-2"/>
              </w:rPr>
              <w:t>文档版本</w:t>
            </w:r>
          </w:p>
        </w:tc>
        <w:tc>
          <w:tcPr>
            <w:tcW w:w="1646" w:type="dxa"/>
            <w:shd w:val="clear" w:color="auto" w:fill="auto"/>
            <w:vAlign w:val="top"/>
          </w:tcPr>
          <w:p w14:paraId="55732FC2">
            <w:pPr>
              <w:pStyle w:val="26"/>
              <w:widowControl w:val="0"/>
              <w:spacing w:before="199" w:line="219" w:lineRule="auto"/>
              <w:rPr>
                <w:rFonts w:ascii="宋体" w:hAnsi="宋体" w:eastAsia="宋体" w:cs="宋体"/>
                <w:kern w:val="2"/>
                <w:sz w:val="28"/>
                <w:szCs w:val="28"/>
                <w:lang w:val="en-US" w:eastAsia="en-US" w:bidi="ar-SA"/>
              </w:rPr>
            </w:pPr>
            <w:r>
              <w:rPr>
                <w:spacing w:val="-2"/>
              </w:rPr>
              <w:t>版本日期</w:t>
            </w:r>
          </w:p>
        </w:tc>
        <w:tc>
          <w:tcPr>
            <w:tcW w:w="1646" w:type="dxa"/>
            <w:shd w:val="clear" w:color="auto" w:fill="auto"/>
            <w:vAlign w:val="top"/>
          </w:tcPr>
          <w:p w14:paraId="1C0B0454">
            <w:pPr>
              <w:pStyle w:val="26"/>
              <w:widowControl w:val="0"/>
              <w:spacing w:before="199" w:line="219" w:lineRule="auto"/>
              <w:rPr>
                <w:rFonts w:ascii="宋体" w:hAnsi="宋体" w:eastAsia="宋体" w:cs="宋体"/>
                <w:kern w:val="2"/>
                <w:sz w:val="28"/>
                <w:szCs w:val="28"/>
                <w:lang w:val="en-US" w:eastAsia="en-US" w:bidi="ar-SA"/>
              </w:rPr>
            </w:pPr>
            <w:r>
              <w:rPr>
                <w:spacing w:val="-2"/>
              </w:rPr>
              <w:t>版本说明</w:t>
            </w:r>
          </w:p>
        </w:tc>
        <w:tc>
          <w:tcPr>
            <w:tcW w:w="1646" w:type="dxa"/>
            <w:shd w:val="clear" w:color="auto" w:fill="auto"/>
            <w:vAlign w:val="top"/>
          </w:tcPr>
          <w:p w14:paraId="37936BC7">
            <w:pPr>
              <w:pStyle w:val="26"/>
              <w:widowControl w:val="0"/>
              <w:spacing w:before="199" w:line="220" w:lineRule="auto"/>
              <w:rPr>
                <w:rFonts w:ascii="宋体" w:hAnsi="宋体" w:eastAsia="宋体" w:cs="宋体"/>
                <w:kern w:val="2"/>
                <w:sz w:val="28"/>
                <w:szCs w:val="28"/>
                <w:lang w:val="en-US" w:eastAsia="en-US" w:bidi="ar-SA"/>
              </w:rPr>
            </w:pPr>
            <w:r>
              <w:rPr>
                <w:spacing w:val="-3"/>
              </w:rPr>
              <w:t>作者</w:t>
            </w:r>
          </w:p>
        </w:tc>
        <w:tc>
          <w:tcPr>
            <w:tcW w:w="1124" w:type="dxa"/>
            <w:shd w:val="clear" w:color="auto" w:fill="auto"/>
            <w:vAlign w:val="top"/>
          </w:tcPr>
          <w:p w14:paraId="578DBCC8">
            <w:pPr>
              <w:pStyle w:val="26"/>
              <w:widowControl w:val="0"/>
              <w:spacing w:before="199" w:line="220" w:lineRule="auto"/>
              <w:rPr>
                <w:rFonts w:ascii="宋体" w:hAnsi="宋体" w:eastAsia="宋体" w:cs="宋体"/>
                <w:kern w:val="2"/>
                <w:sz w:val="28"/>
                <w:szCs w:val="28"/>
                <w:lang w:val="en-US" w:eastAsia="en-US" w:bidi="ar-SA"/>
              </w:rPr>
            </w:pPr>
            <w:r>
              <w:rPr>
                <w:spacing w:val="-5"/>
              </w:rPr>
              <w:t>审核</w:t>
            </w:r>
          </w:p>
        </w:tc>
      </w:tr>
      <w:tr w14:paraId="7FC50D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0" w:type="auto"/>
            <w:shd w:val="clear" w:color="auto" w:fill="auto"/>
            <w:vAlign w:val="top"/>
          </w:tcPr>
          <w:p w14:paraId="27129100">
            <w:pPr>
              <w:pStyle w:val="26"/>
              <w:widowControl w:val="0"/>
              <w:spacing w:before="163" w:line="239" w:lineRule="auto"/>
              <w:rPr>
                <w:rFonts w:ascii="宋体" w:hAnsi="宋体" w:eastAsia="宋体" w:cs="宋体"/>
                <w:kern w:val="2"/>
                <w:sz w:val="28"/>
                <w:szCs w:val="28"/>
                <w:lang w:val="en-US" w:eastAsia="en-US" w:bidi="ar-SA"/>
              </w:rPr>
            </w:pPr>
            <w:r>
              <w:rPr>
                <w:spacing w:val="-1"/>
              </w:rPr>
              <w:t>V1.0</w:t>
            </w:r>
          </w:p>
        </w:tc>
        <w:tc>
          <w:tcPr>
            <w:tcW w:w="0" w:type="auto"/>
            <w:shd w:val="clear" w:color="auto" w:fill="auto"/>
            <w:vAlign w:val="top"/>
          </w:tcPr>
          <w:p w14:paraId="76C833A8">
            <w:pPr>
              <w:pStyle w:val="26"/>
              <w:widowControl w:val="0"/>
              <w:spacing w:before="163"/>
              <w:rPr>
                <w:rFonts w:hint="default" w:ascii="宋体" w:hAnsi="宋体" w:eastAsia="宋体" w:cs="宋体"/>
                <w:kern w:val="2"/>
                <w:sz w:val="28"/>
                <w:szCs w:val="28"/>
                <w:lang w:val="en-US" w:eastAsia="zh-CN" w:bidi="ar-SA"/>
              </w:rPr>
            </w:pPr>
            <w:r>
              <w:rPr>
                <w:spacing w:val="-2"/>
              </w:rPr>
              <w:t>20</w:t>
            </w:r>
            <w:r>
              <w:rPr>
                <w:rFonts w:hint="eastAsia" w:eastAsia="宋体"/>
                <w:spacing w:val="-2"/>
                <w:lang w:val="en-US" w:eastAsia="zh-CN"/>
              </w:rPr>
              <w:t>25</w:t>
            </w:r>
            <w:r>
              <w:rPr>
                <w:spacing w:val="-2"/>
              </w:rPr>
              <w:t>-</w:t>
            </w:r>
            <w:r>
              <w:rPr>
                <w:rFonts w:hint="eastAsia"/>
                <w:spacing w:val="-2"/>
                <w:lang w:val="en-US" w:eastAsia="zh-CN"/>
              </w:rPr>
              <w:t>1</w:t>
            </w:r>
            <w:r>
              <w:rPr>
                <w:spacing w:val="-2"/>
              </w:rPr>
              <w:t>-</w:t>
            </w:r>
            <w:r>
              <w:rPr>
                <w:rFonts w:hint="eastAsia"/>
                <w:spacing w:val="-2"/>
                <w:lang w:val="en-US" w:eastAsia="zh-CN"/>
              </w:rPr>
              <w:t>4</w:t>
            </w:r>
          </w:p>
        </w:tc>
        <w:tc>
          <w:tcPr>
            <w:tcW w:w="0" w:type="auto"/>
            <w:shd w:val="clear" w:color="auto" w:fill="auto"/>
            <w:vAlign w:val="top"/>
          </w:tcPr>
          <w:p w14:paraId="15443572">
            <w:pPr>
              <w:pStyle w:val="26"/>
              <w:widowControl w:val="0"/>
              <w:spacing w:before="133" w:line="219" w:lineRule="auto"/>
              <w:rPr>
                <w:rFonts w:ascii="宋体" w:hAnsi="宋体" w:eastAsia="宋体" w:cs="宋体"/>
                <w:kern w:val="2"/>
                <w:sz w:val="28"/>
                <w:szCs w:val="28"/>
                <w:lang w:val="en-US" w:eastAsia="en-US" w:bidi="ar-SA"/>
              </w:rPr>
            </w:pPr>
            <w:r>
              <w:rPr>
                <w:spacing w:val="-3"/>
              </w:rPr>
              <w:t>发布版本</w:t>
            </w:r>
          </w:p>
        </w:tc>
        <w:tc>
          <w:tcPr>
            <w:tcW w:w="0" w:type="auto"/>
            <w:shd w:val="clear" w:color="auto" w:fill="auto"/>
            <w:vAlign w:val="top"/>
          </w:tcPr>
          <w:p w14:paraId="26D22F84">
            <w:pPr>
              <w:pStyle w:val="26"/>
              <w:widowControl w:val="0"/>
              <w:spacing w:before="134" w:line="220" w:lineRule="auto"/>
              <w:rPr>
                <w:rFonts w:hint="eastAsia" w:ascii="宋体" w:hAnsi="宋体" w:eastAsia="宋体" w:cs="宋体"/>
                <w:kern w:val="2"/>
                <w:sz w:val="28"/>
                <w:szCs w:val="28"/>
                <w:lang w:val="en-US" w:eastAsia="zh-CN" w:bidi="ar-SA"/>
              </w:rPr>
            </w:pPr>
            <w:r>
              <w:rPr>
                <w:rFonts w:hint="eastAsia" w:cs="宋体"/>
                <w:kern w:val="2"/>
                <w:sz w:val="28"/>
                <w:szCs w:val="28"/>
                <w:lang w:val="en-US" w:eastAsia="zh-CN" w:bidi="ar-SA"/>
              </w:rPr>
              <w:t>运维服务部</w:t>
            </w:r>
          </w:p>
        </w:tc>
        <w:tc>
          <w:tcPr>
            <w:tcW w:w="1124" w:type="dxa"/>
            <w:shd w:val="clear" w:color="auto" w:fill="auto"/>
            <w:vAlign w:val="top"/>
          </w:tcPr>
          <w:p w14:paraId="11E2D727">
            <w:pPr>
              <w:pStyle w:val="26"/>
              <w:widowControl w:val="0"/>
              <w:spacing w:before="133" w:line="220" w:lineRule="auto"/>
              <w:rPr>
                <w:rFonts w:ascii="宋体" w:hAnsi="宋体" w:eastAsia="宋体" w:cs="宋体"/>
                <w:kern w:val="2"/>
                <w:sz w:val="28"/>
                <w:szCs w:val="28"/>
                <w:lang w:val="en-US" w:eastAsia="en-US" w:bidi="ar-SA"/>
              </w:rPr>
            </w:pPr>
            <w:r>
              <w:rPr>
                <w:spacing w:val="-3"/>
              </w:rPr>
              <w:t>张仲全</w:t>
            </w:r>
          </w:p>
        </w:tc>
      </w:tr>
      <w:tr w14:paraId="0C5B63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107DE20">
            <w:pPr>
              <w:pStyle w:val="26"/>
              <w:widowControl w:val="0"/>
              <w:spacing w:before="163" w:line="239" w:lineRule="auto"/>
              <w:ind w:left="638" w:leftChars="0"/>
              <w:rPr>
                <w:spacing w:val="-1"/>
              </w:rPr>
            </w:pPr>
          </w:p>
        </w:tc>
        <w:tc>
          <w:tcPr>
            <w:tcW w:w="0" w:type="auto"/>
            <w:shd w:val="clear" w:color="auto" w:fill="auto"/>
            <w:vAlign w:val="top"/>
          </w:tcPr>
          <w:p w14:paraId="124DCA61">
            <w:pPr>
              <w:pStyle w:val="26"/>
              <w:widowControl w:val="0"/>
              <w:spacing w:before="163"/>
              <w:ind w:left="361" w:leftChars="0"/>
              <w:rPr>
                <w:spacing w:val="-2"/>
              </w:rPr>
            </w:pPr>
          </w:p>
        </w:tc>
        <w:tc>
          <w:tcPr>
            <w:tcW w:w="0" w:type="auto"/>
            <w:shd w:val="clear" w:color="auto" w:fill="auto"/>
            <w:vAlign w:val="top"/>
          </w:tcPr>
          <w:p w14:paraId="315EFC3B">
            <w:pPr>
              <w:pStyle w:val="26"/>
              <w:widowControl w:val="0"/>
              <w:spacing w:before="133" w:line="219" w:lineRule="auto"/>
              <w:rPr>
                <w:spacing w:val="-3"/>
              </w:rPr>
            </w:pPr>
          </w:p>
        </w:tc>
        <w:tc>
          <w:tcPr>
            <w:tcW w:w="0" w:type="auto"/>
            <w:shd w:val="clear" w:color="auto" w:fill="auto"/>
            <w:vAlign w:val="top"/>
          </w:tcPr>
          <w:p w14:paraId="2278060F">
            <w:pPr>
              <w:pStyle w:val="26"/>
              <w:widowControl w:val="0"/>
              <w:spacing w:before="134" w:line="220" w:lineRule="auto"/>
              <w:ind w:left="480" w:leftChars="0"/>
              <w:rPr>
                <w:spacing w:val="-5"/>
              </w:rPr>
            </w:pPr>
          </w:p>
        </w:tc>
        <w:tc>
          <w:tcPr>
            <w:tcW w:w="1124" w:type="dxa"/>
            <w:shd w:val="clear" w:color="auto" w:fill="auto"/>
            <w:vAlign w:val="top"/>
          </w:tcPr>
          <w:p w14:paraId="1F1F27D2">
            <w:pPr>
              <w:pStyle w:val="26"/>
              <w:widowControl w:val="0"/>
              <w:spacing w:before="133" w:line="220" w:lineRule="auto"/>
              <w:rPr>
                <w:spacing w:val="-3"/>
              </w:rPr>
            </w:pPr>
          </w:p>
        </w:tc>
      </w:tr>
      <w:tr w14:paraId="7EE1B5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839E7D2">
            <w:pPr>
              <w:pStyle w:val="26"/>
              <w:widowControl w:val="0"/>
              <w:spacing w:before="163" w:line="239" w:lineRule="auto"/>
              <w:ind w:left="638" w:leftChars="0"/>
              <w:rPr>
                <w:spacing w:val="-1"/>
              </w:rPr>
            </w:pPr>
          </w:p>
        </w:tc>
        <w:tc>
          <w:tcPr>
            <w:tcW w:w="0" w:type="auto"/>
            <w:shd w:val="clear" w:color="auto" w:fill="auto"/>
            <w:vAlign w:val="top"/>
          </w:tcPr>
          <w:p w14:paraId="7715811E">
            <w:pPr>
              <w:pStyle w:val="26"/>
              <w:widowControl w:val="0"/>
              <w:spacing w:before="163"/>
              <w:ind w:left="361" w:leftChars="0"/>
              <w:rPr>
                <w:spacing w:val="-2"/>
              </w:rPr>
            </w:pPr>
          </w:p>
        </w:tc>
        <w:tc>
          <w:tcPr>
            <w:tcW w:w="0" w:type="auto"/>
            <w:shd w:val="clear" w:color="auto" w:fill="auto"/>
            <w:vAlign w:val="top"/>
          </w:tcPr>
          <w:p w14:paraId="5BBE9771">
            <w:pPr>
              <w:pStyle w:val="26"/>
              <w:widowControl w:val="0"/>
              <w:spacing w:before="133" w:line="219" w:lineRule="auto"/>
              <w:rPr>
                <w:spacing w:val="-3"/>
              </w:rPr>
            </w:pPr>
          </w:p>
        </w:tc>
        <w:tc>
          <w:tcPr>
            <w:tcW w:w="0" w:type="auto"/>
            <w:shd w:val="clear" w:color="auto" w:fill="auto"/>
            <w:vAlign w:val="top"/>
          </w:tcPr>
          <w:p w14:paraId="45562AFB">
            <w:pPr>
              <w:pStyle w:val="26"/>
              <w:widowControl w:val="0"/>
              <w:spacing w:before="134" w:line="220" w:lineRule="auto"/>
              <w:ind w:left="480" w:leftChars="0"/>
              <w:rPr>
                <w:spacing w:val="-5"/>
              </w:rPr>
            </w:pPr>
          </w:p>
        </w:tc>
        <w:tc>
          <w:tcPr>
            <w:tcW w:w="1124" w:type="dxa"/>
            <w:shd w:val="clear" w:color="auto" w:fill="auto"/>
            <w:vAlign w:val="top"/>
          </w:tcPr>
          <w:p w14:paraId="10730223">
            <w:pPr>
              <w:pStyle w:val="26"/>
              <w:widowControl w:val="0"/>
              <w:spacing w:before="133" w:line="220" w:lineRule="auto"/>
              <w:rPr>
                <w:spacing w:val="-3"/>
              </w:rPr>
            </w:pPr>
          </w:p>
        </w:tc>
      </w:tr>
    </w:tbl>
    <w:p w14:paraId="7B8830CA">
      <w:pPr>
        <w:bidi w:val="0"/>
        <w:rPr>
          <w:rFonts w:hint="eastAsia"/>
        </w:rPr>
      </w:pPr>
    </w:p>
    <w:p w14:paraId="6C73290C">
      <w:pPr>
        <w:bidi w:val="0"/>
        <w:spacing w:line="360" w:lineRule="auto"/>
        <w:rPr>
          <w:rFonts w:ascii="宋体" w:hAnsi="宋体"/>
          <w:szCs w:val="21"/>
        </w:rPr>
      </w:pPr>
    </w:p>
    <w:p w14:paraId="3443AC19">
      <w:r>
        <w:br w:type="page"/>
      </w:r>
    </w:p>
    <w:sdt>
      <w:sdtPr>
        <w:rPr>
          <w:rFonts w:ascii="宋体" w:hAnsi="宋体" w:eastAsia="宋体" w:cs="Times New Roman"/>
          <w:kern w:val="2"/>
          <w:sz w:val="21"/>
          <w:szCs w:val="24"/>
          <w:lang w:val="en-US" w:eastAsia="zh-CN" w:bidi="ar-SA"/>
        </w:rPr>
        <w:id w:val="147463729"/>
        <w15:color w:val="DBDBDB"/>
        <w:docPartObj>
          <w:docPartGallery w:val="Table of Contents"/>
          <w:docPartUnique/>
        </w:docPartObj>
      </w:sdtPr>
      <w:sdtEndPr>
        <w:rPr>
          <w:rFonts w:hint="eastAsia" w:ascii="Microsoft JhengHei" w:hAnsi="Microsoft JhengHei" w:eastAsia="Microsoft JhengHei" w:cs="Microsoft JhengHei"/>
          <w:kern w:val="2"/>
          <w:sz w:val="24"/>
          <w:szCs w:val="24"/>
          <w:lang w:val="en-US" w:eastAsia="zh-CN" w:bidi="ar-SA"/>
        </w:rPr>
      </w:sdtEndPr>
      <w:sdtContent>
        <w:p w14:paraId="0B840F37">
          <w:pPr>
            <w:spacing w:before="0" w:beforeLines="0" w:after="0" w:afterLines="0" w:line="240" w:lineRule="auto"/>
            <w:ind w:left="0" w:leftChars="0" w:right="0" w:rightChars="0" w:firstLine="0" w:firstLineChars="0"/>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t>目录</w:t>
          </w:r>
        </w:p>
        <w:p w14:paraId="5C501C5C">
          <w:pPr>
            <w:pStyle w:val="16"/>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_Toc6785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lang w:val="en-US" w:eastAsia="zh-CN"/>
            </w:rPr>
            <w:t>运维交付风险控制办法</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_Toc6785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0A06B2D">
          <w:pPr>
            <w:pStyle w:val="16"/>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_Toc9784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2"/>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_Toc9784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3FD3929">
          <w:pPr>
            <w:pStyle w:val="16"/>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_Toc5005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1  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_Toc5005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51537D7">
          <w:pPr>
            <w:pStyle w:val="16"/>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_Toc25295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2 管控目标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_Toc25295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BF78DA1">
          <w:pPr>
            <w:pStyle w:val="16"/>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_Toc5432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 风险管理过程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_Toc5432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2F60A9A">
          <w:pPr>
            <w:pStyle w:val="1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_Toc11172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3.1 风险识别</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_Toc11172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42165C2">
          <w:pPr>
            <w:pStyle w:val="1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_Toc29914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3.2 风险定性定量分析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_Toc29914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084EB1C">
          <w:pPr>
            <w:pStyle w:val="1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_Toc29556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3.3 风险应对措施</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_Toc29556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1FB6F8C">
          <w:pPr>
            <w:pStyle w:val="1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_Toc10725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3.4 风险跟踪与监控</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_Toc10725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F993D03">
          <w:pPr>
            <w:pStyle w:val="1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_Toc27913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3.5 运维项目后续风险管理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_Toc27913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7B605A9">
          <w:pPr>
            <w:pStyle w:val="1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_Toc14503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3.6 风险控制流程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_Toc14503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592ECE9">
          <w:pP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end"/>
          </w:r>
        </w:p>
      </w:sdtContent>
    </w:sdt>
    <w:p w14:paraId="04F6C300"/>
    <w:p w14:paraId="14B7F6A7">
      <w:pPr>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br w:type="page"/>
      </w:r>
    </w:p>
    <w:p w14:paraId="446FF9FB">
      <w:pPr>
        <w:pStyle w:val="28"/>
        <w:bidi w:val="0"/>
        <w:rPr>
          <w:rFonts w:hint="eastAsia"/>
          <w:lang w:val="en-US" w:eastAsia="zh-CN"/>
        </w:rPr>
      </w:pPr>
      <w:bookmarkStart w:id="2" w:name="_Toc5005"/>
      <w:r>
        <w:rPr>
          <w:rFonts w:hint="eastAsia"/>
          <w:lang w:val="en-US" w:eastAsia="zh-CN"/>
        </w:rPr>
        <w:t>目的</w:t>
      </w:r>
      <w:bookmarkEnd w:id="2"/>
    </w:p>
    <w:p w14:paraId="24B8BFB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本规范规定了从服务级别协议签署到结束的过程中，</w:t>
      </w:r>
      <w:r>
        <w:rPr>
          <w:spacing w:val="-1"/>
        </w:rPr>
        <w:t>青岛慧海联创</w:t>
      </w:r>
      <w:r>
        <w:rPr>
          <w:rFonts w:hint="default"/>
          <w:sz w:val="24"/>
          <w:lang w:val="en-US" w:eastAsia="zh-CN"/>
        </w:rPr>
        <w:t>团队向需方交付运行维护服务时的风险管控策略。</w:t>
      </w:r>
    </w:p>
    <w:p w14:paraId="7DDABC35">
      <w:pPr>
        <w:pStyle w:val="28"/>
        <w:bidi w:val="0"/>
        <w:rPr>
          <w:rFonts w:hint="eastAsia"/>
          <w:lang w:val="en-US" w:eastAsia="zh-CN"/>
        </w:rPr>
      </w:pPr>
      <w:bookmarkStart w:id="3" w:name="_Toc25295"/>
      <w:r>
        <w:rPr>
          <w:rFonts w:hint="eastAsia"/>
          <w:lang w:val="en-US" w:eastAsia="zh-CN"/>
        </w:rPr>
        <w:t>管控目标</w:t>
      </w:r>
      <w:bookmarkEnd w:id="3"/>
    </w:p>
    <w:p w14:paraId="2F1CA12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目前主要存在风险包括现有信息系统运维过程中整个运维项目进展过程中隐形和显性的风险，对于风险的把控轻则直接影响到整个信息系统运维服务的质量、效率，重则可能导致整个项目的停止，风险控制的目标即是项目准备过程中对可能存在的风险进行识别和分析，实施过程中对已经存在的风险进行有效应对，实施结束后对风险进行总结评估，并形成相应的风险评估报告，对后续的维护提供风险控制依据，从而保障信息系统的安全稳定运行。</w:t>
      </w:r>
    </w:p>
    <w:p w14:paraId="133A6032">
      <w:pPr>
        <w:pStyle w:val="28"/>
        <w:bidi w:val="0"/>
        <w:rPr>
          <w:rFonts w:hint="eastAsia"/>
          <w:lang w:val="en-US" w:eastAsia="zh-CN"/>
        </w:rPr>
      </w:pPr>
      <w:bookmarkStart w:id="4" w:name="_Toc5432"/>
      <w:r>
        <w:rPr>
          <w:rFonts w:hint="eastAsia"/>
          <w:lang w:val="en-US" w:eastAsia="zh-CN"/>
        </w:rPr>
        <w:t>风险管理过程</w:t>
      </w:r>
      <w:bookmarkEnd w:id="4"/>
    </w:p>
    <w:p w14:paraId="320079ED">
      <w:pPr>
        <w:pStyle w:val="29"/>
        <w:bidi w:val="0"/>
        <w:rPr>
          <w:rFonts w:hint="eastAsia"/>
          <w:lang w:val="en-US" w:eastAsia="zh-CN"/>
        </w:rPr>
      </w:pPr>
      <w:bookmarkStart w:id="5" w:name="_Toc11172"/>
      <w:r>
        <w:rPr>
          <w:rFonts w:hint="eastAsia"/>
          <w:lang w:val="en-US" w:eastAsia="zh-CN"/>
        </w:rPr>
        <w:t>风险识别</w:t>
      </w:r>
      <w:bookmarkEnd w:id="5"/>
    </w:p>
    <w:p w14:paraId="4504924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在具体识别风险时，可以通过分解运维项目的范围、结构来识别风险，理清项目的组成和各个组成部分的性质、之间的关系、与外因的联系等内容，从而减少项目实施过程中的不确定性。</w:t>
      </w:r>
    </w:p>
    <w:p w14:paraId="6EAEFA82">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本运维服务项目实施过程中主要存在风险包括项目组内部存在的风险和项目组外部风险等两方面。</w:t>
      </w:r>
    </w:p>
    <w:p w14:paraId="43B9DEC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eastAsia"/>
          <w:sz w:val="24"/>
          <w:lang w:val="en-US" w:eastAsia="zh-CN"/>
        </w:rPr>
        <w:t>运维服务部</w:t>
      </w:r>
      <w:r>
        <w:rPr>
          <w:rFonts w:hint="default"/>
          <w:sz w:val="24"/>
          <w:lang w:val="en-US" w:eastAsia="zh-CN"/>
        </w:rPr>
        <w:t>内部风险</w:t>
      </w:r>
    </w:p>
    <w:p w14:paraId="32FBD00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bookmarkStart w:id="11" w:name="_GoBack"/>
      <w:r>
        <w:rPr>
          <w:rFonts w:hint="default"/>
          <w:sz w:val="24"/>
          <w:lang w:val="en-US" w:eastAsia="zh-CN"/>
        </w:rPr>
        <w:t>资源风险</w:t>
      </w:r>
      <w:bookmarkEnd w:id="11"/>
      <w:r>
        <w:rPr>
          <w:rFonts w:hint="default"/>
          <w:sz w:val="24"/>
          <w:lang w:val="en-US" w:eastAsia="zh-CN"/>
        </w:rPr>
        <w:t>：运维项目组人员变动、临时缺勤，新人接手需要增加时间成本；事前没有准备好某些特殊要求的运维软硬件工具耽搁正常运维工作。</w:t>
      </w:r>
    </w:p>
    <w:p w14:paraId="7F39B4A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过程管理风险：运维服务人员违规操作即未按流程规范提供运维，运维服务人员错误操作等导致不可预测风险；对项目工作量估计不足，造成工作不能按计</w:t>
      </w:r>
    </w:p>
    <w:p w14:paraId="49E93B9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划执行，甚至放弃计划性。</w:t>
      </w:r>
    </w:p>
    <w:p w14:paraId="24F45F6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变更风险：某些变更方案测试手段和时间不足，不能充分覆盖所有实际环境存在的因素，导致交付的实施服务有较多不确定因素。</w:t>
      </w:r>
    </w:p>
    <w:p w14:paraId="00D3DFE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技术风险：运维人员缺乏处理某些领域设备或系统故障的经验及技术能力。技术方案实施过程中出现未知风险。</w:t>
      </w:r>
    </w:p>
    <w:p w14:paraId="4CCA36B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项目组外部风险</w:t>
      </w:r>
    </w:p>
    <w:p w14:paraId="634A482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预算控制风险：对项目实施过程中的资金支出预算不足，导致某些必要投入无法及时拨付到位。</w:t>
      </w:r>
    </w:p>
    <w:p w14:paraId="56BE812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运维环境风险：由于客户运维人员的变动，现场无法提供完整的的 IT 信息系统相关参数记录，如整体 IP 地址规划、技术说明书等;运维相关准备不充分，运维无法准时进行。</w:t>
      </w:r>
    </w:p>
    <w:p w14:paraId="72E5FFF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客户支持风险：部分系统的运维实施将需要和具体的客户负责人进行协调并获得其配合，但由于部分原因不能及时提供配合支持。</w:t>
      </w:r>
    </w:p>
    <w:p w14:paraId="14CEBD0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策略风险：运维项目进行过程中，国家政策、客户领导决策等发生变化，导致项目将针对相关政策、决策进行调整。</w:t>
      </w:r>
    </w:p>
    <w:p w14:paraId="3561CB56">
      <w:pPr>
        <w:pStyle w:val="29"/>
        <w:bidi w:val="0"/>
        <w:rPr>
          <w:rFonts w:hint="eastAsia"/>
          <w:lang w:val="en-US" w:eastAsia="zh-CN"/>
        </w:rPr>
      </w:pPr>
      <w:bookmarkStart w:id="6" w:name="_Toc29914"/>
      <w:r>
        <w:rPr>
          <w:rFonts w:hint="eastAsia"/>
          <w:lang w:val="en-US" w:eastAsia="zh-CN"/>
        </w:rPr>
        <w:t>风险定性定量分析</w:t>
      </w:r>
      <w:bookmarkEnd w:id="6"/>
    </w:p>
    <w:p w14:paraId="74036D3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风险分析从三个风险参数入手，更加项目具体情况分别确定，风险发生概率、风险严重程度和发生时段的量化值，以此为基础利用公式风险等级公式</w:t>
      </w:r>
    </w:p>
    <w:p w14:paraId="25E9BC1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风险等级＝风险发生概率*风险严重程度*发生时段计算出风险值，确定风险等级。</w:t>
      </w:r>
    </w:p>
    <w:p w14:paraId="3B050D4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风险发生概率（量化值为 1~~3）</w:t>
      </w:r>
    </w:p>
    <w:p w14:paraId="6A223CA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风险发生概率是指风险发生的可能性。其量化评价方法是按下列三级划分：</w:t>
      </w:r>
    </w:p>
    <w:p w14:paraId="1DA9135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可能性</w:t>
      </w:r>
      <w:r>
        <w:rPr>
          <w:rFonts w:hint="default"/>
          <w:sz w:val="24"/>
          <w:lang w:val="en-US" w:eastAsia="zh-CN"/>
        </w:rPr>
        <w:tab/>
      </w:r>
      <w:r>
        <w:rPr>
          <w:rFonts w:hint="default"/>
          <w:sz w:val="24"/>
          <w:lang w:val="en-US" w:eastAsia="zh-CN"/>
        </w:rPr>
        <w:t>概率的说明</w:t>
      </w:r>
      <w:r>
        <w:rPr>
          <w:rFonts w:hint="default"/>
          <w:sz w:val="24"/>
          <w:lang w:val="en-US" w:eastAsia="zh-CN"/>
        </w:rPr>
        <w:tab/>
      </w:r>
      <w:r>
        <w:rPr>
          <w:rFonts w:hint="default"/>
          <w:sz w:val="24"/>
          <w:lang w:val="en-US" w:eastAsia="zh-CN"/>
        </w:rPr>
        <w:t>估计</w:t>
      </w:r>
    </w:p>
    <w:tbl>
      <w:tblPr>
        <w:tblStyle w:val="20"/>
        <w:tblW w:w="78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0"/>
        <w:gridCol w:w="4241"/>
        <w:gridCol w:w="1367"/>
      </w:tblGrid>
      <w:tr w14:paraId="61DCAB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0" w:type="dxa"/>
            <w:shd w:val="clear" w:color="auto" w:fill="E6E6E6"/>
            <w:vAlign w:val="top"/>
          </w:tcPr>
          <w:p w14:paraId="197B7F27">
            <w:pPr>
              <w:pStyle w:val="26"/>
              <w:widowControl w:val="0"/>
              <w:spacing w:before="56" w:line="221" w:lineRule="auto"/>
              <w:ind w:left="770" w:leftChars="0"/>
              <w:rPr>
                <w:rFonts w:hint="default" w:ascii="宋体" w:hAnsi="宋体" w:eastAsia="宋体" w:cs="宋体"/>
                <w:kern w:val="2"/>
                <w:sz w:val="24"/>
                <w:szCs w:val="24"/>
                <w:lang w:val="en-US" w:eastAsia="zh-CN" w:bidi="ar-SA"/>
              </w:rPr>
            </w:pPr>
            <w:r>
              <w:rPr>
                <w:b/>
                <w:bCs/>
                <w:color w:val="333333"/>
                <w:spacing w:val="-6"/>
              </w:rPr>
              <w:t>可能性</w:t>
            </w:r>
          </w:p>
        </w:tc>
        <w:tc>
          <w:tcPr>
            <w:tcW w:w="4241" w:type="dxa"/>
            <w:shd w:val="clear" w:color="auto" w:fill="E6E6E6"/>
            <w:vAlign w:val="top"/>
          </w:tcPr>
          <w:p w14:paraId="01CE37EA">
            <w:pPr>
              <w:pStyle w:val="26"/>
              <w:widowControl w:val="0"/>
              <w:spacing w:before="57" w:line="219" w:lineRule="auto"/>
              <w:ind w:left="14" w:leftChars="0"/>
              <w:rPr>
                <w:rFonts w:hint="default" w:ascii="宋体" w:hAnsi="宋体" w:eastAsia="宋体" w:cs="宋体"/>
                <w:kern w:val="2"/>
                <w:sz w:val="24"/>
                <w:szCs w:val="24"/>
                <w:lang w:val="en-US" w:eastAsia="zh-CN" w:bidi="ar-SA"/>
              </w:rPr>
            </w:pPr>
            <w:r>
              <w:rPr>
                <w:b/>
                <w:bCs/>
                <w:color w:val="333333"/>
                <w:spacing w:val="-4"/>
              </w:rPr>
              <w:t>概率的说明</w:t>
            </w:r>
          </w:p>
        </w:tc>
        <w:tc>
          <w:tcPr>
            <w:tcW w:w="1367" w:type="dxa"/>
            <w:shd w:val="clear" w:color="auto" w:fill="E6E6E6"/>
            <w:vAlign w:val="top"/>
          </w:tcPr>
          <w:p w14:paraId="041A4B5D">
            <w:pPr>
              <w:pStyle w:val="26"/>
              <w:widowControl w:val="0"/>
              <w:spacing w:before="56" w:line="218" w:lineRule="auto"/>
              <w:ind w:left="446" w:leftChars="0"/>
              <w:rPr>
                <w:rFonts w:hint="default" w:ascii="宋体" w:hAnsi="宋体" w:eastAsia="宋体" w:cs="宋体"/>
                <w:kern w:val="2"/>
                <w:sz w:val="24"/>
                <w:szCs w:val="24"/>
                <w:lang w:val="en-US" w:eastAsia="zh-CN" w:bidi="ar-SA"/>
              </w:rPr>
            </w:pPr>
            <w:r>
              <w:rPr>
                <w:b/>
                <w:bCs/>
                <w:color w:val="333333"/>
                <w:spacing w:val="-8"/>
              </w:rPr>
              <w:t>估计</w:t>
            </w:r>
          </w:p>
        </w:tc>
      </w:tr>
      <w:tr w14:paraId="242F6F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0" w:type="dxa"/>
            <w:shd w:val="clear" w:color="auto" w:fill="auto"/>
            <w:vAlign w:val="top"/>
          </w:tcPr>
          <w:p w14:paraId="3435714E">
            <w:pPr>
              <w:pStyle w:val="26"/>
              <w:widowControl w:val="0"/>
              <w:spacing w:before="50"/>
              <w:ind w:left="713" w:leftChars="0"/>
              <w:rPr>
                <w:rFonts w:hint="default" w:ascii="宋体" w:hAnsi="宋体" w:eastAsia="宋体" w:cs="宋体"/>
                <w:kern w:val="2"/>
                <w:sz w:val="24"/>
                <w:szCs w:val="24"/>
                <w:lang w:val="en-US" w:eastAsia="zh-CN" w:bidi="ar-SA"/>
              </w:rPr>
            </w:pPr>
            <w:r>
              <w:rPr>
                <w:color w:val="333333"/>
                <w:spacing w:val="-2"/>
              </w:rPr>
              <w:t>67%~99%</w:t>
            </w:r>
          </w:p>
        </w:tc>
        <w:tc>
          <w:tcPr>
            <w:tcW w:w="4241" w:type="dxa"/>
            <w:shd w:val="clear" w:color="auto" w:fill="auto"/>
            <w:vAlign w:val="top"/>
          </w:tcPr>
          <w:p w14:paraId="31FA69FC">
            <w:pPr>
              <w:pStyle w:val="26"/>
              <w:widowControl w:val="0"/>
              <w:spacing w:before="51" w:line="220" w:lineRule="auto"/>
              <w:ind w:left="18" w:leftChars="0"/>
              <w:rPr>
                <w:rFonts w:hint="default" w:ascii="宋体" w:hAnsi="宋体" w:eastAsia="宋体" w:cs="宋体"/>
                <w:kern w:val="2"/>
                <w:sz w:val="24"/>
                <w:szCs w:val="24"/>
                <w:lang w:val="en-US" w:eastAsia="zh-CN" w:bidi="ar-SA"/>
              </w:rPr>
            </w:pPr>
            <w:r>
              <w:rPr>
                <w:color w:val="333333"/>
                <w:spacing w:val="-4"/>
              </w:rPr>
              <w:t>非常可能</w:t>
            </w:r>
          </w:p>
        </w:tc>
        <w:tc>
          <w:tcPr>
            <w:tcW w:w="1367" w:type="dxa"/>
            <w:shd w:val="clear" w:color="auto" w:fill="auto"/>
            <w:vAlign w:val="top"/>
          </w:tcPr>
          <w:p w14:paraId="153AB081">
            <w:pPr>
              <w:pStyle w:val="26"/>
              <w:widowControl w:val="0"/>
              <w:spacing w:before="50"/>
              <w:ind w:left="631" w:leftChars="0"/>
              <w:rPr>
                <w:rFonts w:hint="default" w:ascii="宋体" w:hAnsi="宋体" w:eastAsia="宋体" w:cs="宋体"/>
                <w:kern w:val="2"/>
                <w:sz w:val="24"/>
                <w:szCs w:val="24"/>
                <w:lang w:val="en-US" w:eastAsia="zh-CN" w:bidi="ar-SA"/>
              </w:rPr>
            </w:pPr>
            <w:r>
              <w:rPr>
                <w:color w:val="333333"/>
              </w:rPr>
              <w:t>3</w:t>
            </w:r>
          </w:p>
        </w:tc>
      </w:tr>
      <w:tr w14:paraId="121704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0" w:type="dxa"/>
            <w:shd w:val="clear" w:color="auto" w:fill="auto"/>
            <w:vAlign w:val="top"/>
          </w:tcPr>
          <w:p w14:paraId="1D91DDD6">
            <w:pPr>
              <w:pStyle w:val="26"/>
              <w:widowControl w:val="0"/>
              <w:spacing w:before="53"/>
              <w:ind w:left="716" w:leftChars="0"/>
              <w:rPr>
                <w:rFonts w:hint="default" w:ascii="宋体" w:hAnsi="宋体" w:eastAsia="宋体" w:cs="宋体"/>
                <w:kern w:val="2"/>
                <w:sz w:val="24"/>
                <w:szCs w:val="24"/>
                <w:lang w:val="en-US" w:eastAsia="zh-CN" w:bidi="ar-SA"/>
              </w:rPr>
            </w:pPr>
            <w:r>
              <w:rPr>
                <w:color w:val="333333"/>
                <w:spacing w:val="-3"/>
              </w:rPr>
              <w:t>34%~66%</w:t>
            </w:r>
          </w:p>
        </w:tc>
        <w:tc>
          <w:tcPr>
            <w:tcW w:w="4241" w:type="dxa"/>
            <w:shd w:val="clear" w:color="auto" w:fill="auto"/>
            <w:vAlign w:val="top"/>
          </w:tcPr>
          <w:p w14:paraId="57D269CF">
            <w:pPr>
              <w:pStyle w:val="26"/>
              <w:widowControl w:val="0"/>
              <w:spacing w:before="53" w:line="219" w:lineRule="auto"/>
              <w:ind w:left="16" w:leftChars="0"/>
              <w:rPr>
                <w:rFonts w:hint="default" w:ascii="宋体" w:hAnsi="宋体" w:eastAsia="宋体" w:cs="宋体"/>
                <w:kern w:val="2"/>
                <w:sz w:val="24"/>
                <w:szCs w:val="24"/>
                <w:lang w:val="en-US" w:eastAsia="zh-CN" w:bidi="ar-SA"/>
              </w:rPr>
            </w:pPr>
            <w:r>
              <w:rPr>
                <w:color w:val="333333"/>
                <w:spacing w:val="-3"/>
              </w:rPr>
              <w:t>可能不会</w:t>
            </w:r>
          </w:p>
        </w:tc>
        <w:tc>
          <w:tcPr>
            <w:tcW w:w="1367" w:type="dxa"/>
            <w:shd w:val="clear" w:color="auto" w:fill="auto"/>
            <w:vAlign w:val="top"/>
          </w:tcPr>
          <w:p w14:paraId="7CEE6991">
            <w:pPr>
              <w:pStyle w:val="26"/>
              <w:widowControl w:val="0"/>
              <w:spacing w:before="54" w:line="241" w:lineRule="auto"/>
              <w:ind w:left="629" w:leftChars="0"/>
              <w:rPr>
                <w:rFonts w:hint="default" w:ascii="宋体" w:hAnsi="宋体" w:eastAsia="宋体" w:cs="宋体"/>
                <w:kern w:val="2"/>
                <w:sz w:val="24"/>
                <w:szCs w:val="24"/>
                <w:lang w:val="en-US" w:eastAsia="zh-CN" w:bidi="ar-SA"/>
              </w:rPr>
            </w:pPr>
            <w:r>
              <w:rPr>
                <w:color w:val="333333"/>
              </w:rPr>
              <w:t>2</w:t>
            </w:r>
          </w:p>
        </w:tc>
      </w:tr>
      <w:tr w14:paraId="7F66B1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0" w:type="dxa"/>
            <w:shd w:val="clear" w:color="auto" w:fill="auto"/>
            <w:vAlign w:val="top"/>
          </w:tcPr>
          <w:p w14:paraId="5EF47A72">
            <w:pPr>
              <w:pStyle w:val="26"/>
              <w:widowControl w:val="0"/>
              <w:spacing w:before="54"/>
              <w:ind w:left="789" w:leftChars="0"/>
              <w:rPr>
                <w:rFonts w:hint="default" w:ascii="宋体" w:hAnsi="宋体" w:eastAsia="宋体" w:cs="宋体"/>
                <w:kern w:val="2"/>
                <w:sz w:val="24"/>
                <w:szCs w:val="24"/>
                <w:lang w:val="en-US" w:eastAsia="zh-CN" w:bidi="ar-SA"/>
              </w:rPr>
            </w:pPr>
            <w:r>
              <w:rPr>
                <w:color w:val="333333"/>
                <w:spacing w:val="-5"/>
              </w:rPr>
              <w:t>1%~33%</w:t>
            </w:r>
          </w:p>
        </w:tc>
        <w:tc>
          <w:tcPr>
            <w:tcW w:w="4241" w:type="dxa"/>
            <w:shd w:val="clear" w:color="auto" w:fill="auto"/>
            <w:vAlign w:val="top"/>
          </w:tcPr>
          <w:p w14:paraId="6D22D4B5">
            <w:pPr>
              <w:pStyle w:val="26"/>
              <w:widowControl w:val="0"/>
              <w:spacing w:before="54" w:line="219" w:lineRule="auto"/>
              <w:ind w:left="13" w:leftChars="0"/>
              <w:rPr>
                <w:rFonts w:hint="default" w:ascii="宋体" w:hAnsi="宋体" w:eastAsia="宋体" w:cs="宋体"/>
                <w:kern w:val="2"/>
                <w:sz w:val="24"/>
                <w:szCs w:val="24"/>
                <w:lang w:val="en-US" w:eastAsia="zh-CN" w:bidi="ar-SA"/>
              </w:rPr>
            </w:pPr>
            <w:r>
              <w:rPr>
                <w:color w:val="333333"/>
                <w:spacing w:val="-3"/>
              </w:rPr>
              <w:t>机会很小</w:t>
            </w:r>
          </w:p>
        </w:tc>
        <w:tc>
          <w:tcPr>
            <w:tcW w:w="1367" w:type="dxa"/>
            <w:shd w:val="clear" w:color="auto" w:fill="auto"/>
            <w:vAlign w:val="top"/>
          </w:tcPr>
          <w:p w14:paraId="02E18E59">
            <w:pPr>
              <w:pStyle w:val="26"/>
              <w:widowControl w:val="0"/>
              <w:spacing w:before="54" w:line="241" w:lineRule="auto"/>
              <w:ind w:left="644" w:leftChars="0"/>
              <w:rPr>
                <w:rFonts w:hint="default" w:ascii="宋体" w:hAnsi="宋体" w:eastAsia="宋体" w:cs="宋体"/>
                <w:kern w:val="2"/>
                <w:sz w:val="24"/>
                <w:szCs w:val="24"/>
                <w:lang w:val="en-US" w:eastAsia="zh-CN" w:bidi="ar-SA"/>
              </w:rPr>
            </w:pPr>
            <w:r>
              <w:rPr>
                <w:color w:val="333333"/>
              </w:rPr>
              <w:t>1</w:t>
            </w:r>
          </w:p>
        </w:tc>
      </w:tr>
    </w:tbl>
    <w:p w14:paraId="7A61DC3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风险影响程度（量化值为 1~~3）</w:t>
      </w:r>
    </w:p>
    <w:p w14:paraId="5281992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风险影响程度是指当风险发生时，从成本，进度和技术目标三方面可能会对项目产生的综合影响。其量化评价要按下列三级划分：</w:t>
      </w:r>
    </w:p>
    <w:tbl>
      <w:tblPr>
        <w:tblStyle w:val="20"/>
        <w:tblW w:w="78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0"/>
        <w:gridCol w:w="1251"/>
        <w:gridCol w:w="2517"/>
        <w:gridCol w:w="2265"/>
        <w:gridCol w:w="1038"/>
      </w:tblGrid>
      <w:tr w14:paraId="1226EB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shd w:val="clear" w:color="auto" w:fill="E6E6E6"/>
            <w:vAlign w:val="top"/>
          </w:tcPr>
          <w:p w14:paraId="02A086FC">
            <w:pPr>
              <w:pStyle w:val="26"/>
              <w:widowControl w:val="0"/>
              <w:spacing w:before="55" w:line="220" w:lineRule="auto"/>
              <w:ind w:left="168" w:leftChars="0"/>
              <w:rPr>
                <w:rFonts w:hint="default" w:ascii="宋体" w:hAnsi="宋体" w:eastAsia="宋体" w:cs="宋体"/>
                <w:kern w:val="2"/>
                <w:sz w:val="24"/>
                <w:szCs w:val="24"/>
                <w:lang w:val="en-US" w:eastAsia="zh-CN" w:bidi="ar-SA"/>
              </w:rPr>
            </w:pPr>
            <w:r>
              <w:rPr>
                <w:b/>
                <w:bCs/>
                <w:color w:val="333333"/>
                <w:spacing w:val="-9"/>
              </w:rPr>
              <w:t>准则</w:t>
            </w:r>
          </w:p>
        </w:tc>
        <w:tc>
          <w:tcPr>
            <w:tcW w:w="1251" w:type="dxa"/>
            <w:shd w:val="clear" w:color="auto" w:fill="E6E6E6"/>
            <w:vAlign w:val="top"/>
          </w:tcPr>
          <w:p w14:paraId="40AEF1F9">
            <w:pPr>
              <w:pStyle w:val="26"/>
              <w:widowControl w:val="0"/>
              <w:spacing w:before="55" w:line="219" w:lineRule="auto"/>
              <w:ind w:left="393" w:leftChars="0"/>
              <w:rPr>
                <w:rFonts w:hint="default" w:ascii="宋体" w:hAnsi="宋体" w:eastAsia="宋体" w:cs="宋体"/>
                <w:kern w:val="2"/>
                <w:sz w:val="24"/>
                <w:szCs w:val="24"/>
                <w:lang w:val="en-US" w:eastAsia="zh-CN" w:bidi="ar-SA"/>
              </w:rPr>
            </w:pPr>
            <w:r>
              <w:rPr>
                <w:b/>
                <w:bCs/>
                <w:color w:val="333333"/>
                <w:spacing w:val="-9"/>
              </w:rPr>
              <w:t>成本</w:t>
            </w:r>
          </w:p>
        </w:tc>
        <w:tc>
          <w:tcPr>
            <w:tcW w:w="2517" w:type="dxa"/>
            <w:shd w:val="clear" w:color="auto" w:fill="E6E6E6"/>
            <w:vAlign w:val="top"/>
          </w:tcPr>
          <w:p w14:paraId="6D5A30C2">
            <w:pPr>
              <w:pStyle w:val="26"/>
              <w:widowControl w:val="0"/>
              <w:spacing w:before="55" w:line="220" w:lineRule="auto"/>
              <w:ind w:left="1027" w:leftChars="0"/>
              <w:rPr>
                <w:rFonts w:hint="default" w:ascii="宋体" w:hAnsi="宋体" w:eastAsia="宋体" w:cs="宋体"/>
                <w:kern w:val="2"/>
                <w:sz w:val="24"/>
                <w:szCs w:val="24"/>
                <w:lang w:val="en-US" w:eastAsia="zh-CN" w:bidi="ar-SA"/>
              </w:rPr>
            </w:pPr>
            <w:r>
              <w:rPr>
                <w:b/>
                <w:bCs/>
                <w:color w:val="333333"/>
                <w:spacing w:val="-7"/>
              </w:rPr>
              <w:t>进度</w:t>
            </w:r>
          </w:p>
        </w:tc>
        <w:tc>
          <w:tcPr>
            <w:tcW w:w="2265" w:type="dxa"/>
            <w:shd w:val="clear" w:color="auto" w:fill="E6E6E6"/>
            <w:vAlign w:val="top"/>
          </w:tcPr>
          <w:p w14:paraId="683CD676">
            <w:pPr>
              <w:pStyle w:val="26"/>
              <w:widowControl w:val="0"/>
              <w:spacing w:before="56" w:line="219" w:lineRule="auto"/>
              <w:ind w:left="661" w:leftChars="0"/>
              <w:rPr>
                <w:rFonts w:hint="default" w:ascii="宋体" w:hAnsi="宋体" w:eastAsia="宋体" w:cs="宋体"/>
                <w:kern w:val="2"/>
                <w:sz w:val="24"/>
                <w:szCs w:val="24"/>
                <w:lang w:val="en-US" w:eastAsia="zh-CN" w:bidi="ar-SA"/>
              </w:rPr>
            </w:pPr>
            <w:r>
              <w:rPr>
                <w:b/>
                <w:bCs/>
                <w:color w:val="333333"/>
                <w:spacing w:val="-5"/>
              </w:rPr>
              <w:t>技术目标</w:t>
            </w:r>
          </w:p>
        </w:tc>
        <w:tc>
          <w:tcPr>
            <w:tcW w:w="1038" w:type="dxa"/>
            <w:shd w:val="clear" w:color="auto" w:fill="E6E6E6"/>
            <w:vAlign w:val="top"/>
          </w:tcPr>
          <w:p w14:paraId="4188F646">
            <w:pPr>
              <w:pStyle w:val="26"/>
              <w:widowControl w:val="0"/>
              <w:spacing w:before="55" w:line="218" w:lineRule="auto"/>
              <w:ind w:left="133" w:leftChars="0"/>
              <w:rPr>
                <w:rFonts w:hint="default" w:ascii="宋体" w:hAnsi="宋体" w:eastAsia="宋体" w:cs="宋体"/>
                <w:kern w:val="2"/>
                <w:sz w:val="24"/>
                <w:szCs w:val="24"/>
                <w:lang w:val="en-US" w:eastAsia="zh-CN" w:bidi="ar-SA"/>
              </w:rPr>
            </w:pPr>
            <w:r>
              <w:rPr>
                <w:b/>
                <w:bCs/>
                <w:color w:val="333333"/>
                <w:spacing w:val="-8"/>
              </w:rPr>
              <w:t>估计</w:t>
            </w:r>
          </w:p>
        </w:tc>
      </w:tr>
      <w:tr w14:paraId="0EDA4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shd w:val="clear" w:color="auto" w:fill="auto"/>
            <w:vAlign w:val="top"/>
          </w:tcPr>
          <w:p w14:paraId="4154F5E0">
            <w:pPr>
              <w:pStyle w:val="26"/>
              <w:widowControl w:val="0"/>
              <w:spacing w:before="50" w:line="219" w:lineRule="auto"/>
              <w:ind w:left="33" w:leftChars="0"/>
              <w:rPr>
                <w:rFonts w:hint="default" w:ascii="宋体" w:hAnsi="宋体" w:eastAsia="宋体" w:cs="宋体"/>
                <w:kern w:val="2"/>
                <w:sz w:val="24"/>
                <w:szCs w:val="24"/>
                <w:lang w:val="en-US" w:eastAsia="zh-CN" w:bidi="ar-SA"/>
              </w:rPr>
            </w:pPr>
            <w:r>
              <w:rPr>
                <w:color w:val="333333"/>
              </w:rPr>
              <w:t>高</w:t>
            </w:r>
          </w:p>
        </w:tc>
        <w:tc>
          <w:tcPr>
            <w:tcW w:w="1251" w:type="dxa"/>
            <w:shd w:val="clear" w:color="auto" w:fill="auto"/>
            <w:vAlign w:val="top"/>
          </w:tcPr>
          <w:p w14:paraId="20206B82">
            <w:pPr>
              <w:pStyle w:val="26"/>
              <w:widowControl w:val="0"/>
              <w:spacing w:before="50" w:line="221" w:lineRule="auto"/>
              <w:ind w:left="35" w:leftChars="0"/>
              <w:rPr>
                <w:rFonts w:hint="default" w:ascii="宋体" w:hAnsi="宋体" w:eastAsia="宋体" w:cs="宋体"/>
                <w:kern w:val="2"/>
                <w:sz w:val="24"/>
                <w:szCs w:val="24"/>
                <w:lang w:val="en-US" w:eastAsia="zh-CN" w:bidi="ar-SA"/>
              </w:rPr>
            </w:pPr>
            <w:r>
              <w:rPr>
                <w:color w:val="333333"/>
                <w:spacing w:val="-5"/>
              </w:rPr>
              <w:t>10％或更多</w:t>
            </w:r>
          </w:p>
        </w:tc>
        <w:tc>
          <w:tcPr>
            <w:tcW w:w="2517" w:type="dxa"/>
            <w:shd w:val="clear" w:color="auto" w:fill="auto"/>
            <w:vAlign w:val="top"/>
          </w:tcPr>
          <w:p w14:paraId="1DFB647D">
            <w:pPr>
              <w:pStyle w:val="26"/>
              <w:widowControl w:val="0"/>
              <w:spacing w:before="50" w:line="342" w:lineRule="auto"/>
              <w:ind w:left="28" w:leftChars="0" w:right="90" w:rightChars="0" w:firstLine="24" w:firstLineChars="0"/>
              <w:rPr>
                <w:rFonts w:hint="default" w:ascii="宋体" w:hAnsi="宋体" w:eastAsia="宋体" w:cs="宋体"/>
                <w:kern w:val="2"/>
                <w:sz w:val="24"/>
                <w:szCs w:val="24"/>
                <w:lang w:val="en-US" w:eastAsia="zh-CN" w:bidi="ar-SA"/>
              </w:rPr>
            </w:pPr>
            <w:r>
              <w:rPr>
                <w:color w:val="333333"/>
                <w:spacing w:val="-8"/>
              </w:rPr>
              <w:t>比原计划落后</w:t>
            </w:r>
            <w:r>
              <w:rPr>
                <w:color w:val="333333"/>
                <w:spacing w:val="-26"/>
              </w:rPr>
              <w:t xml:space="preserve"> </w:t>
            </w:r>
            <w:r>
              <w:rPr>
                <w:color w:val="333333"/>
                <w:spacing w:val="-8"/>
              </w:rPr>
              <w:t>1</w:t>
            </w:r>
            <w:r>
              <w:rPr>
                <w:color w:val="333333"/>
                <w:spacing w:val="-51"/>
              </w:rPr>
              <w:t xml:space="preserve"> </w:t>
            </w:r>
            <w:r>
              <w:rPr>
                <w:color w:val="333333"/>
                <w:spacing w:val="-8"/>
              </w:rPr>
              <w:t>个月以</w:t>
            </w:r>
            <w:r>
              <w:rPr>
                <w:color w:val="333333"/>
              </w:rPr>
              <w:t>上</w:t>
            </w:r>
          </w:p>
        </w:tc>
        <w:tc>
          <w:tcPr>
            <w:tcW w:w="2265" w:type="dxa"/>
            <w:shd w:val="clear" w:color="auto" w:fill="auto"/>
            <w:vAlign w:val="top"/>
          </w:tcPr>
          <w:p w14:paraId="7C7BEB9E">
            <w:pPr>
              <w:pStyle w:val="26"/>
              <w:widowControl w:val="0"/>
              <w:spacing w:before="50" w:line="219" w:lineRule="auto"/>
              <w:ind w:left="33" w:leftChars="0"/>
              <w:rPr>
                <w:rFonts w:hint="default" w:ascii="宋体" w:hAnsi="宋体" w:eastAsia="宋体" w:cs="宋体"/>
                <w:kern w:val="2"/>
                <w:sz w:val="24"/>
                <w:szCs w:val="24"/>
                <w:lang w:val="en-US" w:eastAsia="zh-CN" w:bidi="ar-SA"/>
              </w:rPr>
            </w:pPr>
            <w:r>
              <w:rPr>
                <w:color w:val="333333"/>
                <w:spacing w:val="-3"/>
              </w:rPr>
              <w:t>功能无法完成</w:t>
            </w:r>
          </w:p>
        </w:tc>
        <w:tc>
          <w:tcPr>
            <w:tcW w:w="1038" w:type="dxa"/>
            <w:shd w:val="clear" w:color="auto" w:fill="auto"/>
            <w:vAlign w:val="top"/>
          </w:tcPr>
          <w:p w14:paraId="35FA149E">
            <w:pPr>
              <w:pStyle w:val="26"/>
              <w:widowControl w:val="0"/>
              <w:spacing w:before="49"/>
              <w:ind w:left="317" w:leftChars="0"/>
              <w:rPr>
                <w:rFonts w:hint="default" w:ascii="宋体" w:hAnsi="宋体" w:eastAsia="宋体" w:cs="宋体"/>
                <w:kern w:val="2"/>
                <w:sz w:val="24"/>
                <w:szCs w:val="24"/>
                <w:lang w:val="en-US" w:eastAsia="zh-CN" w:bidi="ar-SA"/>
              </w:rPr>
            </w:pPr>
            <w:r>
              <w:rPr>
                <w:color w:val="333333"/>
              </w:rPr>
              <w:t>3</w:t>
            </w:r>
          </w:p>
        </w:tc>
      </w:tr>
      <w:tr w14:paraId="52F9FF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shd w:val="clear" w:color="auto" w:fill="auto"/>
            <w:vAlign w:val="top"/>
          </w:tcPr>
          <w:p w14:paraId="793B690F">
            <w:pPr>
              <w:pStyle w:val="26"/>
              <w:widowControl w:val="0"/>
              <w:spacing w:before="53" w:line="219" w:lineRule="auto"/>
              <w:ind w:left="49" w:leftChars="0"/>
              <w:rPr>
                <w:rFonts w:hint="default" w:ascii="宋体" w:hAnsi="宋体" w:eastAsia="宋体" w:cs="宋体"/>
                <w:kern w:val="2"/>
                <w:sz w:val="24"/>
                <w:szCs w:val="24"/>
                <w:lang w:val="en-US" w:eastAsia="zh-CN" w:bidi="ar-SA"/>
              </w:rPr>
            </w:pPr>
            <w:r>
              <w:rPr>
                <w:color w:val="333333"/>
                <w:spacing w:val="-16"/>
              </w:rPr>
              <w:t>中等</w:t>
            </w:r>
          </w:p>
        </w:tc>
        <w:tc>
          <w:tcPr>
            <w:tcW w:w="1251" w:type="dxa"/>
            <w:shd w:val="clear" w:color="auto" w:fill="auto"/>
            <w:vAlign w:val="top"/>
          </w:tcPr>
          <w:p w14:paraId="15159019">
            <w:pPr>
              <w:pStyle w:val="26"/>
              <w:widowControl w:val="0"/>
              <w:spacing w:before="52" w:line="221" w:lineRule="auto"/>
              <w:ind w:left="16" w:leftChars="0"/>
              <w:rPr>
                <w:rFonts w:hint="default" w:ascii="宋体" w:hAnsi="宋体" w:eastAsia="宋体" w:cs="宋体"/>
                <w:kern w:val="2"/>
                <w:sz w:val="24"/>
                <w:szCs w:val="24"/>
                <w:lang w:val="en-US" w:eastAsia="zh-CN" w:bidi="ar-SA"/>
              </w:rPr>
            </w:pPr>
            <w:r>
              <w:rPr>
                <w:color w:val="333333"/>
                <w:spacing w:val="10"/>
              </w:rPr>
              <w:t>低于</w:t>
            </w:r>
            <w:r>
              <w:rPr>
                <w:color w:val="333333"/>
                <w:spacing w:val="-32"/>
              </w:rPr>
              <w:t xml:space="preserve"> </w:t>
            </w:r>
            <w:r>
              <w:rPr>
                <w:color w:val="333333"/>
                <w:spacing w:val="10"/>
              </w:rPr>
              <w:t>10%</w:t>
            </w:r>
          </w:p>
        </w:tc>
        <w:tc>
          <w:tcPr>
            <w:tcW w:w="2517" w:type="dxa"/>
            <w:shd w:val="clear" w:color="auto" w:fill="auto"/>
            <w:vAlign w:val="top"/>
          </w:tcPr>
          <w:p w14:paraId="3EC480A5">
            <w:pPr>
              <w:pStyle w:val="26"/>
              <w:widowControl w:val="0"/>
              <w:spacing w:before="51" w:line="342" w:lineRule="auto"/>
              <w:ind w:left="54" w:leftChars="0" w:right="90" w:rightChars="0" w:hanging="2" w:firstLineChars="0"/>
              <w:rPr>
                <w:rFonts w:hint="default" w:ascii="宋体" w:hAnsi="宋体" w:eastAsia="宋体" w:cs="宋体"/>
                <w:kern w:val="2"/>
                <w:sz w:val="24"/>
                <w:szCs w:val="24"/>
                <w:lang w:val="en-US" w:eastAsia="zh-CN" w:bidi="ar-SA"/>
              </w:rPr>
            </w:pPr>
            <w:r>
              <w:rPr>
                <w:color w:val="333333"/>
                <w:spacing w:val="-8"/>
              </w:rPr>
              <w:t>比原计划落后</w:t>
            </w:r>
            <w:r>
              <w:rPr>
                <w:color w:val="333333"/>
                <w:spacing w:val="-26"/>
              </w:rPr>
              <w:t xml:space="preserve"> </w:t>
            </w:r>
            <w:r>
              <w:rPr>
                <w:color w:val="333333"/>
                <w:spacing w:val="-8"/>
              </w:rPr>
              <w:t>1</w:t>
            </w:r>
            <w:r>
              <w:rPr>
                <w:color w:val="333333"/>
                <w:spacing w:val="-51"/>
              </w:rPr>
              <w:t xml:space="preserve"> </w:t>
            </w:r>
            <w:r>
              <w:rPr>
                <w:color w:val="333333"/>
                <w:spacing w:val="-8"/>
              </w:rPr>
              <w:t>个月以</w:t>
            </w:r>
            <w:r>
              <w:rPr>
                <w:color w:val="333333"/>
              </w:rPr>
              <w:t>内</w:t>
            </w:r>
          </w:p>
        </w:tc>
        <w:tc>
          <w:tcPr>
            <w:tcW w:w="2265" w:type="dxa"/>
            <w:shd w:val="clear" w:color="auto" w:fill="auto"/>
            <w:vAlign w:val="top"/>
          </w:tcPr>
          <w:p w14:paraId="031B1F12">
            <w:pPr>
              <w:pStyle w:val="26"/>
              <w:widowControl w:val="0"/>
              <w:spacing w:before="52" w:line="220" w:lineRule="auto"/>
              <w:ind w:left="28" w:leftChars="0"/>
              <w:rPr>
                <w:rFonts w:hint="default" w:ascii="宋体" w:hAnsi="宋体" w:eastAsia="宋体" w:cs="宋体"/>
                <w:kern w:val="2"/>
                <w:sz w:val="24"/>
                <w:szCs w:val="24"/>
                <w:lang w:val="en-US" w:eastAsia="zh-CN" w:bidi="ar-SA"/>
              </w:rPr>
            </w:pPr>
            <w:r>
              <w:rPr>
                <w:color w:val="333333"/>
                <w:spacing w:val="-2"/>
              </w:rPr>
              <w:t>对性能有严重影响</w:t>
            </w:r>
          </w:p>
        </w:tc>
        <w:tc>
          <w:tcPr>
            <w:tcW w:w="1038" w:type="dxa"/>
            <w:shd w:val="clear" w:color="auto" w:fill="auto"/>
            <w:vAlign w:val="top"/>
          </w:tcPr>
          <w:p w14:paraId="6AD75B6B">
            <w:pPr>
              <w:pStyle w:val="26"/>
              <w:widowControl w:val="0"/>
              <w:spacing w:before="52" w:line="241" w:lineRule="auto"/>
              <w:ind w:left="316" w:leftChars="0"/>
              <w:rPr>
                <w:rFonts w:hint="default" w:ascii="宋体" w:hAnsi="宋体" w:eastAsia="宋体" w:cs="宋体"/>
                <w:kern w:val="2"/>
                <w:sz w:val="24"/>
                <w:szCs w:val="24"/>
                <w:lang w:val="en-US" w:eastAsia="zh-CN" w:bidi="ar-SA"/>
              </w:rPr>
            </w:pPr>
            <w:r>
              <w:rPr>
                <w:color w:val="333333"/>
              </w:rPr>
              <w:t>2</w:t>
            </w:r>
          </w:p>
        </w:tc>
      </w:tr>
      <w:tr w14:paraId="6D3970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shd w:val="clear" w:color="auto" w:fill="auto"/>
            <w:vAlign w:val="top"/>
          </w:tcPr>
          <w:p w14:paraId="1F94A0B9">
            <w:pPr>
              <w:pStyle w:val="26"/>
              <w:widowControl w:val="0"/>
              <w:spacing w:before="56" w:line="221" w:lineRule="auto"/>
              <w:ind w:left="26" w:leftChars="0"/>
              <w:rPr>
                <w:rFonts w:hint="default" w:ascii="宋体" w:hAnsi="宋体" w:eastAsia="宋体" w:cs="宋体"/>
                <w:kern w:val="2"/>
                <w:sz w:val="24"/>
                <w:szCs w:val="24"/>
                <w:lang w:val="en-US" w:eastAsia="zh-CN" w:bidi="ar-SA"/>
              </w:rPr>
            </w:pPr>
            <w:r>
              <w:rPr>
                <w:color w:val="333333"/>
              </w:rPr>
              <w:t>低</w:t>
            </w:r>
          </w:p>
        </w:tc>
        <w:tc>
          <w:tcPr>
            <w:tcW w:w="1251" w:type="dxa"/>
            <w:shd w:val="clear" w:color="auto" w:fill="auto"/>
            <w:vAlign w:val="top"/>
          </w:tcPr>
          <w:p w14:paraId="214358AC">
            <w:pPr>
              <w:pStyle w:val="26"/>
              <w:widowControl w:val="0"/>
              <w:spacing w:before="56" w:line="221" w:lineRule="auto"/>
              <w:ind w:left="16" w:leftChars="0"/>
              <w:rPr>
                <w:rFonts w:hint="default" w:ascii="宋体" w:hAnsi="宋体" w:eastAsia="宋体" w:cs="宋体"/>
                <w:kern w:val="2"/>
                <w:sz w:val="24"/>
                <w:szCs w:val="24"/>
                <w:lang w:val="en-US" w:eastAsia="zh-CN" w:bidi="ar-SA"/>
              </w:rPr>
            </w:pPr>
            <w:r>
              <w:rPr>
                <w:color w:val="333333"/>
                <w:spacing w:val="16"/>
              </w:rPr>
              <w:t>低于</w:t>
            </w:r>
            <w:r>
              <w:rPr>
                <w:color w:val="333333"/>
                <w:spacing w:val="-46"/>
              </w:rPr>
              <w:t xml:space="preserve"> </w:t>
            </w:r>
            <w:r>
              <w:rPr>
                <w:color w:val="333333"/>
                <w:spacing w:val="16"/>
              </w:rPr>
              <w:t>2%</w:t>
            </w:r>
          </w:p>
        </w:tc>
        <w:tc>
          <w:tcPr>
            <w:tcW w:w="2517" w:type="dxa"/>
            <w:shd w:val="clear" w:color="auto" w:fill="auto"/>
            <w:vAlign w:val="top"/>
          </w:tcPr>
          <w:p w14:paraId="1FC25158">
            <w:pPr>
              <w:pStyle w:val="26"/>
              <w:widowControl w:val="0"/>
              <w:spacing w:before="57" w:line="219" w:lineRule="auto"/>
              <w:ind w:left="52" w:leftChars="0"/>
              <w:rPr>
                <w:rFonts w:hint="default" w:ascii="宋体" w:hAnsi="宋体" w:eastAsia="宋体" w:cs="宋体"/>
                <w:kern w:val="2"/>
                <w:sz w:val="24"/>
                <w:szCs w:val="24"/>
                <w:lang w:val="en-US" w:eastAsia="zh-CN" w:bidi="ar-SA"/>
              </w:rPr>
            </w:pPr>
            <w:r>
              <w:rPr>
                <w:color w:val="333333"/>
                <w:spacing w:val="-8"/>
              </w:rPr>
              <w:t>比原计划落后</w:t>
            </w:r>
            <w:r>
              <w:rPr>
                <w:color w:val="333333"/>
                <w:spacing w:val="-27"/>
              </w:rPr>
              <w:t xml:space="preserve"> </w:t>
            </w:r>
            <w:r>
              <w:rPr>
                <w:color w:val="333333"/>
                <w:spacing w:val="-8"/>
              </w:rPr>
              <w:t>1</w:t>
            </w:r>
            <w:r>
              <w:rPr>
                <w:color w:val="333333"/>
                <w:spacing w:val="-50"/>
              </w:rPr>
              <w:t xml:space="preserve"> </w:t>
            </w:r>
            <w:r>
              <w:rPr>
                <w:color w:val="333333"/>
                <w:spacing w:val="-8"/>
              </w:rPr>
              <w:t>周以内</w:t>
            </w:r>
          </w:p>
        </w:tc>
        <w:tc>
          <w:tcPr>
            <w:tcW w:w="2265" w:type="dxa"/>
            <w:shd w:val="clear" w:color="auto" w:fill="auto"/>
            <w:vAlign w:val="top"/>
          </w:tcPr>
          <w:p w14:paraId="6079C8BB">
            <w:pPr>
              <w:pStyle w:val="26"/>
              <w:widowControl w:val="0"/>
              <w:spacing w:before="56" w:line="220" w:lineRule="auto"/>
              <w:ind w:left="28" w:leftChars="0"/>
              <w:rPr>
                <w:rFonts w:hint="default" w:ascii="宋体" w:hAnsi="宋体" w:eastAsia="宋体" w:cs="宋体"/>
                <w:kern w:val="2"/>
                <w:sz w:val="24"/>
                <w:szCs w:val="24"/>
                <w:lang w:val="en-US" w:eastAsia="zh-CN" w:bidi="ar-SA"/>
              </w:rPr>
            </w:pPr>
            <w:r>
              <w:rPr>
                <w:color w:val="333333"/>
                <w:spacing w:val="-2"/>
              </w:rPr>
              <w:t>对性能有一定影响</w:t>
            </w:r>
          </w:p>
        </w:tc>
        <w:tc>
          <w:tcPr>
            <w:tcW w:w="1038" w:type="dxa"/>
            <w:shd w:val="clear" w:color="auto" w:fill="auto"/>
            <w:vAlign w:val="top"/>
          </w:tcPr>
          <w:p w14:paraId="017E0DB3">
            <w:pPr>
              <w:pStyle w:val="26"/>
              <w:widowControl w:val="0"/>
              <w:spacing w:before="56" w:line="241" w:lineRule="auto"/>
              <w:ind w:left="330" w:leftChars="0"/>
              <w:rPr>
                <w:rFonts w:hint="default" w:ascii="宋体" w:hAnsi="宋体" w:eastAsia="宋体" w:cs="宋体"/>
                <w:kern w:val="2"/>
                <w:sz w:val="24"/>
                <w:szCs w:val="24"/>
                <w:lang w:val="en-US" w:eastAsia="zh-CN" w:bidi="ar-SA"/>
              </w:rPr>
            </w:pPr>
            <w:r>
              <w:rPr>
                <w:color w:val="333333"/>
              </w:rPr>
              <w:t>1</w:t>
            </w:r>
          </w:p>
        </w:tc>
      </w:tr>
    </w:tbl>
    <w:p w14:paraId="3670FC1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7D57F03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发生时段（量化值为 1~~3）</w:t>
      </w:r>
    </w:p>
    <w:p w14:paraId="3822D7C2">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发生时段：根据项目的完成时间跨度、风险的发生时间，解决风险的准备时间，按三级量化评价。</w:t>
      </w:r>
    </w:p>
    <w:tbl>
      <w:tblPr>
        <w:tblStyle w:val="20"/>
        <w:tblW w:w="80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6"/>
        <w:gridCol w:w="2149"/>
        <w:gridCol w:w="3203"/>
        <w:gridCol w:w="1213"/>
      </w:tblGrid>
      <w:tr w14:paraId="79F758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shd w:val="clear" w:color="auto" w:fill="E6E6E6"/>
            <w:vAlign w:val="top"/>
          </w:tcPr>
          <w:p w14:paraId="64212BA8">
            <w:pPr>
              <w:pStyle w:val="26"/>
              <w:widowControl w:val="0"/>
              <w:spacing w:before="55" w:line="220" w:lineRule="auto"/>
              <w:ind w:left="507" w:leftChars="0"/>
              <w:rPr>
                <w:rFonts w:hint="default" w:ascii="宋体" w:hAnsi="宋体" w:eastAsia="宋体" w:cs="宋体"/>
                <w:kern w:val="2"/>
                <w:sz w:val="24"/>
                <w:szCs w:val="24"/>
                <w:lang w:val="en-US" w:eastAsia="zh-CN" w:bidi="ar-SA"/>
              </w:rPr>
            </w:pPr>
            <w:r>
              <w:rPr>
                <w:b/>
                <w:bCs/>
                <w:color w:val="333333"/>
                <w:spacing w:val="-9"/>
              </w:rPr>
              <w:t>准则</w:t>
            </w:r>
          </w:p>
        </w:tc>
        <w:tc>
          <w:tcPr>
            <w:tcW w:w="2149" w:type="dxa"/>
            <w:shd w:val="clear" w:color="auto" w:fill="E6E6E6"/>
            <w:vAlign w:val="top"/>
          </w:tcPr>
          <w:p w14:paraId="40663171">
            <w:pPr>
              <w:pStyle w:val="26"/>
              <w:widowControl w:val="0"/>
              <w:spacing w:before="55" w:line="220" w:lineRule="auto"/>
              <w:ind w:left="992" w:leftChars="0"/>
              <w:rPr>
                <w:rFonts w:hint="default" w:ascii="宋体" w:hAnsi="宋体" w:eastAsia="宋体" w:cs="宋体"/>
                <w:kern w:val="2"/>
                <w:sz w:val="24"/>
                <w:szCs w:val="24"/>
                <w:lang w:val="en-US" w:eastAsia="zh-CN" w:bidi="ar-SA"/>
              </w:rPr>
            </w:pPr>
            <w:r>
              <w:rPr>
                <w:b/>
                <w:bCs/>
                <w:color w:val="333333"/>
                <w:spacing w:val="-6"/>
              </w:rPr>
              <w:t>发生时间</w:t>
            </w:r>
          </w:p>
        </w:tc>
        <w:tc>
          <w:tcPr>
            <w:tcW w:w="3203" w:type="dxa"/>
            <w:shd w:val="clear" w:color="auto" w:fill="E6E6E6"/>
            <w:vAlign w:val="top"/>
          </w:tcPr>
          <w:p w14:paraId="0F6ACCC3">
            <w:pPr>
              <w:pStyle w:val="26"/>
              <w:widowControl w:val="0"/>
              <w:spacing w:before="56" w:line="219" w:lineRule="auto"/>
              <w:ind w:left="485" w:leftChars="0"/>
              <w:rPr>
                <w:rFonts w:hint="default" w:ascii="宋体" w:hAnsi="宋体" w:eastAsia="宋体" w:cs="宋体"/>
                <w:kern w:val="2"/>
                <w:sz w:val="24"/>
                <w:szCs w:val="24"/>
                <w:lang w:val="en-US" w:eastAsia="zh-CN" w:bidi="ar-SA"/>
              </w:rPr>
            </w:pPr>
            <w:r>
              <w:rPr>
                <w:b/>
                <w:bCs/>
                <w:color w:val="333333"/>
                <w:spacing w:val="-4"/>
              </w:rPr>
              <w:t>解决准备时间</w:t>
            </w:r>
          </w:p>
        </w:tc>
        <w:tc>
          <w:tcPr>
            <w:tcW w:w="1213" w:type="dxa"/>
            <w:shd w:val="clear" w:color="auto" w:fill="E6E6E6"/>
            <w:vAlign w:val="top"/>
          </w:tcPr>
          <w:p w14:paraId="68107D51">
            <w:pPr>
              <w:pStyle w:val="26"/>
              <w:widowControl w:val="0"/>
              <w:spacing w:before="55" w:line="218" w:lineRule="auto"/>
              <w:ind w:left="369" w:leftChars="0"/>
              <w:rPr>
                <w:rFonts w:hint="default" w:ascii="宋体" w:hAnsi="宋体" w:eastAsia="宋体" w:cs="宋体"/>
                <w:kern w:val="2"/>
                <w:sz w:val="24"/>
                <w:szCs w:val="24"/>
                <w:lang w:val="en-US" w:eastAsia="zh-CN" w:bidi="ar-SA"/>
              </w:rPr>
            </w:pPr>
            <w:r>
              <w:rPr>
                <w:b/>
                <w:bCs/>
                <w:color w:val="333333"/>
                <w:spacing w:val="-8"/>
              </w:rPr>
              <w:t>估计</w:t>
            </w:r>
          </w:p>
        </w:tc>
      </w:tr>
      <w:tr w14:paraId="6AF746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shd w:val="clear" w:color="auto" w:fill="auto"/>
            <w:vAlign w:val="top"/>
          </w:tcPr>
          <w:p w14:paraId="25EEACD6">
            <w:pPr>
              <w:pStyle w:val="26"/>
              <w:widowControl w:val="0"/>
              <w:spacing w:before="50" w:line="228" w:lineRule="auto"/>
              <w:ind w:left="27" w:leftChars="0"/>
              <w:rPr>
                <w:rFonts w:hint="default" w:ascii="宋体" w:hAnsi="宋体" w:eastAsia="宋体" w:cs="宋体"/>
                <w:kern w:val="2"/>
                <w:sz w:val="24"/>
                <w:szCs w:val="24"/>
                <w:lang w:val="en-US" w:eastAsia="zh-CN" w:bidi="ar-SA"/>
              </w:rPr>
            </w:pPr>
            <w:r>
              <w:rPr>
                <w:color w:val="333333"/>
              </w:rPr>
              <w:t>近</w:t>
            </w:r>
          </w:p>
        </w:tc>
        <w:tc>
          <w:tcPr>
            <w:tcW w:w="2149" w:type="dxa"/>
            <w:shd w:val="clear" w:color="auto" w:fill="auto"/>
            <w:vAlign w:val="top"/>
          </w:tcPr>
          <w:p w14:paraId="1B65D718">
            <w:pPr>
              <w:pStyle w:val="26"/>
              <w:widowControl w:val="0"/>
              <w:spacing w:before="50" w:line="219" w:lineRule="auto"/>
              <w:ind w:left="14" w:leftChars="0"/>
              <w:rPr>
                <w:rFonts w:hint="default" w:ascii="宋体" w:hAnsi="宋体" w:eastAsia="宋体" w:cs="宋体"/>
                <w:kern w:val="2"/>
                <w:sz w:val="24"/>
                <w:szCs w:val="24"/>
                <w:lang w:val="en-US" w:eastAsia="zh-CN" w:bidi="ar-SA"/>
              </w:rPr>
            </w:pPr>
            <w:r>
              <w:rPr>
                <w:spacing w:val="-4"/>
              </w:rPr>
              <w:t>本阶段</w:t>
            </w:r>
          </w:p>
        </w:tc>
        <w:tc>
          <w:tcPr>
            <w:tcW w:w="3203" w:type="dxa"/>
            <w:shd w:val="clear" w:color="auto" w:fill="auto"/>
            <w:vAlign w:val="top"/>
          </w:tcPr>
          <w:p w14:paraId="29A1B990">
            <w:pPr>
              <w:pStyle w:val="26"/>
              <w:widowControl w:val="0"/>
              <w:spacing w:before="51" w:line="342" w:lineRule="auto"/>
              <w:ind w:left="15" w:leftChars="0" w:right="7" w:rightChars="0"/>
              <w:rPr>
                <w:rFonts w:hint="default" w:ascii="宋体" w:hAnsi="宋体" w:eastAsia="宋体" w:cs="宋体"/>
                <w:kern w:val="2"/>
                <w:sz w:val="24"/>
                <w:szCs w:val="24"/>
                <w:lang w:val="en-US" w:eastAsia="zh-CN" w:bidi="ar-SA"/>
              </w:rPr>
            </w:pPr>
            <w:r>
              <w:rPr>
                <w:spacing w:val="-2"/>
              </w:rPr>
              <w:t>三个月内准备（项目根</w:t>
            </w:r>
            <w:r>
              <w:rPr>
                <w:spacing w:val="-3"/>
              </w:rPr>
              <w:t>据具体情况自行定义）</w:t>
            </w:r>
          </w:p>
        </w:tc>
        <w:tc>
          <w:tcPr>
            <w:tcW w:w="1213" w:type="dxa"/>
            <w:shd w:val="clear" w:color="auto" w:fill="auto"/>
            <w:vAlign w:val="top"/>
          </w:tcPr>
          <w:p w14:paraId="44AC6606">
            <w:pPr>
              <w:pStyle w:val="26"/>
              <w:widowControl w:val="0"/>
              <w:spacing w:before="50"/>
              <w:ind w:left="556" w:leftChars="0"/>
              <w:rPr>
                <w:rFonts w:hint="default" w:ascii="宋体" w:hAnsi="宋体" w:eastAsia="宋体" w:cs="宋体"/>
                <w:kern w:val="2"/>
                <w:sz w:val="24"/>
                <w:szCs w:val="24"/>
                <w:lang w:val="en-US" w:eastAsia="zh-CN" w:bidi="ar-SA"/>
              </w:rPr>
            </w:pPr>
            <w:r>
              <w:rPr>
                <w:color w:val="333333"/>
              </w:rPr>
              <w:t>3</w:t>
            </w:r>
          </w:p>
        </w:tc>
      </w:tr>
      <w:tr w14:paraId="0B5446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shd w:val="clear" w:color="auto" w:fill="auto"/>
            <w:vAlign w:val="top"/>
          </w:tcPr>
          <w:p w14:paraId="056869A4">
            <w:pPr>
              <w:pStyle w:val="26"/>
              <w:widowControl w:val="0"/>
              <w:spacing w:before="52" w:line="220" w:lineRule="auto"/>
              <w:ind w:left="50" w:leftChars="0"/>
              <w:rPr>
                <w:rFonts w:hint="default" w:ascii="宋体" w:hAnsi="宋体" w:eastAsia="宋体" w:cs="宋体"/>
                <w:kern w:val="2"/>
                <w:sz w:val="24"/>
                <w:szCs w:val="24"/>
                <w:lang w:val="en-US" w:eastAsia="zh-CN" w:bidi="ar-SA"/>
              </w:rPr>
            </w:pPr>
            <w:r>
              <w:rPr>
                <w:color w:val="333333"/>
              </w:rPr>
              <w:t>中</w:t>
            </w:r>
          </w:p>
        </w:tc>
        <w:tc>
          <w:tcPr>
            <w:tcW w:w="2149" w:type="dxa"/>
            <w:shd w:val="clear" w:color="auto" w:fill="auto"/>
            <w:vAlign w:val="top"/>
          </w:tcPr>
          <w:p w14:paraId="3AE5B0F3">
            <w:pPr>
              <w:pStyle w:val="26"/>
              <w:widowControl w:val="0"/>
              <w:spacing w:before="51" w:line="221" w:lineRule="auto"/>
              <w:ind w:left="21" w:leftChars="0"/>
              <w:rPr>
                <w:rFonts w:hint="default" w:ascii="宋体" w:hAnsi="宋体" w:eastAsia="宋体" w:cs="宋体"/>
                <w:kern w:val="2"/>
                <w:sz w:val="24"/>
                <w:szCs w:val="24"/>
                <w:lang w:val="en-US" w:eastAsia="zh-CN" w:bidi="ar-SA"/>
              </w:rPr>
            </w:pPr>
            <w:r>
              <w:rPr>
                <w:spacing w:val="-6"/>
              </w:rPr>
              <w:t>下阶段</w:t>
            </w:r>
          </w:p>
        </w:tc>
        <w:tc>
          <w:tcPr>
            <w:tcW w:w="3203" w:type="dxa"/>
            <w:shd w:val="clear" w:color="auto" w:fill="auto"/>
            <w:vAlign w:val="top"/>
          </w:tcPr>
          <w:p w14:paraId="14B03061">
            <w:pPr>
              <w:pStyle w:val="26"/>
              <w:widowControl w:val="0"/>
              <w:spacing w:before="51" w:line="342" w:lineRule="auto"/>
              <w:ind w:left="129" w:leftChars="0" w:right="7" w:rightChars="0" w:hanging="110" w:firstLineChars="0"/>
              <w:rPr>
                <w:rFonts w:hint="default" w:ascii="宋体" w:hAnsi="宋体" w:eastAsia="宋体" w:cs="宋体"/>
                <w:kern w:val="2"/>
                <w:sz w:val="24"/>
                <w:szCs w:val="24"/>
                <w:lang w:val="en-US" w:eastAsia="zh-CN" w:bidi="ar-SA"/>
              </w:rPr>
            </w:pPr>
            <w:r>
              <w:rPr>
                <w:spacing w:val="-3"/>
              </w:rPr>
              <w:t>二个月内准备（项目根</w:t>
            </w:r>
            <w:r>
              <w:rPr>
                <w:spacing w:val="-1"/>
              </w:rPr>
              <w:t>据具体情况自行定义</w:t>
            </w:r>
          </w:p>
        </w:tc>
        <w:tc>
          <w:tcPr>
            <w:tcW w:w="1213" w:type="dxa"/>
            <w:shd w:val="clear" w:color="auto" w:fill="auto"/>
            <w:vAlign w:val="top"/>
          </w:tcPr>
          <w:p w14:paraId="2F636047">
            <w:pPr>
              <w:pStyle w:val="26"/>
              <w:widowControl w:val="0"/>
              <w:spacing w:before="51" w:line="241" w:lineRule="auto"/>
              <w:ind w:left="554" w:leftChars="0"/>
              <w:rPr>
                <w:rFonts w:hint="default" w:ascii="宋体" w:hAnsi="宋体" w:eastAsia="宋体" w:cs="宋体"/>
                <w:kern w:val="2"/>
                <w:sz w:val="24"/>
                <w:szCs w:val="24"/>
                <w:lang w:val="en-US" w:eastAsia="zh-CN" w:bidi="ar-SA"/>
              </w:rPr>
            </w:pPr>
            <w:r>
              <w:rPr>
                <w:color w:val="333333"/>
              </w:rPr>
              <w:t>2</w:t>
            </w:r>
          </w:p>
        </w:tc>
      </w:tr>
      <w:tr w14:paraId="408987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76" w:type="dxa"/>
            <w:shd w:val="clear" w:color="auto" w:fill="auto"/>
            <w:vAlign w:val="top"/>
          </w:tcPr>
          <w:p w14:paraId="298C9ACA">
            <w:pPr>
              <w:pStyle w:val="26"/>
              <w:widowControl w:val="0"/>
              <w:spacing w:before="56" w:line="227" w:lineRule="auto"/>
              <w:ind w:left="28" w:leftChars="0"/>
              <w:rPr>
                <w:rFonts w:hint="default" w:ascii="宋体" w:hAnsi="宋体" w:eastAsia="宋体" w:cs="宋体"/>
                <w:kern w:val="2"/>
                <w:sz w:val="24"/>
                <w:szCs w:val="24"/>
                <w:lang w:val="en-US" w:eastAsia="zh-CN" w:bidi="ar-SA"/>
              </w:rPr>
            </w:pPr>
            <w:r>
              <w:rPr>
                <w:color w:val="333333"/>
              </w:rPr>
              <w:t>远</w:t>
            </w:r>
          </w:p>
        </w:tc>
        <w:tc>
          <w:tcPr>
            <w:tcW w:w="2149" w:type="dxa"/>
            <w:shd w:val="clear" w:color="auto" w:fill="auto"/>
            <w:vAlign w:val="top"/>
          </w:tcPr>
          <w:p w14:paraId="266034AB">
            <w:pPr>
              <w:pStyle w:val="26"/>
              <w:widowControl w:val="0"/>
              <w:spacing w:before="55" w:line="221" w:lineRule="auto"/>
              <w:ind w:left="28" w:leftChars="0"/>
              <w:rPr>
                <w:rFonts w:hint="default" w:ascii="宋体" w:hAnsi="宋体" w:eastAsia="宋体" w:cs="宋体"/>
                <w:kern w:val="2"/>
                <w:sz w:val="24"/>
                <w:szCs w:val="24"/>
                <w:lang w:val="en-US" w:eastAsia="zh-CN" w:bidi="ar-SA"/>
              </w:rPr>
            </w:pPr>
            <w:r>
              <w:rPr>
                <w:spacing w:val="-8"/>
              </w:rPr>
              <w:t>隔阶段</w:t>
            </w:r>
          </w:p>
        </w:tc>
        <w:tc>
          <w:tcPr>
            <w:tcW w:w="3203" w:type="dxa"/>
            <w:shd w:val="clear" w:color="auto" w:fill="auto"/>
            <w:vAlign w:val="top"/>
          </w:tcPr>
          <w:p w14:paraId="3EB3A259">
            <w:pPr>
              <w:pStyle w:val="26"/>
              <w:widowControl w:val="0"/>
              <w:spacing w:before="55" w:line="349" w:lineRule="auto"/>
              <w:ind w:left="129" w:leftChars="0" w:right="7" w:rightChars="0" w:hanging="110" w:firstLineChars="0"/>
              <w:rPr>
                <w:rFonts w:hint="default" w:ascii="宋体" w:hAnsi="宋体" w:eastAsia="宋体" w:cs="宋体"/>
                <w:kern w:val="2"/>
                <w:sz w:val="24"/>
                <w:szCs w:val="24"/>
                <w:lang w:val="en-US" w:eastAsia="zh-CN" w:bidi="ar-SA"/>
              </w:rPr>
            </w:pPr>
            <w:r>
              <w:rPr>
                <w:spacing w:val="-3"/>
              </w:rPr>
              <w:t>一个月内准备（项目根</w:t>
            </w:r>
            <w:r>
              <w:rPr>
                <w:spacing w:val="-1"/>
              </w:rPr>
              <w:t>据具体情况自行定义</w:t>
            </w:r>
          </w:p>
        </w:tc>
        <w:tc>
          <w:tcPr>
            <w:tcW w:w="1213" w:type="dxa"/>
            <w:shd w:val="clear" w:color="auto" w:fill="auto"/>
            <w:vAlign w:val="top"/>
          </w:tcPr>
          <w:p w14:paraId="778481F2">
            <w:pPr>
              <w:pStyle w:val="26"/>
              <w:widowControl w:val="0"/>
              <w:spacing w:before="55" w:line="241" w:lineRule="auto"/>
              <w:ind w:left="569" w:leftChars="0"/>
              <w:rPr>
                <w:rFonts w:hint="default" w:ascii="宋体" w:hAnsi="宋体" w:eastAsia="宋体" w:cs="宋体"/>
                <w:kern w:val="2"/>
                <w:sz w:val="24"/>
                <w:szCs w:val="24"/>
                <w:lang w:val="en-US" w:eastAsia="zh-CN" w:bidi="ar-SA"/>
              </w:rPr>
            </w:pPr>
            <w:r>
              <w:rPr>
                <w:color w:val="333333"/>
              </w:rPr>
              <w:t>1</w:t>
            </w:r>
          </w:p>
        </w:tc>
      </w:tr>
    </w:tbl>
    <w:p w14:paraId="636CA765">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77B090F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l 风险等级标准</w:t>
      </w:r>
    </w:p>
    <w:p w14:paraId="014E6BE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风险等级＝风险发生概率*风险严重程度*发生时段生成下列风险值:1,2,3,4,6,8,9,12,18,27</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3F33CB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E6E6E6"/>
            <w:vAlign w:val="top"/>
          </w:tcPr>
          <w:p w14:paraId="57BC90A9">
            <w:pPr>
              <w:pStyle w:val="26"/>
              <w:widowControl w:val="0"/>
              <w:spacing w:before="56" w:line="219" w:lineRule="auto"/>
              <w:ind w:left="363" w:leftChars="0"/>
              <w:rPr>
                <w:rFonts w:hint="default" w:ascii="宋体" w:hAnsi="宋体" w:eastAsia="宋体" w:cs="宋体"/>
                <w:kern w:val="2"/>
                <w:sz w:val="24"/>
                <w:szCs w:val="24"/>
                <w:lang w:val="en-US" w:eastAsia="zh-CN" w:bidi="ar-SA"/>
              </w:rPr>
            </w:pPr>
            <w:r>
              <w:rPr>
                <w:b/>
                <w:bCs/>
                <w:spacing w:val="-5"/>
              </w:rPr>
              <w:t>风险等级</w:t>
            </w:r>
          </w:p>
        </w:tc>
        <w:tc>
          <w:tcPr>
            <w:tcW w:w="2841" w:type="dxa"/>
            <w:shd w:val="clear" w:color="auto" w:fill="E6E6E6"/>
            <w:vAlign w:val="top"/>
          </w:tcPr>
          <w:p w14:paraId="03DE6EB9">
            <w:pPr>
              <w:pStyle w:val="26"/>
              <w:widowControl w:val="0"/>
              <w:spacing w:before="56" w:line="342" w:lineRule="auto"/>
              <w:ind w:left="209" w:leftChars="0" w:right="3" w:rightChars="0" w:hanging="188" w:firstLineChars="0"/>
              <w:rPr>
                <w:rFonts w:hint="default" w:ascii="宋体" w:hAnsi="宋体" w:eastAsia="宋体" w:cs="宋体"/>
                <w:kern w:val="2"/>
                <w:sz w:val="24"/>
                <w:szCs w:val="24"/>
                <w:lang w:val="en-US" w:eastAsia="zh-CN" w:bidi="ar-SA"/>
              </w:rPr>
            </w:pPr>
            <w:r>
              <w:rPr>
                <w:b/>
                <w:bCs/>
                <w:spacing w:val="-4"/>
              </w:rPr>
              <w:t>风险等级数值</w:t>
            </w:r>
            <w:r>
              <w:rPr>
                <w:b/>
                <w:bCs/>
                <w:spacing w:val="-5"/>
              </w:rPr>
              <w:t>（1~~27）</w:t>
            </w:r>
          </w:p>
        </w:tc>
        <w:tc>
          <w:tcPr>
            <w:tcW w:w="2841" w:type="dxa"/>
            <w:shd w:val="clear" w:color="auto" w:fill="E6E6E6"/>
            <w:vAlign w:val="top"/>
          </w:tcPr>
          <w:p w14:paraId="2EA5BB22">
            <w:pPr>
              <w:pStyle w:val="26"/>
              <w:widowControl w:val="0"/>
              <w:spacing w:before="56" w:line="219" w:lineRule="auto"/>
              <w:jc w:val="left"/>
              <w:rPr>
                <w:rFonts w:hint="default" w:ascii="宋体" w:hAnsi="宋体" w:eastAsia="宋体" w:cs="宋体"/>
                <w:kern w:val="2"/>
                <w:sz w:val="24"/>
                <w:szCs w:val="24"/>
                <w:lang w:val="en-US" w:eastAsia="zh-CN" w:bidi="ar-SA"/>
              </w:rPr>
            </w:pPr>
            <w:r>
              <w:rPr>
                <w:b/>
                <w:bCs/>
                <w:spacing w:val="-5"/>
              </w:rPr>
              <w:t>缓解措施</w:t>
            </w:r>
          </w:p>
        </w:tc>
      </w:tr>
      <w:tr w14:paraId="27BBAD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0B9B8C5">
            <w:pPr>
              <w:pStyle w:val="26"/>
              <w:widowControl w:val="0"/>
              <w:spacing w:before="51" w:line="221" w:lineRule="auto"/>
              <w:ind w:left="291" w:leftChars="0"/>
              <w:rPr>
                <w:rFonts w:hint="default" w:ascii="宋体" w:hAnsi="宋体" w:eastAsia="宋体" w:cs="宋体"/>
                <w:kern w:val="2"/>
                <w:sz w:val="24"/>
                <w:szCs w:val="24"/>
                <w:lang w:val="en-US" w:eastAsia="zh-CN" w:bidi="ar-SA"/>
              </w:rPr>
            </w:pPr>
            <w:r>
              <w:rPr>
                <w:color w:val="333333"/>
                <w:spacing w:val="-7"/>
              </w:rPr>
              <w:t>1</w:t>
            </w:r>
            <w:r>
              <w:rPr>
                <w:color w:val="333333"/>
                <w:spacing w:val="-47"/>
              </w:rPr>
              <w:t xml:space="preserve"> </w:t>
            </w:r>
            <w:r>
              <w:rPr>
                <w:color w:val="333333"/>
                <w:spacing w:val="-7"/>
              </w:rPr>
              <w:t>级(低级)</w:t>
            </w:r>
          </w:p>
        </w:tc>
        <w:tc>
          <w:tcPr>
            <w:tcW w:w="2841" w:type="dxa"/>
            <w:shd w:val="clear" w:color="auto" w:fill="auto"/>
            <w:vAlign w:val="top"/>
          </w:tcPr>
          <w:p w14:paraId="477FFAD5">
            <w:pPr>
              <w:pStyle w:val="26"/>
              <w:widowControl w:val="0"/>
              <w:spacing w:before="52" w:line="216" w:lineRule="auto"/>
              <w:ind w:left="340" w:leftChars="0"/>
              <w:rPr>
                <w:rFonts w:hint="default" w:ascii="宋体" w:hAnsi="宋体" w:eastAsia="宋体" w:cs="宋体"/>
                <w:kern w:val="2"/>
                <w:sz w:val="24"/>
                <w:szCs w:val="24"/>
                <w:lang w:val="en-US" w:eastAsia="zh-CN" w:bidi="ar-SA"/>
              </w:rPr>
            </w:pPr>
            <w:r>
              <w:rPr>
                <w:color w:val="333333"/>
                <w:spacing w:val="-4"/>
              </w:rPr>
              <w:t>1,2,3,4</w:t>
            </w:r>
          </w:p>
        </w:tc>
        <w:tc>
          <w:tcPr>
            <w:tcW w:w="2841" w:type="dxa"/>
            <w:shd w:val="clear" w:color="auto" w:fill="auto"/>
            <w:vAlign w:val="top"/>
          </w:tcPr>
          <w:p w14:paraId="5207E951">
            <w:pPr>
              <w:pStyle w:val="26"/>
              <w:widowControl w:val="0"/>
              <w:spacing w:before="51" w:line="349" w:lineRule="auto"/>
              <w:ind w:left="39" w:leftChars="0" w:right="10" w:rightChars="0" w:hanging="8" w:firstLineChars="0"/>
              <w:rPr>
                <w:rFonts w:hint="default" w:ascii="宋体" w:hAnsi="宋体" w:eastAsia="宋体" w:cs="宋体"/>
                <w:kern w:val="2"/>
                <w:sz w:val="24"/>
                <w:szCs w:val="24"/>
                <w:lang w:val="en-US" w:eastAsia="zh-CN" w:bidi="ar-SA"/>
              </w:rPr>
            </w:pPr>
            <w:r>
              <w:rPr>
                <w:color w:val="333333"/>
                <w:spacing w:val="-2"/>
              </w:rPr>
              <w:t>项目组内部确定具体行动措施，经过项目经理审批同意，对此类风险可作接受处理。</w:t>
            </w:r>
          </w:p>
        </w:tc>
      </w:tr>
      <w:tr w14:paraId="6A94BF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F16A31B">
            <w:pPr>
              <w:pStyle w:val="26"/>
              <w:widowControl w:val="0"/>
              <w:spacing w:before="56" w:line="220" w:lineRule="auto"/>
              <w:ind w:left="156" w:leftChars="0"/>
              <w:rPr>
                <w:rFonts w:hint="default" w:ascii="宋体" w:hAnsi="宋体" w:eastAsia="宋体" w:cs="宋体"/>
                <w:kern w:val="2"/>
                <w:sz w:val="24"/>
                <w:szCs w:val="24"/>
                <w:lang w:val="en-US" w:eastAsia="zh-CN" w:bidi="ar-SA"/>
              </w:rPr>
            </w:pPr>
            <w:r>
              <w:rPr>
                <w:color w:val="333333"/>
                <w:spacing w:val="-5"/>
              </w:rPr>
              <w:t>2</w:t>
            </w:r>
            <w:r>
              <w:rPr>
                <w:color w:val="333333"/>
                <w:spacing w:val="-44"/>
              </w:rPr>
              <w:t xml:space="preserve"> </w:t>
            </w:r>
            <w:r>
              <w:rPr>
                <w:color w:val="333333"/>
                <w:spacing w:val="-5"/>
              </w:rPr>
              <w:t>级（中级）</w:t>
            </w:r>
          </w:p>
        </w:tc>
        <w:tc>
          <w:tcPr>
            <w:tcW w:w="2841" w:type="dxa"/>
            <w:shd w:val="clear" w:color="auto" w:fill="auto"/>
            <w:vAlign w:val="top"/>
          </w:tcPr>
          <w:p w14:paraId="3D01CE8A">
            <w:pPr>
              <w:pStyle w:val="26"/>
              <w:widowControl w:val="0"/>
              <w:spacing w:before="56" w:line="216" w:lineRule="auto"/>
              <w:ind w:left="264" w:leftChars="0"/>
              <w:rPr>
                <w:rFonts w:hint="default" w:ascii="宋体" w:hAnsi="宋体" w:eastAsia="宋体" w:cs="宋体"/>
                <w:kern w:val="2"/>
                <w:sz w:val="24"/>
                <w:szCs w:val="24"/>
                <w:lang w:val="en-US" w:eastAsia="zh-CN" w:bidi="ar-SA"/>
              </w:rPr>
            </w:pPr>
            <w:r>
              <w:rPr>
                <w:color w:val="333333"/>
                <w:spacing w:val="-2"/>
              </w:rPr>
              <w:t>6,8,9,12</w:t>
            </w:r>
          </w:p>
        </w:tc>
        <w:tc>
          <w:tcPr>
            <w:tcW w:w="2841" w:type="dxa"/>
            <w:shd w:val="clear" w:color="auto" w:fill="auto"/>
            <w:vAlign w:val="top"/>
          </w:tcPr>
          <w:p w14:paraId="38C9389F">
            <w:pPr>
              <w:pStyle w:val="26"/>
              <w:widowControl w:val="0"/>
              <w:spacing w:before="55" w:line="343" w:lineRule="auto"/>
              <w:ind w:left="39" w:leftChars="0" w:right="10" w:rightChars="0" w:hanging="8" w:firstLineChars="0"/>
              <w:rPr>
                <w:rFonts w:hint="default" w:ascii="宋体" w:hAnsi="宋体" w:eastAsia="宋体" w:cs="宋体"/>
                <w:kern w:val="2"/>
                <w:sz w:val="24"/>
                <w:szCs w:val="24"/>
                <w:lang w:val="en-US" w:eastAsia="zh-CN" w:bidi="ar-SA"/>
              </w:rPr>
            </w:pPr>
            <w:r>
              <w:rPr>
                <w:color w:val="333333"/>
                <w:spacing w:val="-2"/>
              </w:rPr>
              <w:t>项目组内部确定具体行动措施，经过项目经理</w:t>
            </w:r>
            <w:r>
              <w:rPr>
                <w:color w:val="333333"/>
                <w:spacing w:val="-5"/>
              </w:rPr>
              <w:t>审批同意。</w:t>
            </w:r>
          </w:p>
        </w:tc>
      </w:tr>
      <w:tr w14:paraId="5EABA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FF73D2B">
            <w:pPr>
              <w:pStyle w:val="26"/>
              <w:widowControl w:val="0"/>
              <w:spacing w:before="51" w:line="219" w:lineRule="auto"/>
              <w:ind w:left="158" w:leftChars="0"/>
              <w:rPr>
                <w:rFonts w:hint="default" w:ascii="宋体" w:hAnsi="宋体" w:eastAsia="宋体" w:cs="宋体"/>
                <w:kern w:val="2"/>
                <w:sz w:val="24"/>
                <w:szCs w:val="24"/>
                <w:lang w:val="en-US" w:eastAsia="zh-CN" w:bidi="ar-SA"/>
              </w:rPr>
            </w:pPr>
            <w:r>
              <w:rPr>
                <w:color w:val="333333"/>
                <w:spacing w:val="-5"/>
              </w:rPr>
              <w:t>3</w:t>
            </w:r>
            <w:r>
              <w:rPr>
                <w:color w:val="333333"/>
                <w:spacing w:val="-46"/>
              </w:rPr>
              <w:t xml:space="preserve"> </w:t>
            </w:r>
            <w:r>
              <w:rPr>
                <w:color w:val="333333"/>
                <w:spacing w:val="-5"/>
              </w:rPr>
              <w:t>级（高级）</w:t>
            </w:r>
          </w:p>
        </w:tc>
        <w:tc>
          <w:tcPr>
            <w:tcW w:w="2841" w:type="dxa"/>
            <w:shd w:val="clear" w:color="auto" w:fill="auto"/>
            <w:vAlign w:val="top"/>
          </w:tcPr>
          <w:p w14:paraId="0E75B67B">
            <w:pPr>
              <w:pStyle w:val="26"/>
              <w:widowControl w:val="0"/>
              <w:spacing w:before="52" w:line="216" w:lineRule="auto"/>
              <w:ind w:left="460" w:leftChars="0"/>
              <w:rPr>
                <w:rFonts w:hint="default" w:ascii="宋体" w:hAnsi="宋体" w:eastAsia="宋体" w:cs="宋体"/>
                <w:kern w:val="2"/>
                <w:sz w:val="24"/>
                <w:szCs w:val="24"/>
                <w:lang w:val="en-US" w:eastAsia="zh-CN" w:bidi="ar-SA"/>
              </w:rPr>
            </w:pPr>
            <w:r>
              <w:rPr>
                <w:color w:val="333333"/>
                <w:spacing w:val="-6"/>
              </w:rPr>
              <w:t>18,27</w:t>
            </w:r>
          </w:p>
        </w:tc>
        <w:tc>
          <w:tcPr>
            <w:tcW w:w="2841" w:type="dxa"/>
            <w:shd w:val="clear" w:color="auto" w:fill="auto"/>
            <w:vAlign w:val="top"/>
          </w:tcPr>
          <w:p w14:paraId="489E09DE">
            <w:pPr>
              <w:pStyle w:val="26"/>
              <w:widowControl w:val="0"/>
              <w:spacing w:before="53" w:line="352" w:lineRule="auto"/>
              <w:ind w:left="30" w:leftChars="0"/>
              <w:jc w:val="both"/>
              <w:rPr>
                <w:rFonts w:hint="default" w:ascii="宋体" w:hAnsi="宋体" w:eastAsia="宋体" w:cs="宋体"/>
                <w:kern w:val="2"/>
                <w:sz w:val="24"/>
                <w:szCs w:val="24"/>
                <w:lang w:val="en-US" w:eastAsia="zh-CN" w:bidi="ar-SA"/>
              </w:rPr>
            </w:pPr>
            <w:r>
              <w:rPr>
                <w:spacing w:val="-6"/>
              </w:rPr>
              <w:t>项目经理牵头组织会议，请相关项客户信息管</w:t>
            </w:r>
            <w:r>
              <w:rPr>
                <w:spacing w:val="7"/>
              </w:rPr>
              <w:t>理部门领导及项目总监共同制定风险应对策</w:t>
            </w:r>
            <w:r>
              <w:rPr>
                <w:spacing w:val="-13"/>
              </w:rPr>
              <w:t>略，在需要时，请求相关领导的资源支援承诺。</w:t>
            </w:r>
          </w:p>
        </w:tc>
      </w:tr>
    </w:tbl>
    <w:p w14:paraId="187DBD2E">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648820F2">
      <w:pPr>
        <w:pStyle w:val="29"/>
        <w:bidi w:val="0"/>
        <w:rPr>
          <w:rFonts w:hint="eastAsia"/>
          <w:lang w:val="en-US" w:eastAsia="zh-CN"/>
        </w:rPr>
      </w:pPr>
      <w:bookmarkStart w:id="7" w:name="_Toc29556"/>
      <w:r>
        <w:rPr>
          <w:rFonts w:hint="eastAsia"/>
          <w:lang w:val="en-US" w:eastAsia="zh-CN"/>
        </w:rPr>
        <w:t>风险应对措施</w:t>
      </w:r>
      <w:bookmarkEnd w:id="7"/>
    </w:p>
    <w:p w14:paraId="65E7E612">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在风险管理规划基础上进行风险控制，一旦监视到风险，就采取合理措施进行风险应对，可以从改变风险性质、改变风险发生的概率、改变风险的影响大小等多方面着手。风险应对的策略一般有预防、回避、接受、后备措施等几种方式。</w:t>
      </w:r>
    </w:p>
    <w:p w14:paraId="68928DE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其中，预防风险尤其不能忽视项目的教育培训和按程序办事两个方面。由于项目实施成员的任何不当行为都会构成项目的风险因素，要减轻与之相应的影响，就必须对有关人员进行详细和有效的风险教育和项目培训，教育培训的内容应该包含项目相关的策略、计划、标准、规章规范、项目知识、产品知识等。在项目活动中，应该严格按照运维制度，如进度、人力调配、文档管理、资源分配等。</w:t>
      </w:r>
    </w:p>
    <w:p w14:paraId="3F5817E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回避风险，是指当项目风险潜在威胁的可能性极大，并会带来严重的后果，无法转移又不能承受时，通过改变项目来规避风险。通常会通过修改运维目标、范围、结构等方式来回避风险的威胁。</w:t>
      </w:r>
    </w:p>
    <w:p w14:paraId="0DB01F6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接受风险，作为规避风险的常见方法，主要是指主动将风险事件的不利后果承担下来，这种后果通常主要反映在实施周期、成本费用的有限增加上，以牺牲项目收益而不影响项目整体。</w:t>
      </w:r>
    </w:p>
    <w:p w14:paraId="0561A58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用于规避风险的后备措施，主要体现在后备费用、预留进度时间、后备技术力量三个方面，这些后备措施在项目计划中就应预留，保证在项目实施过程中，能充分调用后备力量解决问题。</w:t>
      </w:r>
    </w:p>
    <w:p w14:paraId="0D83DEA1">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风险控制组织</w:t>
      </w:r>
    </w:p>
    <w:p w14:paraId="08BDF90B">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由运维项目总监牵头成立风险控制委员会，包括项目经理及客户方直接管理领导等相关人员，领导项目组对风险进行管控。</w:t>
      </w:r>
    </w:p>
    <w:tbl>
      <w:tblPr>
        <w:tblStyle w:val="20"/>
        <w:tblW w:w="8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4"/>
        <w:gridCol w:w="6708"/>
      </w:tblGrid>
      <w:tr w14:paraId="1FB0D6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shd w:val="clear" w:color="auto" w:fill="CCCCCC"/>
            <w:vAlign w:val="top"/>
          </w:tcPr>
          <w:p w14:paraId="59D63BA8">
            <w:pPr>
              <w:pStyle w:val="26"/>
              <w:widowControl w:val="0"/>
              <w:spacing w:before="148" w:line="219" w:lineRule="auto"/>
              <w:ind w:left="529" w:leftChars="0"/>
              <w:rPr>
                <w:rFonts w:hint="default" w:ascii="宋体" w:hAnsi="宋体" w:eastAsia="宋体" w:cs="宋体"/>
                <w:kern w:val="2"/>
                <w:sz w:val="18"/>
                <w:szCs w:val="18"/>
                <w:lang w:val="en-US" w:eastAsia="zh-CN" w:bidi="ar-SA"/>
              </w:rPr>
            </w:pPr>
            <w:r>
              <w:rPr>
                <w:spacing w:val="-5"/>
                <w:sz w:val="18"/>
                <w:szCs w:val="18"/>
              </w:rPr>
              <w:t>角色</w:t>
            </w:r>
          </w:p>
        </w:tc>
        <w:tc>
          <w:tcPr>
            <w:tcW w:w="6708" w:type="dxa"/>
            <w:shd w:val="clear" w:color="auto" w:fill="CCCCCC"/>
            <w:vAlign w:val="top"/>
          </w:tcPr>
          <w:p w14:paraId="30E69F5C">
            <w:pPr>
              <w:pStyle w:val="26"/>
              <w:widowControl w:val="0"/>
              <w:spacing w:before="148" w:line="221" w:lineRule="auto"/>
              <w:ind w:left="3177" w:leftChars="0"/>
              <w:rPr>
                <w:rFonts w:hint="default" w:ascii="宋体" w:hAnsi="宋体" w:eastAsia="宋体" w:cs="宋体"/>
                <w:kern w:val="2"/>
                <w:sz w:val="18"/>
                <w:szCs w:val="18"/>
                <w:lang w:val="en-US" w:eastAsia="zh-CN" w:bidi="ar-SA"/>
              </w:rPr>
            </w:pPr>
            <w:r>
              <w:rPr>
                <w:spacing w:val="-4"/>
                <w:sz w:val="18"/>
                <w:szCs w:val="18"/>
              </w:rPr>
              <w:t>职责</w:t>
            </w:r>
          </w:p>
        </w:tc>
      </w:tr>
      <w:tr w14:paraId="656ABA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shd w:val="clear" w:color="auto" w:fill="auto"/>
            <w:vAlign w:val="top"/>
          </w:tcPr>
          <w:p w14:paraId="7E430A45">
            <w:pPr>
              <w:widowControl w:val="0"/>
              <w:spacing w:line="253" w:lineRule="auto"/>
              <w:rPr>
                <w:rFonts w:ascii="Arial"/>
                <w:sz w:val="21"/>
              </w:rPr>
            </w:pPr>
          </w:p>
          <w:p w14:paraId="49BA30C9">
            <w:pPr>
              <w:widowControl w:val="0"/>
              <w:spacing w:line="254" w:lineRule="auto"/>
              <w:rPr>
                <w:rFonts w:ascii="Arial"/>
                <w:sz w:val="21"/>
              </w:rPr>
            </w:pPr>
          </w:p>
          <w:p w14:paraId="228F83C3">
            <w:pPr>
              <w:widowControl w:val="0"/>
              <w:spacing w:line="254" w:lineRule="auto"/>
              <w:rPr>
                <w:rFonts w:ascii="Arial"/>
                <w:sz w:val="21"/>
              </w:rPr>
            </w:pPr>
          </w:p>
          <w:p w14:paraId="7A2EA047">
            <w:pPr>
              <w:widowControl w:val="0"/>
              <w:spacing w:line="254" w:lineRule="auto"/>
              <w:rPr>
                <w:rFonts w:ascii="Arial"/>
                <w:sz w:val="21"/>
              </w:rPr>
            </w:pPr>
          </w:p>
          <w:p w14:paraId="7B8FEA90">
            <w:pPr>
              <w:pStyle w:val="26"/>
              <w:widowControl w:val="0"/>
              <w:spacing w:before="58" w:line="220" w:lineRule="auto"/>
              <w:ind w:left="438" w:leftChars="0"/>
              <w:rPr>
                <w:rFonts w:hint="default" w:ascii="宋体" w:hAnsi="宋体" w:eastAsia="宋体" w:cs="宋体"/>
                <w:kern w:val="2"/>
                <w:sz w:val="18"/>
                <w:szCs w:val="18"/>
                <w:lang w:val="en-US" w:eastAsia="zh-CN" w:bidi="ar-SA"/>
              </w:rPr>
            </w:pPr>
            <w:r>
              <w:rPr>
                <w:spacing w:val="-4"/>
                <w:sz w:val="18"/>
                <w:szCs w:val="18"/>
              </w:rPr>
              <w:t>项目组</w:t>
            </w:r>
          </w:p>
        </w:tc>
        <w:tc>
          <w:tcPr>
            <w:tcW w:w="6708" w:type="dxa"/>
            <w:shd w:val="clear" w:color="auto" w:fill="auto"/>
            <w:vAlign w:val="top"/>
          </w:tcPr>
          <w:p w14:paraId="25FE016E">
            <w:pPr>
              <w:pStyle w:val="26"/>
              <w:widowControl w:val="0"/>
              <w:spacing w:before="144" w:line="219" w:lineRule="auto"/>
              <w:ind w:left="125"/>
              <w:rPr>
                <w:sz w:val="18"/>
                <w:szCs w:val="18"/>
              </w:rPr>
            </w:pPr>
            <w:r>
              <w:rPr>
                <w:spacing w:val="-2"/>
                <w:sz w:val="18"/>
                <w:szCs w:val="18"/>
              </w:rPr>
              <w:t>1）负责项目的风险管理计划</w:t>
            </w:r>
          </w:p>
          <w:p w14:paraId="7153A992">
            <w:pPr>
              <w:pStyle w:val="26"/>
              <w:widowControl w:val="0"/>
              <w:spacing w:before="254" w:line="219" w:lineRule="auto"/>
              <w:ind w:left="113"/>
              <w:rPr>
                <w:sz w:val="18"/>
                <w:szCs w:val="18"/>
              </w:rPr>
            </w:pPr>
            <w:r>
              <w:rPr>
                <w:spacing w:val="-1"/>
                <w:sz w:val="18"/>
                <w:szCs w:val="18"/>
              </w:rPr>
              <w:t>2）负责实施和维护项目的风险管理计划</w:t>
            </w:r>
          </w:p>
          <w:p w14:paraId="0F87AC0E">
            <w:pPr>
              <w:pStyle w:val="26"/>
              <w:widowControl w:val="0"/>
              <w:spacing w:before="254" w:line="219" w:lineRule="auto"/>
              <w:ind w:left="115"/>
              <w:rPr>
                <w:sz w:val="18"/>
                <w:szCs w:val="18"/>
              </w:rPr>
            </w:pPr>
            <w:r>
              <w:rPr>
                <w:spacing w:val="-1"/>
                <w:sz w:val="18"/>
                <w:szCs w:val="18"/>
              </w:rPr>
              <w:t>3）负责项目过程中风险的跟踪控制</w:t>
            </w:r>
          </w:p>
          <w:p w14:paraId="09C71073">
            <w:pPr>
              <w:pStyle w:val="26"/>
              <w:widowControl w:val="0"/>
              <w:spacing w:before="254" w:line="219" w:lineRule="auto"/>
              <w:ind w:left="111"/>
              <w:rPr>
                <w:sz w:val="18"/>
                <w:szCs w:val="18"/>
              </w:rPr>
            </w:pPr>
            <w:r>
              <w:rPr>
                <w:spacing w:val="-1"/>
                <w:sz w:val="18"/>
                <w:szCs w:val="18"/>
              </w:rPr>
              <w:t>4）负责对项目风险管理计划中相关的度量元进行度量</w:t>
            </w:r>
          </w:p>
          <w:p w14:paraId="55D0421E">
            <w:pPr>
              <w:pStyle w:val="26"/>
              <w:widowControl w:val="0"/>
              <w:spacing w:before="254" w:line="219" w:lineRule="auto"/>
              <w:ind w:left="115" w:leftChars="0"/>
              <w:rPr>
                <w:rFonts w:hint="default" w:ascii="宋体" w:hAnsi="宋体" w:eastAsia="宋体" w:cs="宋体"/>
                <w:kern w:val="2"/>
                <w:sz w:val="18"/>
                <w:szCs w:val="18"/>
                <w:lang w:val="en-US" w:eastAsia="zh-CN" w:bidi="ar-SA"/>
              </w:rPr>
            </w:pPr>
            <w:r>
              <w:rPr>
                <w:spacing w:val="-1"/>
                <w:sz w:val="18"/>
                <w:szCs w:val="18"/>
              </w:rPr>
              <w:t>5）负责把项目形成的风险管理计划以及相关的风险信息进行配置管理</w:t>
            </w:r>
          </w:p>
        </w:tc>
      </w:tr>
      <w:tr w14:paraId="56628A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shd w:val="clear" w:color="auto" w:fill="auto"/>
            <w:vAlign w:val="top"/>
          </w:tcPr>
          <w:p w14:paraId="4F7F2DCC">
            <w:pPr>
              <w:pStyle w:val="26"/>
              <w:widowControl w:val="0"/>
              <w:spacing w:before="58" w:line="220" w:lineRule="auto"/>
              <w:ind w:left="438" w:leftChars="0"/>
              <w:rPr>
                <w:rFonts w:hint="default" w:ascii="宋体" w:hAnsi="宋体" w:eastAsia="宋体" w:cs="宋体"/>
                <w:kern w:val="2"/>
                <w:sz w:val="18"/>
                <w:szCs w:val="18"/>
                <w:lang w:val="en-US" w:eastAsia="zh-CN" w:bidi="ar-SA"/>
              </w:rPr>
            </w:pPr>
            <w:r>
              <w:rPr>
                <w:spacing w:val="-4"/>
                <w:sz w:val="18"/>
                <w:szCs w:val="18"/>
              </w:rPr>
              <w:t>风险控制委员会</w:t>
            </w:r>
          </w:p>
        </w:tc>
        <w:tc>
          <w:tcPr>
            <w:tcW w:w="6708" w:type="dxa"/>
            <w:shd w:val="clear" w:color="auto" w:fill="auto"/>
            <w:vAlign w:val="top"/>
          </w:tcPr>
          <w:p w14:paraId="2020E5CB">
            <w:pPr>
              <w:pStyle w:val="26"/>
              <w:widowControl w:val="0"/>
              <w:spacing w:before="149" w:line="219" w:lineRule="auto"/>
              <w:ind w:left="125"/>
              <w:rPr>
                <w:sz w:val="18"/>
                <w:szCs w:val="18"/>
              </w:rPr>
            </w:pPr>
            <w:r>
              <w:rPr>
                <w:spacing w:val="-1"/>
                <w:sz w:val="18"/>
                <w:szCs w:val="18"/>
              </w:rPr>
              <w:t>1）负责项目过程中一些重大风险的相关处理方法的审批</w:t>
            </w:r>
          </w:p>
          <w:p w14:paraId="674F4583">
            <w:pPr>
              <w:pStyle w:val="26"/>
              <w:widowControl w:val="0"/>
              <w:spacing w:before="254" w:line="219" w:lineRule="auto"/>
              <w:ind w:left="113"/>
              <w:rPr>
                <w:sz w:val="18"/>
                <w:szCs w:val="18"/>
              </w:rPr>
            </w:pPr>
            <w:r>
              <w:rPr>
                <w:spacing w:val="-1"/>
                <w:sz w:val="18"/>
                <w:szCs w:val="18"/>
              </w:rPr>
              <w:t>2）定期的评审项目的风险管理工作</w:t>
            </w:r>
          </w:p>
          <w:p w14:paraId="7648F38A">
            <w:pPr>
              <w:pStyle w:val="26"/>
              <w:widowControl w:val="0"/>
              <w:spacing w:before="253" w:line="219" w:lineRule="auto"/>
              <w:ind w:left="115" w:leftChars="0"/>
              <w:rPr>
                <w:rFonts w:hint="default" w:ascii="宋体" w:hAnsi="宋体" w:eastAsia="宋体" w:cs="宋体"/>
                <w:kern w:val="2"/>
                <w:sz w:val="18"/>
                <w:szCs w:val="18"/>
                <w:lang w:val="en-US" w:eastAsia="zh-CN" w:bidi="ar-SA"/>
              </w:rPr>
            </w:pPr>
            <w:r>
              <w:rPr>
                <w:spacing w:val="-1"/>
                <w:sz w:val="18"/>
                <w:szCs w:val="18"/>
              </w:rPr>
              <w:t>3）为风险管理活动提供足够的资源</w:t>
            </w:r>
          </w:p>
        </w:tc>
      </w:tr>
    </w:tbl>
    <w:p w14:paraId="2CC7FF4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69A6D46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项目组在风险控制委员会指导下展开风险研讨，吸纳项目相关人员包括客户人员参加，对项目开发计划的工作分解结构中所有工作要素中可能存在的风险进行识别。对风险的识别建立《风险来源和分类一览表》罗列出风险项，并逐一研讨其显含或隐含的可能性。项目经理负责将识别出来的风险项记录在项目计划的风险估计的《风险识别和跟踪表》中。</w:t>
      </w:r>
    </w:p>
    <w:p w14:paraId="49CF17F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项目负责人根据风险等级标准，制定风险应对则略，并确定责任人。</w:t>
      </w:r>
    </w:p>
    <w:p w14:paraId="4464FED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首先判断运维的风险发生时，带来的后果,项目是否可以承受，如果答案是肯定的，则可作接受处理，即不作任何风险管理工作。当风险发生时，当作问题处理，不再花费额外的资源管理；接受处理的另一种情况是，当缓解风险的成本比接受其发生更大时，可以作为接受处理。如果风险不可接受，则需要制定缓解计划和应急计划。</w:t>
      </w:r>
    </w:p>
    <w:p w14:paraId="1ED40BE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缓解计划：在适当的时间启动的，可以降低风险发生概率、减少风险发生带来的影响或推迟风险发生时间的措施。</w:t>
      </w:r>
    </w:p>
    <w:p w14:paraId="7D6E1B7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应急计划：风险万一发生时，采取的行动，以处理风险发生带来的影响。</w:t>
      </w:r>
    </w:p>
    <w:p w14:paraId="10D0EAC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对于高等级的风险项，建议项目经理牵头组织会议，请相关上级经理参加共同制定风险缓解和急应计划。若风险项为项目级无法解决的风险，由项目经理提交相关领导以寻求帮助。</w:t>
      </w:r>
    </w:p>
    <w:p w14:paraId="04A8748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对于中等级的风险项，建议项目经理组织项目组成员或部分人员以讨论的方式，制定风险缓解和急应计划。计划需经所在事业部相关经理审签通过。</w:t>
      </w:r>
    </w:p>
    <w:p w14:paraId="39F1C79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对于低级的风险项，建议项目经理组织项目组成员或项目内部人员以讨论的方式，制定风险缓解和急应计划。</w:t>
      </w:r>
    </w:p>
    <w:p w14:paraId="38DCCDAB">
      <w:pPr>
        <w:pStyle w:val="29"/>
        <w:bidi w:val="0"/>
        <w:rPr>
          <w:rFonts w:hint="eastAsia"/>
          <w:lang w:val="en-US" w:eastAsia="zh-CN"/>
        </w:rPr>
      </w:pPr>
      <w:bookmarkStart w:id="8" w:name="_Toc10725"/>
      <w:r>
        <w:rPr>
          <w:rFonts w:hint="eastAsia"/>
          <w:lang w:val="en-US" w:eastAsia="zh-CN"/>
        </w:rPr>
        <w:t>风险跟踪与监控</w:t>
      </w:r>
      <w:bookmarkEnd w:id="8"/>
    </w:p>
    <w:p w14:paraId="3ACCB74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风险跟踪</w:t>
      </w:r>
    </w:p>
    <w:p w14:paraId="46C9F29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项目负责人指定责任人将识别出来的风险全部填入《风险识别和跟踪表》中，并每周或事件驱动跟踪控制表中风险参数和状态。</w:t>
      </w:r>
    </w:p>
    <w:p w14:paraId="41BCE1E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风险跟踪项：</w:t>
      </w:r>
    </w:p>
    <w:p w14:paraId="387B1B2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风险跟踪只针对《风险识别和跟踪表》中状态为“未处理 ”和“处理中 ”的风险。其中风险等级为高等级风险必须跟踪，对于中等级和低等级的风险可以根据项目的资源情况和风险等级数值，选择跟踪全部风险或只跟踪风险等级值高的前三项风险。</w:t>
      </w:r>
    </w:p>
    <w:p w14:paraId="6BE00BCA">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风险跟踪状态表：</w:t>
      </w:r>
    </w:p>
    <w:tbl>
      <w:tblPr>
        <w:tblStyle w:val="20"/>
        <w:tblW w:w="79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4"/>
        <w:gridCol w:w="6704"/>
      </w:tblGrid>
      <w:tr w14:paraId="72351F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shd w:val="clear" w:color="auto" w:fill="auto"/>
            <w:vAlign w:val="top"/>
          </w:tcPr>
          <w:p w14:paraId="2F919F74">
            <w:pPr>
              <w:pStyle w:val="26"/>
              <w:widowControl w:val="0"/>
              <w:spacing w:before="150" w:line="219" w:lineRule="auto"/>
              <w:ind w:left="290" w:leftChars="0"/>
              <w:rPr>
                <w:rFonts w:hint="default" w:ascii="宋体" w:hAnsi="宋体" w:eastAsia="宋体" w:cs="宋体"/>
                <w:kern w:val="2"/>
                <w:sz w:val="18"/>
                <w:szCs w:val="18"/>
                <w:lang w:val="en-US" w:eastAsia="zh-CN" w:bidi="ar-SA"/>
              </w:rPr>
            </w:pPr>
            <w:r>
              <w:rPr>
                <w:b/>
                <w:bCs/>
                <w:spacing w:val="-4"/>
                <w:sz w:val="18"/>
                <w:szCs w:val="18"/>
              </w:rPr>
              <w:t>状态名称</w:t>
            </w:r>
          </w:p>
        </w:tc>
        <w:tc>
          <w:tcPr>
            <w:tcW w:w="6704" w:type="dxa"/>
            <w:shd w:val="clear" w:color="auto" w:fill="auto"/>
            <w:vAlign w:val="top"/>
          </w:tcPr>
          <w:p w14:paraId="1407E0AD">
            <w:pPr>
              <w:pStyle w:val="26"/>
              <w:widowControl w:val="0"/>
              <w:spacing w:before="150" w:line="219" w:lineRule="auto"/>
              <w:ind w:left="2549" w:leftChars="0"/>
              <w:rPr>
                <w:rFonts w:hint="default" w:ascii="宋体" w:hAnsi="宋体" w:eastAsia="宋体" w:cs="宋体"/>
                <w:kern w:val="2"/>
                <w:sz w:val="18"/>
                <w:szCs w:val="18"/>
                <w:lang w:val="en-US" w:eastAsia="zh-CN" w:bidi="ar-SA"/>
              </w:rPr>
            </w:pPr>
            <w:r>
              <w:rPr>
                <w:b/>
                <w:bCs/>
                <w:spacing w:val="-6"/>
                <w:sz w:val="18"/>
                <w:szCs w:val="18"/>
              </w:rPr>
              <w:t>解释</w:t>
            </w:r>
          </w:p>
        </w:tc>
      </w:tr>
      <w:tr w14:paraId="4A325F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shd w:val="clear" w:color="auto" w:fill="auto"/>
            <w:vAlign w:val="top"/>
          </w:tcPr>
          <w:p w14:paraId="5844AC70">
            <w:pPr>
              <w:pStyle w:val="26"/>
              <w:widowControl w:val="0"/>
              <w:spacing w:before="145" w:line="220" w:lineRule="auto"/>
              <w:ind w:left="384" w:leftChars="0"/>
              <w:rPr>
                <w:rFonts w:hint="default" w:ascii="宋体" w:hAnsi="宋体" w:eastAsia="宋体" w:cs="宋体"/>
                <w:kern w:val="2"/>
                <w:sz w:val="18"/>
                <w:szCs w:val="18"/>
                <w:lang w:val="en-US" w:eastAsia="zh-CN" w:bidi="ar-SA"/>
              </w:rPr>
            </w:pPr>
            <w:r>
              <w:rPr>
                <w:spacing w:val="-4"/>
                <w:sz w:val="18"/>
                <w:szCs w:val="18"/>
              </w:rPr>
              <w:t>未处理</w:t>
            </w:r>
          </w:p>
        </w:tc>
        <w:tc>
          <w:tcPr>
            <w:tcW w:w="6704" w:type="dxa"/>
            <w:shd w:val="clear" w:color="auto" w:fill="auto"/>
            <w:vAlign w:val="top"/>
          </w:tcPr>
          <w:p w14:paraId="308A066D">
            <w:pPr>
              <w:pStyle w:val="26"/>
              <w:widowControl w:val="0"/>
              <w:spacing w:before="145" w:line="219" w:lineRule="auto"/>
              <w:ind w:left="111" w:leftChars="0"/>
              <w:rPr>
                <w:rFonts w:hint="default" w:ascii="宋体" w:hAnsi="宋体" w:eastAsia="宋体" w:cs="宋体"/>
                <w:kern w:val="2"/>
                <w:sz w:val="18"/>
                <w:szCs w:val="18"/>
                <w:lang w:val="en-US" w:eastAsia="zh-CN" w:bidi="ar-SA"/>
              </w:rPr>
            </w:pPr>
            <w:r>
              <w:rPr>
                <w:spacing w:val="-2"/>
                <w:sz w:val="18"/>
                <w:szCs w:val="18"/>
              </w:rPr>
              <w:t>指风险未发生，也未对其采取缓解措施，即“</w:t>
            </w:r>
            <w:r>
              <w:rPr>
                <w:spacing w:val="-64"/>
                <w:sz w:val="18"/>
                <w:szCs w:val="18"/>
              </w:rPr>
              <w:t xml:space="preserve"> </w:t>
            </w:r>
            <w:r>
              <w:rPr>
                <w:spacing w:val="-3"/>
                <w:sz w:val="18"/>
                <w:szCs w:val="18"/>
              </w:rPr>
              <w:t>已识别</w:t>
            </w:r>
            <w:r>
              <w:rPr>
                <w:spacing w:val="-66"/>
                <w:sz w:val="18"/>
                <w:szCs w:val="18"/>
              </w:rPr>
              <w:t xml:space="preserve"> </w:t>
            </w:r>
            <w:r>
              <w:rPr>
                <w:spacing w:val="-3"/>
                <w:sz w:val="18"/>
                <w:szCs w:val="18"/>
              </w:rPr>
              <w:t>”状态。</w:t>
            </w:r>
          </w:p>
        </w:tc>
      </w:tr>
      <w:tr w14:paraId="50600A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shd w:val="clear" w:color="auto" w:fill="auto"/>
            <w:vAlign w:val="top"/>
          </w:tcPr>
          <w:p w14:paraId="62103C85">
            <w:pPr>
              <w:widowControl w:val="0"/>
              <w:spacing w:line="318" w:lineRule="auto"/>
              <w:rPr>
                <w:rFonts w:ascii="Arial"/>
                <w:sz w:val="21"/>
              </w:rPr>
            </w:pPr>
          </w:p>
          <w:p w14:paraId="37022F7B">
            <w:pPr>
              <w:pStyle w:val="26"/>
              <w:widowControl w:val="0"/>
              <w:spacing w:before="59" w:line="220" w:lineRule="auto"/>
              <w:ind w:left="384" w:leftChars="0"/>
              <w:rPr>
                <w:rFonts w:hint="default" w:ascii="宋体" w:hAnsi="宋体" w:eastAsia="宋体" w:cs="宋体"/>
                <w:kern w:val="2"/>
                <w:sz w:val="18"/>
                <w:szCs w:val="18"/>
                <w:lang w:val="en-US" w:eastAsia="zh-CN" w:bidi="ar-SA"/>
              </w:rPr>
            </w:pPr>
            <w:r>
              <w:rPr>
                <w:spacing w:val="-4"/>
                <w:sz w:val="18"/>
                <w:szCs w:val="18"/>
              </w:rPr>
              <w:t>处理中</w:t>
            </w:r>
          </w:p>
        </w:tc>
        <w:tc>
          <w:tcPr>
            <w:tcW w:w="6704" w:type="dxa"/>
            <w:shd w:val="clear" w:color="auto" w:fill="auto"/>
            <w:vAlign w:val="top"/>
          </w:tcPr>
          <w:p w14:paraId="475CCF1A">
            <w:pPr>
              <w:pStyle w:val="26"/>
              <w:widowControl w:val="0"/>
              <w:spacing w:before="146" w:line="402" w:lineRule="auto"/>
              <w:ind w:left="102" w:leftChars="0" w:right="49" w:rightChars="0" w:firstLine="10" w:firstLineChars="0"/>
              <w:rPr>
                <w:rFonts w:hint="default" w:ascii="宋体" w:hAnsi="宋体" w:eastAsia="宋体" w:cs="宋体"/>
                <w:kern w:val="2"/>
                <w:sz w:val="18"/>
                <w:szCs w:val="18"/>
                <w:lang w:val="en-US" w:eastAsia="zh-CN" w:bidi="ar-SA"/>
              </w:rPr>
            </w:pPr>
            <w:r>
              <w:rPr>
                <w:spacing w:val="-9"/>
                <w:sz w:val="18"/>
                <w:szCs w:val="18"/>
              </w:rPr>
              <w:t>项目已按照缓解计划或应急计划，实施了缓解行动，但未解决完成，包括“缓解中</w:t>
            </w:r>
            <w:r>
              <w:rPr>
                <w:spacing w:val="-52"/>
                <w:sz w:val="18"/>
                <w:szCs w:val="18"/>
              </w:rPr>
              <w:t xml:space="preserve"> </w:t>
            </w:r>
            <w:r>
              <w:rPr>
                <w:spacing w:val="-9"/>
                <w:sz w:val="18"/>
                <w:szCs w:val="18"/>
              </w:rPr>
              <w:t>”、</w:t>
            </w:r>
            <w:r>
              <w:rPr>
                <w:sz w:val="18"/>
                <w:szCs w:val="18"/>
              </w:rPr>
              <w:t xml:space="preserve"> </w:t>
            </w:r>
            <w:r>
              <w:rPr>
                <w:spacing w:val="-27"/>
                <w:sz w:val="18"/>
                <w:szCs w:val="18"/>
              </w:rPr>
              <w:t>“</w:t>
            </w:r>
            <w:r>
              <w:rPr>
                <w:spacing w:val="-52"/>
                <w:sz w:val="18"/>
                <w:szCs w:val="18"/>
              </w:rPr>
              <w:t xml:space="preserve"> </w:t>
            </w:r>
            <w:r>
              <w:rPr>
                <w:spacing w:val="-27"/>
                <w:sz w:val="18"/>
                <w:szCs w:val="18"/>
              </w:rPr>
              <w:t>已缓解</w:t>
            </w:r>
            <w:r>
              <w:rPr>
                <w:spacing w:val="-66"/>
                <w:sz w:val="18"/>
                <w:szCs w:val="18"/>
              </w:rPr>
              <w:t xml:space="preserve"> </w:t>
            </w:r>
            <w:r>
              <w:rPr>
                <w:spacing w:val="-27"/>
                <w:sz w:val="18"/>
                <w:szCs w:val="18"/>
              </w:rPr>
              <w:t>”、“已发生</w:t>
            </w:r>
            <w:r>
              <w:rPr>
                <w:spacing w:val="-66"/>
                <w:sz w:val="18"/>
                <w:szCs w:val="18"/>
              </w:rPr>
              <w:t xml:space="preserve"> </w:t>
            </w:r>
            <w:r>
              <w:rPr>
                <w:spacing w:val="-27"/>
                <w:sz w:val="18"/>
                <w:szCs w:val="18"/>
              </w:rPr>
              <w:t>”、“应急中</w:t>
            </w:r>
            <w:r>
              <w:rPr>
                <w:spacing w:val="-66"/>
                <w:sz w:val="18"/>
                <w:szCs w:val="18"/>
              </w:rPr>
              <w:t xml:space="preserve"> </w:t>
            </w:r>
            <w:r>
              <w:rPr>
                <w:spacing w:val="-27"/>
                <w:sz w:val="18"/>
                <w:szCs w:val="18"/>
              </w:rPr>
              <w:t>”、“已应急</w:t>
            </w:r>
            <w:r>
              <w:rPr>
                <w:spacing w:val="-66"/>
                <w:sz w:val="18"/>
                <w:szCs w:val="18"/>
              </w:rPr>
              <w:t xml:space="preserve"> </w:t>
            </w:r>
            <w:r>
              <w:rPr>
                <w:spacing w:val="-27"/>
                <w:sz w:val="18"/>
                <w:szCs w:val="18"/>
              </w:rPr>
              <w:t>”状态</w:t>
            </w:r>
          </w:p>
        </w:tc>
      </w:tr>
      <w:tr w14:paraId="4BA21B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shd w:val="clear" w:color="auto" w:fill="auto"/>
            <w:vAlign w:val="top"/>
          </w:tcPr>
          <w:p w14:paraId="429944B0">
            <w:pPr>
              <w:pStyle w:val="26"/>
              <w:widowControl w:val="0"/>
              <w:spacing w:before="146" w:line="221" w:lineRule="auto"/>
              <w:ind w:left="471" w:leftChars="0"/>
              <w:rPr>
                <w:rFonts w:hint="default" w:ascii="宋体" w:hAnsi="宋体" w:eastAsia="宋体" w:cs="宋体"/>
                <w:kern w:val="2"/>
                <w:sz w:val="18"/>
                <w:szCs w:val="18"/>
                <w:lang w:val="en-US" w:eastAsia="zh-CN" w:bidi="ar-SA"/>
              </w:rPr>
            </w:pPr>
            <w:r>
              <w:rPr>
                <w:spacing w:val="-4"/>
                <w:sz w:val="18"/>
                <w:szCs w:val="18"/>
              </w:rPr>
              <w:t>接受</w:t>
            </w:r>
          </w:p>
        </w:tc>
        <w:tc>
          <w:tcPr>
            <w:tcW w:w="6704" w:type="dxa"/>
            <w:shd w:val="clear" w:color="auto" w:fill="auto"/>
            <w:vAlign w:val="top"/>
          </w:tcPr>
          <w:p w14:paraId="01B26933">
            <w:pPr>
              <w:pStyle w:val="26"/>
              <w:widowControl w:val="0"/>
              <w:spacing w:before="146" w:line="219" w:lineRule="auto"/>
              <w:ind w:left="109" w:leftChars="0"/>
              <w:rPr>
                <w:rFonts w:hint="default" w:ascii="宋体" w:hAnsi="宋体" w:eastAsia="宋体" w:cs="宋体"/>
                <w:kern w:val="2"/>
                <w:sz w:val="18"/>
                <w:szCs w:val="18"/>
                <w:lang w:val="en-US" w:eastAsia="zh-CN" w:bidi="ar-SA"/>
              </w:rPr>
            </w:pPr>
            <w:r>
              <w:rPr>
                <w:spacing w:val="-3"/>
                <w:sz w:val="18"/>
                <w:szCs w:val="18"/>
              </w:rPr>
              <w:t>承认风险，并决定不采取缓解措施，即“</w:t>
            </w:r>
            <w:r>
              <w:rPr>
                <w:spacing w:val="-47"/>
                <w:sz w:val="18"/>
                <w:szCs w:val="18"/>
              </w:rPr>
              <w:t xml:space="preserve"> </w:t>
            </w:r>
            <w:r>
              <w:rPr>
                <w:spacing w:val="-3"/>
                <w:sz w:val="18"/>
                <w:szCs w:val="18"/>
              </w:rPr>
              <w:t>已识别</w:t>
            </w:r>
            <w:r>
              <w:rPr>
                <w:spacing w:val="-67"/>
                <w:sz w:val="18"/>
                <w:szCs w:val="18"/>
              </w:rPr>
              <w:t xml:space="preserve"> </w:t>
            </w:r>
            <w:r>
              <w:rPr>
                <w:spacing w:val="-3"/>
                <w:sz w:val="18"/>
                <w:szCs w:val="18"/>
              </w:rPr>
              <w:t>”状态。</w:t>
            </w:r>
          </w:p>
        </w:tc>
      </w:tr>
      <w:tr w14:paraId="0EF3F0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shd w:val="clear" w:color="auto" w:fill="auto"/>
            <w:vAlign w:val="top"/>
          </w:tcPr>
          <w:p w14:paraId="5E50DABF">
            <w:pPr>
              <w:widowControl w:val="0"/>
              <w:spacing w:line="262" w:lineRule="auto"/>
              <w:rPr>
                <w:rFonts w:ascii="Arial"/>
                <w:sz w:val="21"/>
              </w:rPr>
            </w:pPr>
          </w:p>
          <w:p w14:paraId="01387D2F">
            <w:pPr>
              <w:widowControl w:val="0"/>
              <w:spacing w:line="262" w:lineRule="auto"/>
              <w:rPr>
                <w:rFonts w:ascii="Arial"/>
                <w:sz w:val="21"/>
              </w:rPr>
            </w:pPr>
          </w:p>
          <w:p w14:paraId="1B074BDA">
            <w:pPr>
              <w:widowControl w:val="0"/>
              <w:spacing w:line="263" w:lineRule="auto"/>
              <w:rPr>
                <w:rFonts w:ascii="Arial"/>
                <w:sz w:val="21"/>
              </w:rPr>
            </w:pPr>
          </w:p>
          <w:p w14:paraId="551FB6F7">
            <w:pPr>
              <w:pStyle w:val="26"/>
              <w:widowControl w:val="0"/>
              <w:spacing w:before="58" w:line="221" w:lineRule="auto"/>
              <w:ind w:left="400" w:leftChars="0"/>
              <w:rPr>
                <w:rFonts w:hint="default" w:ascii="宋体" w:hAnsi="宋体" w:eastAsia="宋体" w:cs="宋体"/>
                <w:kern w:val="2"/>
                <w:sz w:val="18"/>
                <w:szCs w:val="18"/>
                <w:lang w:val="en-US" w:eastAsia="zh-CN" w:bidi="ar-SA"/>
              </w:rPr>
            </w:pPr>
            <w:r>
              <w:rPr>
                <w:spacing w:val="-9"/>
                <w:sz w:val="18"/>
                <w:szCs w:val="18"/>
              </w:rPr>
              <w:t>已消失</w:t>
            </w:r>
          </w:p>
        </w:tc>
        <w:tc>
          <w:tcPr>
            <w:tcW w:w="6704" w:type="dxa"/>
            <w:shd w:val="clear" w:color="auto" w:fill="auto"/>
            <w:vAlign w:val="top"/>
          </w:tcPr>
          <w:p w14:paraId="587D7CB8">
            <w:pPr>
              <w:pStyle w:val="26"/>
              <w:widowControl w:val="0"/>
              <w:spacing w:before="147" w:line="219" w:lineRule="auto"/>
              <w:ind w:left="109"/>
              <w:rPr>
                <w:sz w:val="18"/>
                <w:szCs w:val="18"/>
              </w:rPr>
            </w:pPr>
            <w:r>
              <w:rPr>
                <w:spacing w:val="-1"/>
                <w:sz w:val="18"/>
                <w:szCs w:val="18"/>
              </w:rPr>
              <w:t>通过缓解行动，风险消失；</w:t>
            </w:r>
          </w:p>
          <w:p w14:paraId="0B842AF2">
            <w:pPr>
              <w:pStyle w:val="26"/>
              <w:widowControl w:val="0"/>
              <w:spacing w:before="254" w:line="219" w:lineRule="auto"/>
              <w:ind w:left="110"/>
              <w:rPr>
                <w:sz w:val="18"/>
                <w:szCs w:val="18"/>
              </w:rPr>
            </w:pPr>
            <w:r>
              <w:rPr>
                <w:spacing w:val="-1"/>
                <w:sz w:val="18"/>
                <w:szCs w:val="18"/>
              </w:rPr>
              <w:t>风险未发生，但已不存在；</w:t>
            </w:r>
          </w:p>
          <w:p w14:paraId="633CEC72">
            <w:pPr>
              <w:pStyle w:val="26"/>
              <w:widowControl w:val="0"/>
              <w:spacing w:before="254" w:line="219" w:lineRule="auto"/>
              <w:ind w:left="110"/>
              <w:rPr>
                <w:sz w:val="18"/>
                <w:szCs w:val="18"/>
              </w:rPr>
            </w:pPr>
            <w:r>
              <w:rPr>
                <w:spacing w:val="-1"/>
                <w:sz w:val="18"/>
                <w:szCs w:val="18"/>
              </w:rPr>
              <w:t>风险已发生，并启动应急计划解决完成。</w:t>
            </w:r>
          </w:p>
          <w:p w14:paraId="20C09700">
            <w:pPr>
              <w:pStyle w:val="26"/>
              <w:widowControl w:val="0"/>
              <w:spacing w:before="254" w:line="219" w:lineRule="auto"/>
              <w:ind w:left="129" w:leftChars="0"/>
              <w:rPr>
                <w:rFonts w:hint="default" w:ascii="宋体" w:hAnsi="宋体" w:eastAsia="宋体" w:cs="宋体"/>
                <w:kern w:val="2"/>
                <w:sz w:val="18"/>
                <w:szCs w:val="18"/>
                <w:lang w:val="en-US" w:eastAsia="zh-CN" w:bidi="ar-SA"/>
              </w:rPr>
            </w:pPr>
            <w:r>
              <w:rPr>
                <w:spacing w:val="-5"/>
                <w:sz w:val="18"/>
                <w:szCs w:val="18"/>
              </w:rPr>
              <w:t>以上三种情况请填写“完成时间</w:t>
            </w:r>
            <w:r>
              <w:rPr>
                <w:spacing w:val="-49"/>
                <w:sz w:val="18"/>
                <w:szCs w:val="18"/>
              </w:rPr>
              <w:t xml:space="preserve"> </w:t>
            </w:r>
            <w:r>
              <w:rPr>
                <w:spacing w:val="-5"/>
                <w:sz w:val="18"/>
                <w:szCs w:val="18"/>
              </w:rPr>
              <w:t>”。即“</w:t>
            </w:r>
            <w:r>
              <w:rPr>
                <w:spacing w:val="-64"/>
                <w:sz w:val="18"/>
                <w:szCs w:val="18"/>
              </w:rPr>
              <w:t xml:space="preserve"> </w:t>
            </w:r>
            <w:r>
              <w:rPr>
                <w:spacing w:val="-5"/>
                <w:sz w:val="18"/>
                <w:szCs w:val="18"/>
              </w:rPr>
              <w:t>已关闭</w:t>
            </w:r>
            <w:r>
              <w:rPr>
                <w:spacing w:val="-66"/>
                <w:sz w:val="18"/>
                <w:szCs w:val="18"/>
              </w:rPr>
              <w:t xml:space="preserve"> </w:t>
            </w:r>
            <w:r>
              <w:rPr>
                <w:spacing w:val="-5"/>
                <w:sz w:val="18"/>
                <w:szCs w:val="18"/>
              </w:rPr>
              <w:t>”状态</w:t>
            </w:r>
          </w:p>
        </w:tc>
      </w:tr>
    </w:tbl>
    <w:p w14:paraId="37A405D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7E723A6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风险控制</w:t>
      </w:r>
    </w:p>
    <w:p w14:paraId="3D03EC9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项目负责人须对计划中定义的风险跟踪项进行跟踪，对风险参数（概率、影响度和发生时段）重新评估，并重新计算风险等级数值，观察是否发生了变化，必要时对项目开发计划（风险部分）进行及时的变更。</w:t>
      </w:r>
    </w:p>
    <w:p w14:paraId="2BCC904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项目负责人在项目执行的各个阶段，需要再次对风险进行识别，确定新风险项的概率、影响度和发生时段，计算风险等级，并制定应对策略，必要时对《风险识别和跟踪表》（在项目状态报告中）进行及时的变更，以确保风险管理的动态性和完整性。</w:t>
      </w:r>
    </w:p>
    <w:p w14:paraId="760CD089">
      <w:pPr>
        <w:pStyle w:val="29"/>
        <w:bidi w:val="0"/>
        <w:rPr>
          <w:rFonts w:hint="eastAsia"/>
          <w:lang w:val="en-US" w:eastAsia="zh-CN"/>
        </w:rPr>
      </w:pPr>
      <w:bookmarkStart w:id="9" w:name="_Toc27913"/>
      <w:r>
        <w:rPr>
          <w:rFonts w:hint="eastAsia"/>
          <w:lang w:val="en-US" w:eastAsia="zh-CN"/>
        </w:rPr>
        <w:t>运维项目后续风险管理</w:t>
      </w:r>
      <w:bookmarkEnd w:id="9"/>
    </w:p>
    <w:p w14:paraId="298A4B2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运维结束后，将项目的《风险识别和跟踪表》随流程上交组织过程资产库。</w:t>
      </w:r>
    </w:p>
    <w:p w14:paraId="29B66B0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eastAsia"/>
          <w:sz w:val="24"/>
          <w:lang w:val="en-US" w:eastAsia="zh-CN"/>
        </w:rPr>
        <w:t>运维服务部</w:t>
      </w:r>
      <w:r>
        <w:rPr>
          <w:rFonts w:hint="default"/>
          <w:sz w:val="24"/>
          <w:lang w:val="en-US" w:eastAsia="zh-CN"/>
        </w:rPr>
        <w:t>参照行业内常见风险，编制《风险来源和分类一览表》，并组织客户信息部门主管领导、经理和相关项目成员评审，建立组织级《风险来源和分类一览表》。</w:t>
      </w:r>
    </w:p>
    <w:p w14:paraId="3A0078E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eastAsia"/>
          <w:sz w:val="24"/>
          <w:lang w:val="en-US" w:eastAsia="zh-CN"/>
        </w:rPr>
        <w:t>运维服务部</w:t>
      </w:r>
      <w:r>
        <w:rPr>
          <w:rFonts w:hint="default"/>
          <w:sz w:val="24"/>
          <w:lang w:val="en-US" w:eastAsia="zh-CN"/>
        </w:rPr>
        <w:t>负责根据项目的《风险识别和跟踪表》的内容，整理新识别的风险项，定期维护更新组织级的《风险来源和分类一览表》。必要时可以召集运维项目经理、客户方主管领导及其他相关人员对《风险来源和分类一览表》的更新内容进行评审。</w:t>
      </w:r>
    </w:p>
    <w:p w14:paraId="1F98E91D">
      <w:pPr>
        <w:pStyle w:val="29"/>
        <w:bidi w:val="0"/>
        <w:rPr>
          <w:rFonts w:hint="eastAsia"/>
          <w:lang w:val="en-US" w:eastAsia="zh-CN"/>
        </w:rPr>
      </w:pPr>
      <w:bookmarkStart w:id="10" w:name="_Toc14503"/>
      <w:r>
        <w:rPr>
          <w:rFonts w:hint="eastAsia"/>
          <w:lang w:val="en-US" w:eastAsia="zh-CN"/>
        </w:rPr>
        <w:t>风险控制流程</w:t>
      </w:r>
      <w:bookmarkEnd w:id="10"/>
    </w:p>
    <w:p w14:paraId="50224B05">
      <w:pPr>
        <w:bidi w:val="0"/>
        <w:rPr>
          <w:rFonts w:hint="eastAsia"/>
          <w:lang w:val="en-US" w:eastAsia="zh-CN"/>
        </w:rPr>
      </w:pPr>
      <w:r>
        <w:drawing>
          <wp:inline distT="0" distB="0" distL="0" distR="0">
            <wp:extent cx="5274310" cy="4472940"/>
            <wp:effectExtent l="0" t="0" r="13970" b="762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7"/>
                    <a:stretch>
                      <a:fillRect/>
                    </a:stretch>
                  </pic:blipFill>
                  <pic:spPr>
                    <a:xfrm>
                      <a:off x="0" y="0"/>
                      <a:ext cx="5274563" cy="447294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D21B2"/>
    <w:rsid w:val="00C2346B"/>
    <w:rsid w:val="01F97036"/>
    <w:rsid w:val="02CD0FA0"/>
    <w:rsid w:val="031E62CB"/>
    <w:rsid w:val="04BE5FB8"/>
    <w:rsid w:val="053B615C"/>
    <w:rsid w:val="058B39C0"/>
    <w:rsid w:val="06B36D07"/>
    <w:rsid w:val="07133C6D"/>
    <w:rsid w:val="07F850B2"/>
    <w:rsid w:val="0AF838A6"/>
    <w:rsid w:val="0B0E131B"/>
    <w:rsid w:val="0C27678D"/>
    <w:rsid w:val="0D782A7C"/>
    <w:rsid w:val="0DE83EE0"/>
    <w:rsid w:val="0E6574A4"/>
    <w:rsid w:val="0EA24254"/>
    <w:rsid w:val="0EE03857"/>
    <w:rsid w:val="0EE242F3"/>
    <w:rsid w:val="10156CA8"/>
    <w:rsid w:val="107734BE"/>
    <w:rsid w:val="10974C0A"/>
    <w:rsid w:val="12F26E2C"/>
    <w:rsid w:val="13516249"/>
    <w:rsid w:val="136715C8"/>
    <w:rsid w:val="13755966"/>
    <w:rsid w:val="13F86586"/>
    <w:rsid w:val="149955B3"/>
    <w:rsid w:val="15C0622B"/>
    <w:rsid w:val="19616ABA"/>
    <w:rsid w:val="19B906A4"/>
    <w:rsid w:val="1AB01AA7"/>
    <w:rsid w:val="1B7900EB"/>
    <w:rsid w:val="1B882A24"/>
    <w:rsid w:val="1CF96B9F"/>
    <w:rsid w:val="1DB06039"/>
    <w:rsid w:val="1F136AA8"/>
    <w:rsid w:val="1F4712C6"/>
    <w:rsid w:val="201C54DB"/>
    <w:rsid w:val="20B41BC5"/>
    <w:rsid w:val="216D06F2"/>
    <w:rsid w:val="22097CEF"/>
    <w:rsid w:val="225047E7"/>
    <w:rsid w:val="22630065"/>
    <w:rsid w:val="22CD6F6E"/>
    <w:rsid w:val="23CD36CA"/>
    <w:rsid w:val="24337556"/>
    <w:rsid w:val="244020ED"/>
    <w:rsid w:val="24FD0A68"/>
    <w:rsid w:val="252709A9"/>
    <w:rsid w:val="2540611D"/>
    <w:rsid w:val="25755DC7"/>
    <w:rsid w:val="258F13C6"/>
    <w:rsid w:val="25A20B86"/>
    <w:rsid w:val="27D33279"/>
    <w:rsid w:val="286916DB"/>
    <w:rsid w:val="28BC5ABB"/>
    <w:rsid w:val="2BE00497"/>
    <w:rsid w:val="2CDC08C3"/>
    <w:rsid w:val="2D0068BE"/>
    <w:rsid w:val="2D4F15F3"/>
    <w:rsid w:val="2F25260C"/>
    <w:rsid w:val="2F642A08"/>
    <w:rsid w:val="30A752A2"/>
    <w:rsid w:val="30C03516"/>
    <w:rsid w:val="30D15C16"/>
    <w:rsid w:val="31682C84"/>
    <w:rsid w:val="31A87524"/>
    <w:rsid w:val="31F44517"/>
    <w:rsid w:val="321626E0"/>
    <w:rsid w:val="32236BAB"/>
    <w:rsid w:val="32285F6F"/>
    <w:rsid w:val="325A3C70"/>
    <w:rsid w:val="33C85833"/>
    <w:rsid w:val="33EC194A"/>
    <w:rsid w:val="33F7209D"/>
    <w:rsid w:val="3566572C"/>
    <w:rsid w:val="35976880"/>
    <w:rsid w:val="35BE7316"/>
    <w:rsid w:val="361B6516"/>
    <w:rsid w:val="362545F8"/>
    <w:rsid w:val="36274EBB"/>
    <w:rsid w:val="386D0B7F"/>
    <w:rsid w:val="38B50D3E"/>
    <w:rsid w:val="3A1439A9"/>
    <w:rsid w:val="3A59015E"/>
    <w:rsid w:val="3C127E96"/>
    <w:rsid w:val="3DDA05E5"/>
    <w:rsid w:val="3ECD4126"/>
    <w:rsid w:val="3F261A88"/>
    <w:rsid w:val="3F5150F2"/>
    <w:rsid w:val="3F7D78FA"/>
    <w:rsid w:val="40503261"/>
    <w:rsid w:val="40A67324"/>
    <w:rsid w:val="411E7700"/>
    <w:rsid w:val="41C55588"/>
    <w:rsid w:val="41CB242A"/>
    <w:rsid w:val="4272310A"/>
    <w:rsid w:val="444C2BC0"/>
    <w:rsid w:val="44E67CEF"/>
    <w:rsid w:val="45264590"/>
    <w:rsid w:val="45594965"/>
    <w:rsid w:val="461E795D"/>
    <w:rsid w:val="464E6A92"/>
    <w:rsid w:val="46C73B51"/>
    <w:rsid w:val="4A314103"/>
    <w:rsid w:val="4BE33F9B"/>
    <w:rsid w:val="4C3E0AC3"/>
    <w:rsid w:val="4C825B51"/>
    <w:rsid w:val="4CF3569F"/>
    <w:rsid w:val="4F2F6737"/>
    <w:rsid w:val="50396934"/>
    <w:rsid w:val="50866022"/>
    <w:rsid w:val="513D615D"/>
    <w:rsid w:val="5181771E"/>
    <w:rsid w:val="51C95322"/>
    <w:rsid w:val="51D0115E"/>
    <w:rsid w:val="52F43CAD"/>
    <w:rsid w:val="53BF452D"/>
    <w:rsid w:val="54D758A7"/>
    <w:rsid w:val="559D0A05"/>
    <w:rsid w:val="55CA674D"/>
    <w:rsid w:val="56854DDE"/>
    <w:rsid w:val="590A14DD"/>
    <w:rsid w:val="593A2391"/>
    <w:rsid w:val="59747B68"/>
    <w:rsid w:val="59894B9F"/>
    <w:rsid w:val="5AC93EE4"/>
    <w:rsid w:val="5AFC6067"/>
    <w:rsid w:val="5B742CF8"/>
    <w:rsid w:val="5B832808"/>
    <w:rsid w:val="5D691C96"/>
    <w:rsid w:val="5DAB2539"/>
    <w:rsid w:val="5DB1138B"/>
    <w:rsid w:val="5EEC63F2"/>
    <w:rsid w:val="602045A6"/>
    <w:rsid w:val="61375910"/>
    <w:rsid w:val="61CA2A1B"/>
    <w:rsid w:val="61CB0541"/>
    <w:rsid w:val="6203471A"/>
    <w:rsid w:val="62C51434"/>
    <w:rsid w:val="63B7355E"/>
    <w:rsid w:val="64161DA3"/>
    <w:rsid w:val="64A4784A"/>
    <w:rsid w:val="64CF659A"/>
    <w:rsid w:val="64E8140A"/>
    <w:rsid w:val="66017845"/>
    <w:rsid w:val="66E75E1D"/>
    <w:rsid w:val="670378F6"/>
    <w:rsid w:val="67347F06"/>
    <w:rsid w:val="67803B7C"/>
    <w:rsid w:val="696574CD"/>
    <w:rsid w:val="6A8E035E"/>
    <w:rsid w:val="6BC14A92"/>
    <w:rsid w:val="6C472AB5"/>
    <w:rsid w:val="6CBF6EF4"/>
    <w:rsid w:val="6CC028ED"/>
    <w:rsid w:val="6D1014FE"/>
    <w:rsid w:val="6D1C4347"/>
    <w:rsid w:val="6D317DF2"/>
    <w:rsid w:val="6DDB5FB0"/>
    <w:rsid w:val="6E4C0C5C"/>
    <w:rsid w:val="6EC627BC"/>
    <w:rsid w:val="6F0E7CBF"/>
    <w:rsid w:val="703025E3"/>
    <w:rsid w:val="70952446"/>
    <w:rsid w:val="71662034"/>
    <w:rsid w:val="728A45F4"/>
    <w:rsid w:val="728C1627"/>
    <w:rsid w:val="72FC1311"/>
    <w:rsid w:val="73274B12"/>
    <w:rsid w:val="7386076C"/>
    <w:rsid w:val="74B03CF2"/>
    <w:rsid w:val="75701C77"/>
    <w:rsid w:val="75FD6934"/>
    <w:rsid w:val="775557EE"/>
    <w:rsid w:val="77FF5426"/>
    <w:rsid w:val="78DB6E64"/>
    <w:rsid w:val="79393B8B"/>
    <w:rsid w:val="79C43D9C"/>
    <w:rsid w:val="7B14665D"/>
    <w:rsid w:val="7B46247D"/>
    <w:rsid w:val="7BE10C35"/>
    <w:rsid w:val="7BE35A96"/>
    <w:rsid w:val="7CA413CC"/>
    <w:rsid w:val="7CA57EB5"/>
    <w:rsid w:val="7CC22486"/>
    <w:rsid w:val="7CFF06D7"/>
    <w:rsid w:val="7D0A41BC"/>
    <w:rsid w:val="7D692C90"/>
    <w:rsid w:val="7DCC06C1"/>
    <w:rsid w:val="7E977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24"/>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11">
    <w:name w:val="Normal Indent"/>
    <w:basedOn w:val="1"/>
    <w:qFormat/>
    <w:uiPriority w:val="0"/>
    <w:pPr>
      <w:ind w:firstLine="420" w:firstLineChars="200"/>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0"/>
    <w:rPr>
      <w:b/>
    </w:rPr>
  </w:style>
  <w:style w:type="paragraph" w:styleId="23">
    <w:name w:val="No Spacing"/>
    <w:qFormat/>
    <w:uiPriority w:val="99"/>
    <w:rPr>
      <w:rFonts w:ascii="Calibri" w:hAnsi="Calibri" w:eastAsia="宋体" w:cs="Times New Roman"/>
      <w:sz w:val="22"/>
      <w:szCs w:val="22"/>
      <w:lang w:val="en-US" w:eastAsia="zh-CN" w:bidi="ar-SA"/>
    </w:rPr>
  </w:style>
  <w:style w:type="character" w:customStyle="1" w:styleId="24">
    <w:name w:val="标题 2 Char"/>
    <w:link w:val="3"/>
    <w:qFormat/>
    <w:uiPriority w:val="0"/>
    <w:rPr>
      <w:rFonts w:ascii="Arial" w:hAnsi="Arial" w:eastAsia="黑体"/>
      <w:b/>
      <w:sz w:val="32"/>
    </w:rPr>
  </w:style>
  <w:style w:type="paragraph" w:customStyle="1" w:styleId="25">
    <w:name w:val="Table Paragraph"/>
    <w:basedOn w:val="1"/>
    <w:qFormat/>
    <w:uiPriority w:val="1"/>
    <w:pPr>
      <w:autoSpaceDE w:val="0"/>
      <w:autoSpaceDN w:val="0"/>
      <w:spacing w:before="81"/>
      <w:ind w:left="108"/>
      <w:jc w:val="left"/>
    </w:pPr>
    <w:rPr>
      <w:rFonts w:ascii="宋体" w:hAnsi="宋体" w:cs="宋体"/>
      <w:kern w:val="0"/>
      <w:sz w:val="22"/>
      <w:szCs w:val="22"/>
      <w:lang w:val="zh-CN" w:bidi="zh-CN"/>
    </w:rPr>
  </w:style>
  <w:style w:type="paragraph" w:customStyle="1" w:styleId="26">
    <w:name w:val="Table Text"/>
    <w:basedOn w:val="1"/>
    <w:semiHidden/>
    <w:qFormat/>
    <w:uiPriority w:val="0"/>
    <w:rPr>
      <w:rFonts w:ascii="宋体" w:hAnsi="宋体" w:eastAsia="宋体" w:cs="宋体"/>
      <w:sz w:val="21"/>
      <w:szCs w:val="21"/>
      <w:lang w:val="en-US" w:eastAsia="en-US" w:bidi="ar-SA"/>
    </w:rPr>
  </w:style>
  <w:style w:type="table" w:customStyle="1" w:styleId="27">
    <w:name w:val="Table Normal"/>
    <w:semiHidden/>
    <w:unhideWhenUsed/>
    <w:qFormat/>
    <w:uiPriority w:val="0"/>
    <w:tblPr>
      <w:tblCellMar>
        <w:top w:w="0" w:type="dxa"/>
        <w:left w:w="0" w:type="dxa"/>
        <w:bottom w:w="0" w:type="dxa"/>
        <w:right w:w="0" w:type="dxa"/>
      </w:tblCellMar>
    </w:tblPr>
  </w:style>
  <w:style w:type="paragraph" w:customStyle="1" w:styleId="28">
    <w:name w:val="柴_标题1"/>
    <w:basedOn w:val="2"/>
    <w:next w:val="1"/>
    <w:qFormat/>
    <w:uiPriority w:val="0"/>
    <w:pPr>
      <w:spacing w:before="100" w:after="90" w:line="360" w:lineRule="auto"/>
    </w:pPr>
    <w:rPr>
      <w:rFonts w:ascii="Arial" w:hAnsi="Arial" w:eastAsia="宋体"/>
      <w:sz w:val="32"/>
    </w:rPr>
  </w:style>
  <w:style w:type="paragraph" w:customStyle="1" w:styleId="29">
    <w:name w:val="柴_标题2"/>
    <w:basedOn w:val="3"/>
    <w:next w:val="1"/>
    <w:qFormat/>
    <w:uiPriority w:val="0"/>
    <w:pPr>
      <w:spacing w:line="360" w:lineRule="auto"/>
    </w:pPr>
    <w:rPr>
      <w:rFonts w:ascii="Arial" w:hAnsi="Arial" w:eastAsia="宋体"/>
      <w:sz w:val="28"/>
    </w:rPr>
  </w:style>
  <w:style w:type="paragraph" w:customStyle="1" w:styleId="30">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1">
    <w:name w:val="柴_目录"/>
    <w:basedOn w:val="1"/>
    <w:next w:val="12"/>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1651</Words>
  <Characters>1765</Characters>
  <Lines>0</Lines>
  <Paragraphs>0</Paragraphs>
  <TotalTime>9</TotalTime>
  <ScaleCrop>false</ScaleCrop>
  <LinksUpToDate>false</LinksUpToDate>
  <CharactersWithSpaces>1827</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2025-08-03T15:18:00Z</dcterms:created>
  <dc:creator>18442</dc:creator>
  <cp:lastModifiedBy>郝宇</cp:lastModifiedBy>
  <dcterms:modified xsi:type="dcterms:W3CDTF">2025-08-28T07:51:02Z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eyJoZGlkIjoiMDY5NmFjMmM4ZTljMGJiZDAxN2JmYTc0NGI0NmFiNDgiLCJ1c2VySWQiOiIxMDc1MzgyOSJ9</vt:lpwstr>
  </property>
  <property fmtid="{D5CDD505-2E9C-101B-9397-08002B2CF9AE}" pid="4" name="ICV">
    <vt:lpwstr>AAD92EDC3E7E46618801A1C013CB6EB4_12</vt:lpwstr>
  </property>
</Properties>
</file>