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0393D">
      <w:pPr>
        <w:pStyle w:val="55"/>
        <w:widowControl w:val="0"/>
        <w:spacing w:after="1872"/>
        <w:rPr>
          <w:rFonts w:hint="default"/>
          <w:lang w:eastAsia="zh-CN"/>
        </w:rPr>
      </w:pPr>
      <w:bookmarkStart w:id="0" w:name="_Toc1157"/>
    </w:p>
    <w:p w14:paraId="76D6EE46">
      <w:pPr>
        <w:pStyle w:val="55"/>
        <w:widowControl w:val="0"/>
        <w:spacing w:after="1872"/>
        <w:rPr>
          <w:rFonts w:hint="default"/>
        </w:rPr>
      </w:pPr>
      <w:r>
        <w:rPr>
          <w:rFonts w:hint="eastAsia"/>
          <w:lang w:eastAsia="zh-CN"/>
        </w:rPr>
        <w:t>2025年</w:t>
      </w:r>
      <w:r>
        <w:rPr>
          <w:lang w:eastAsia="zh-CN"/>
        </w:rPr>
        <w:t>度人员管理总结报告</w:t>
      </w:r>
      <w:bookmarkEnd w:id="0"/>
      <w:r>
        <w:rPr>
          <w:lang w:eastAsia="zh-CN"/>
        </w:rP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截止2025年{{报告月份}}</w:t>
      </w:r>
      <w:r>
        <w:rPr>
          <w:rFonts w:hint="eastAsia"/>
          <w:lang w:eastAsia="zh-CN"/>
        </w:rPr>
        <w:t>）</w:t>
      </w:r>
    </w:p>
    <w:p w14:paraId="04E39D6C">
      <w:pPr>
        <w:pStyle w:val="56"/>
        <w:widowControl w:val="0"/>
        <w:spacing w:after="2808"/>
      </w:pPr>
      <w:bookmarkStart w:id="1" w:name="_Toc15670"/>
      <w:r>
        <w:t>{{公司名称}}</w:t>
      </w:r>
      <w:bookmarkEnd w:id="1"/>
    </w:p>
    <w:p w14:paraId="559A55C5">
      <w:pPr>
        <w:widowControl w:val="0"/>
        <w:spacing w:before="120" w:after="120" w:line="240" w:lineRule="auto"/>
        <w:jc w:val="center"/>
        <w:rPr>
          <w:rFonts w:hint="default" w:ascii="宋体" w:hAnsi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2025-{{报告月份}}-30</w:t>
      </w:r>
    </w:p>
    <w:p w14:paraId="3EA61E02">
      <w:pPr>
        <w:widowControl w:val="0"/>
        <w:rPr>
          <w:rFonts w:ascii="宋体" w:hAnsi="宋体" w:cs="宋体"/>
          <w:spacing w:val="-1"/>
          <w:sz w:val="36"/>
          <w:szCs w:val="36"/>
        </w:rPr>
      </w:pPr>
      <w:r>
        <w:rPr>
          <w:rFonts w:ascii="宋体" w:hAnsi="宋体" w:cs="宋体"/>
          <w:spacing w:val="-1"/>
          <w:sz w:val="36"/>
          <w:szCs w:val="36"/>
        </w:rPr>
        <w:br w:type="page"/>
      </w:r>
    </w:p>
    <w:p w14:paraId="0B7F309F">
      <w:pPr>
        <w:widowControl w:val="0"/>
        <w:spacing w:before="55" w:line="220" w:lineRule="auto"/>
        <w:jc w:val="center"/>
        <w:outlineLvl w:val="0"/>
        <w:rPr>
          <w:rFonts w:ascii="宋体" w:hAnsi="宋体" w:cs="宋体"/>
          <w:sz w:val="28"/>
          <w:szCs w:val="28"/>
        </w:rPr>
      </w:pPr>
      <w:bookmarkStart w:id="2" w:name="_Toc27211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p w14:paraId="4C6D32E0">
      <w:pPr>
        <w:widowControl w:val="0"/>
        <w:spacing w:line="117" w:lineRule="exact"/>
      </w:pPr>
    </w:p>
    <w:tbl>
      <w:tblPr>
        <w:tblStyle w:val="48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23C8F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2A7D274C">
            <w:pPr>
              <w:pStyle w:val="47"/>
              <w:widowControl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5F983328">
            <w:pPr>
              <w:pStyle w:val="47"/>
              <w:widowControl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人员管理报告</w:t>
            </w:r>
            <w:r>
              <w:rPr>
                <w:rFonts w:hint="eastAsia"/>
                <w:spacing w:val="-1"/>
                <w:lang w:eastAsia="zh-CN"/>
              </w:rPr>
              <w:t>（{{首字母</w:t>
            </w:r>
            <w:r>
              <w:rPr>
                <w:rFonts w:hint="eastAsia"/>
                <w:spacing w:val="-1"/>
                <w:lang w:val="en-US" w:eastAsia="zh-CN"/>
              </w:rPr>
              <w:t>缩写</w:t>
            </w:r>
            <w:r>
              <w:rPr>
                <w:rFonts w:hint="eastAsia"/>
                <w:spacing w:val="-1"/>
                <w:lang w:eastAsia="zh-CN"/>
              </w:rPr>
              <w:t>}}-ITSS-RYGLZJ）</w:t>
            </w:r>
          </w:p>
        </w:tc>
      </w:tr>
      <w:tr w14:paraId="35BC4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62DF0201">
            <w:pPr>
              <w:pStyle w:val="47"/>
              <w:widowControl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6E0D15DC">
            <w:pPr>
              <w:pStyle w:val="47"/>
              <w:widowControl w:val="0"/>
              <w:spacing w:before="197" w:line="219" w:lineRule="auto"/>
              <w:ind w:left="108"/>
            </w:pPr>
            <w:r>
              <w:rPr>
                <w:spacing w:val="-1"/>
              </w:rPr>
              <w:t>{{公司名称}}</w:t>
            </w:r>
          </w:p>
        </w:tc>
      </w:tr>
      <w:tr w14:paraId="4BF5D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017BEFF7">
            <w:pPr>
              <w:pStyle w:val="47"/>
              <w:widowControl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341B1F8A">
            <w:pPr>
              <w:pStyle w:val="47"/>
              <w:widowControl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A78921C">
            <w:pPr>
              <w:pStyle w:val="47"/>
              <w:widowControl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43932298">
            <w:pPr>
              <w:pStyle w:val="47"/>
              <w:widowControl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7EDB205">
            <w:pPr>
              <w:pStyle w:val="47"/>
              <w:widowControl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2D7F4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1C44B4B7">
            <w:pPr>
              <w:pStyle w:val="47"/>
              <w:widowControl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350BD950">
            <w:pPr>
              <w:pStyle w:val="47"/>
              <w:widowControl w:val="0"/>
              <w:spacing w:before="134" w:line="219" w:lineRule="auto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2025-{{报告月份}}-30</w:t>
            </w:r>
          </w:p>
          <w:p w14:paraId="3AF4779C">
            <w:pPr>
              <w:pStyle w:val="47"/>
              <w:widowControl w:val="0"/>
              <w:spacing w:before="164"/>
              <w:jc w:val="center"/>
              <w:rPr>
                <w:lang w:eastAsia="zh-CN"/>
              </w:rPr>
            </w:pPr>
          </w:p>
        </w:tc>
        <w:tc>
          <w:tcPr>
            <w:tcW w:w="2302" w:type="dxa"/>
          </w:tcPr>
          <w:p w14:paraId="73A1C7EC">
            <w:pPr>
              <w:pStyle w:val="47"/>
              <w:widowControl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  <w:vAlign w:val="top"/>
          </w:tcPr>
          <w:p w14:paraId="25C0901B">
            <w:pPr>
              <w:pStyle w:val="4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  <w:textAlignment w:val="baseline"/>
            </w:pPr>
            <w:r>
              <w:rPr>
                <w:rFonts w:hint="eastAsia"/>
                <w:lang w:val="en-US" w:eastAsia="zh-CN"/>
              </w:rPr>
              <w:t>{{人力经理}}</w:t>
            </w:r>
          </w:p>
        </w:tc>
        <w:tc>
          <w:tcPr>
            <w:tcW w:w="1953" w:type="dxa"/>
            <w:vAlign w:val="top"/>
          </w:tcPr>
          <w:p w14:paraId="5B93AFD4">
            <w:pPr>
              <w:pStyle w:val="4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  <w:textAlignment w:val="baseline"/>
            </w:pPr>
            <w:r>
              <w:rPr>
                <w:rFonts w:hint="eastAsia"/>
                <w:lang w:val="en-US" w:eastAsia="zh-CN"/>
              </w:rPr>
              <w:t>{{管理者代表}}</w:t>
            </w:r>
          </w:p>
        </w:tc>
      </w:tr>
      <w:tr w14:paraId="248E8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BFE2F2C">
            <w:pPr>
              <w:pStyle w:val="47"/>
              <w:widowControl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4A630FD1">
            <w:pPr>
              <w:pStyle w:val="47"/>
              <w:widowControl w:val="0"/>
              <w:spacing w:before="192"/>
              <w:ind w:left="290"/>
            </w:pPr>
          </w:p>
        </w:tc>
        <w:tc>
          <w:tcPr>
            <w:tcW w:w="2302" w:type="dxa"/>
          </w:tcPr>
          <w:p w14:paraId="3A27C327">
            <w:pPr>
              <w:pStyle w:val="47"/>
              <w:widowControl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38B1EC82">
            <w:pPr>
              <w:pStyle w:val="47"/>
              <w:widowControl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4F040679">
            <w:pPr>
              <w:pStyle w:val="47"/>
              <w:widowControl w:val="0"/>
              <w:spacing w:before="162" w:line="220" w:lineRule="auto"/>
              <w:ind w:left="672"/>
            </w:pPr>
          </w:p>
        </w:tc>
      </w:tr>
      <w:tr w14:paraId="1A8B8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65EAF05">
            <w:pPr>
              <w:pStyle w:val="47"/>
              <w:widowControl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396D10BA">
            <w:pPr>
              <w:pStyle w:val="47"/>
              <w:widowControl w:val="0"/>
              <w:spacing w:before="193"/>
              <w:ind w:left="290"/>
            </w:pPr>
          </w:p>
        </w:tc>
        <w:tc>
          <w:tcPr>
            <w:tcW w:w="2302" w:type="dxa"/>
          </w:tcPr>
          <w:p w14:paraId="320027B7">
            <w:pPr>
              <w:pStyle w:val="47"/>
              <w:widowControl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4B0291D2">
            <w:pPr>
              <w:pStyle w:val="47"/>
              <w:widowControl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79777BE6">
            <w:pPr>
              <w:pStyle w:val="47"/>
              <w:widowControl w:val="0"/>
              <w:spacing w:before="163" w:line="220" w:lineRule="auto"/>
              <w:ind w:left="672"/>
            </w:pPr>
          </w:p>
        </w:tc>
      </w:tr>
      <w:tr w14:paraId="2BA1E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6029328B">
            <w:pPr>
              <w:widowControl w:val="0"/>
            </w:pPr>
          </w:p>
        </w:tc>
        <w:tc>
          <w:tcPr>
            <w:tcW w:w="1413" w:type="dxa"/>
          </w:tcPr>
          <w:p w14:paraId="5B7EAB76">
            <w:pPr>
              <w:widowControl w:val="0"/>
            </w:pPr>
          </w:p>
        </w:tc>
        <w:tc>
          <w:tcPr>
            <w:tcW w:w="2302" w:type="dxa"/>
          </w:tcPr>
          <w:p w14:paraId="65BEB07A">
            <w:pPr>
              <w:widowControl w:val="0"/>
            </w:pPr>
          </w:p>
        </w:tc>
        <w:tc>
          <w:tcPr>
            <w:tcW w:w="1557" w:type="dxa"/>
          </w:tcPr>
          <w:p w14:paraId="7CD5435B">
            <w:pPr>
              <w:widowControl w:val="0"/>
            </w:pPr>
          </w:p>
        </w:tc>
        <w:tc>
          <w:tcPr>
            <w:tcW w:w="1953" w:type="dxa"/>
          </w:tcPr>
          <w:p w14:paraId="524DCB3F">
            <w:pPr>
              <w:widowControl w:val="0"/>
            </w:pPr>
          </w:p>
        </w:tc>
      </w:tr>
      <w:tr w14:paraId="6C5A8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121C3CE7">
            <w:pPr>
              <w:widowControl w:val="0"/>
            </w:pPr>
          </w:p>
        </w:tc>
        <w:tc>
          <w:tcPr>
            <w:tcW w:w="1413" w:type="dxa"/>
          </w:tcPr>
          <w:p w14:paraId="15994397">
            <w:pPr>
              <w:widowControl w:val="0"/>
            </w:pPr>
          </w:p>
        </w:tc>
        <w:tc>
          <w:tcPr>
            <w:tcW w:w="2302" w:type="dxa"/>
          </w:tcPr>
          <w:p w14:paraId="6673D0AD">
            <w:pPr>
              <w:widowControl w:val="0"/>
            </w:pPr>
          </w:p>
        </w:tc>
        <w:tc>
          <w:tcPr>
            <w:tcW w:w="1557" w:type="dxa"/>
          </w:tcPr>
          <w:p w14:paraId="592678E8">
            <w:pPr>
              <w:widowControl w:val="0"/>
            </w:pPr>
          </w:p>
        </w:tc>
        <w:tc>
          <w:tcPr>
            <w:tcW w:w="1953" w:type="dxa"/>
          </w:tcPr>
          <w:p w14:paraId="263EFE8B">
            <w:pPr>
              <w:widowControl w:val="0"/>
            </w:pPr>
          </w:p>
        </w:tc>
      </w:tr>
    </w:tbl>
    <w:p w14:paraId="5081EAA9">
      <w:pPr>
        <w:widowControl w:val="0"/>
        <w:spacing w:line="240" w:lineRule="auto"/>
        <w:rPr>
          <w:rFonts w:ascii="Calibri" w:hAnsi="Calibri" w:cs="Times New Roman"/>
          <w:szCs w:val="22"/>
        </w:rPr>
      </w:pPr>
    </w:p>
    <w:p w14:paraId="654A95B1">
      <w:pPr>
        <w:widowControl w:val="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br w:type="page"/>
      </w:r>
    </w:p>
    <w:p w14:paraId="536F7F56">
      <w:pPr>
        <w:pStyle w:val="21"/>
        <w:widowControl w:val="0"/>
        <w:tabs>
          <w:tab w:val="left" w:pos="420"/>
          <w:tab w:val="right" w:leader="dot" w:pos="9288"/>
        </w:tabs>
        <w:kinsoku/>
        <w:autoSpaceDE/>
        <w:autoSpaceDN/>
        <w:adjustRightInd/>
        <w:snapToGrid/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sz w:val="32"/>
          <w:szCs w:val="32"/>
        </w:rPr>
        <w:t>目  录</w:t>
      </w:r>
      <w:bookmarkStart w:id="3" w:name="_Toc462056941"/>
    </w:p>
    <w:p w14:paraId="03804AAC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kern w:val="2"/>
          <w:szCs w:val="22"/>
          <w:lang w:eastAsia="zh-CN"/>
        </w:rPr>
        <w:t>2025年年人员管理总结报告</w:t>
      </w:r>
      <w:r>
        <w:rPr>
          <w:rFonts w:hint="eastAsia" w:ascii="宋体" w:hAnsi="宋体" w:eastAsia="宋体" w:cs="宋体"/>
          <w:kern w:val="2"/>
          <w:szCs w:val="22"/>
          <w:lang w:eastAsia="zh-CN"/>
        </w:rPr>
        <w:tab/>
      </w:r>
      <w:r>
        <w:rPr>
          <w:rFonts w:hint="eastAsia" w:ascii="宋体" w:hAnsi="宋体" w:eastAsia="宋体" w:cs="宋体"/>
          <w:kern w:val="2"/>
          <w:szCs w:val="22"/>
          <w:lang w:eastAsia="zh-CN"/>
        </w:rPr>
        <w:t>1</w:t>
      </w:r>
    </w:p>
    <w:p w14:paraId="01933937">
      <w:pPr>
        <w:pStyle w:val="21"/>
        <w:tabs>
          <w:tab w:val="right" w:leader="dot" w:pos="8306"/>
        </w:tabs>
      </w:pPr>
      <w:r>
        <w:t>{{公司名称}}</w:t>
      </w:r>
      <w:r>
        <w:tab/>
      </w:r>
      <w:r>
        <w:t>1</w:t>
      </w:r>
    </w:p>
    <w:p w14:paraId="37BF7237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"_Toc27211" </w:instrText>
      </w:r>
      <w: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_Toc27211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BD4791C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"_Toc31489" </w:instrText>
      </w:r>
      <w:r>
        <w:fldChar w:fldCharType="separate"/>
      </w:r>
      <w:r>
        <w:rPr>
          <w:rFonts w:ascii="宋体" w:hAnsi="宋体" w:eastAsia="宋体" w:cs="宋体"/>
          <w:szCs w:val="32"/>
          <w:lang w:eastAsia="zh-CN"/>
        </w:rPr>
        <w:t xml:space="preserve">1. </w:t>
      </w:r>
      <w:r>
        <w:rPr>
          <w:rFonts w:hint="eastAsia" w:ascii="宋体" w:hAnsi="宋体" w:eastAsia="宋体" w:cs="宋体"/>
          <w:szCs w:val="32"/>
        </w:rPr>
        <w:t>公司人事管理管理</w:t>
      </w:r>
      <w:r>
        <w:rPr>
          <w:rFonts w:hint="eastAsia" w:ascii="宋体" w:hAnsi="宋体" w:eastAsia="宋体" w:cs="宋体"/>
          <w:szCs w:val="32"/>
          <w:lang w:eastAsia="zh-CN"/>
        </w:rPr>
        <w:t>概述</w:t>
      </w:r>
      <w:r>
        <w:tab/>
      </w:r>
      <w:r>
        <w:fldChar w:fldCharType="begin"/>
      </w:r>
      <w:r>
        <w:instrText xml:space="preserve"> PAGEREF _Toc31489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304A89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"_Toc26796" </w:instrText>
      </w:r>
      <w:r>
        <w:fldChar w:fldCharType="separate"/>
      </w:r>
      <w:r>
        <w:t xml:space="preserve">1.1. </w:t>
      </w:r>
      <w:r>
        <w:rPr>
          <w:rFonts w:hint="eastAsia"/>
        </w:rPr>
        <w:t>人员招聘总结</w:t>
      </w:r>
      <w:r>
        <w:tab/>
      </w:r>
      <w:r>
        <w:fldChar w:fldCharType="begin"/>
      </w:r>
      <w:r>
        <w:instrText xml:space="preserve"> PAGEREF _Toc26796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7219A1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"_Toc18739" </w:instrText>
      </w:r>
      <w:r>
        <w:fldChar w:fldCharType="separate"/>
      </w:r>
      <w:r>
        <w:t xml:space="preserve">1.2. </w:t>
      </w:r>
      <w:r>
        <w:rPr>
          <w:rFonts w:hint="eastAsia"/>
        </w:rPr>
        <w:t>关键岗位储备总结</w:t>
      </w:r>
      <w:r>
        <w:tab/>
      </w:r>
      <w:r>
        <w:fldChar w:fldCharType="begin"/>
      </w:r>
      <w:r>
        <w:instrText xml:space="preserve"> PAGEREF _Toc18739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59E3D9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"_Toc20535" </w:instrText>
      </w:r>
      <w:r>
        <w:fldChar w:fldCharType="separate"/>
      </w:r>
      <w:r>
        <w:t xml:space="preserve">1.3. </w:t>
      </w:r>
      <w:r>
        <w:rPr>
          <w:rFonts w:hint="eastAsia"/>
        </w:rPr>
        <w:t>运维相关人员业务培训</w:t>
      </w:r>
      <w:r>
        <w:tab/>
      </w:r>
      <w:r>
        <w:fldChar w:fldCharType="begin"/>
      </w:r>
      <w:r>
        <w:instrText xml:space="preserve"> PAGEREF _Toc20535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D03D5B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"_Toc4560" </w:instrText>
      </w:r>
      <w:r>
        <w:fldChar w:fldCharType="separate"/>
      </w:r>
      <w:r>
        <w:t xml:space="preserve">1.4. </w:t>
      </w:r>
      <w:r>
        <w:rPr>
          <w:rFonts w:hint="eastAsia"/>
          <w:lang w:eastAsia="zh-CN"/>
        </w:rPr>
        <w:t>运维人员备份总结</w:t>
      </w:r>
      <w:r>
        <w:tab/>
      </w:r>
      <w:r>
        <w:fldChar w:fldCharType="begin"/>
      </w:r>
      <w:r>
        <w:instrText xml:space="preserve"> PAGEREF _Toc4560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B433A30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"_Toc6089" </w:instrText>
      </w:r>
      <w:r>
        <w:fldChar w:fldCharType="separate"/>
      </w:r>
      <w:r>
        <w:t xml:space="preserve">1.5. </w:t>
      </w:r>
      <w:r>
        <w:rPr>
          <w:rFonts w:hint="eastAsia"/>
        </w:rPr>
        <w:t>运维人员绩效考核</w:t>
      </w:r>
      <w:r>
        <w:tab/>
      </w:r>
      <w:r>
        <w:fldChar w:fldCharType="begin"/>
      </w:r>
      <w:r>
        <w:instrText xml:space="preserve"> PAGEREF _Toc6089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B60A74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"_Toc31105" </w:instrText>
      </w:r>
      <w:r>
        <w:fldChar w:fldCharType="separate"/>
      </w:r>
      <w:r>
        <w:rPr>
          <w:lang w:eastAsia="zh-CN"/>
        </w:rPr>
        <w:t xml:space="preserve">1.6. </w:t>
      </w:r>
      <w:r>
        <w:rPr>
          <w:rFonts w:hint="eastAsia"/>
          <w:lang w:eastAsia="zh-CN"/>
        </w:rPr>
        <w:t>技能评价</w:t>
      </w:r>
      <w:r>
        <w:tab/>
      </w:r>
      <w:r>
        <w:fldChar w:fldCharType="begin"/>
      </w:r>
      <w:r>
        <w:instrText xml:space="preserve"> PAGEREF _Toc31105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AAF94B">
      <w:pPr>
        <w:widowControl w:val="0"/>
        <w:kinsoku/>
        <w:autoSpaceDE/>
        <w:autoSpaceDN/>
        <w:adjustRightInd/>
        <w:snapToGrid/>
        <w:ind w:firstLine="482" w:firstLineChars="200"/>
        <w:rPr>
          <w:rFonts w:ascii="宋体" w:hAnsi="宋体" w:cs="宋体"/>
          <w:b/>
          <w:caps/>
          <w:sz w:val="24"/>
          <w:szCs w:val="24"/>
        </w:rPr>
      </w:pPr>
    </w:p>
    <w:p w14:paraId="4C6A5CEC">
      <w:pPr>
        <w:widowControl w:val="0"/>
        <w:kinsoku/>
        <w:autoSpaceDE/>
        <w:autoSpaceDN/>
        <w:adjustRightInd/>
        <w:snapToGrid/>
        <w:rPr>
          <w:rFonts w:ascii="宋体" w:hAnsi="宋体" w:cs="宋体"/>
          <w:bCs/>
          <w:caps/>
          <w:sz w:val="24"/>
          <w:szCs w:val="24"/>
        </w:rPr>
      </w:pPr>
      <w:r>
        <w:rPr>
          <w:rFonts w:hint="eastAsia" w:ascii="宋体" w:hAnsi="宋体" w:cs="宋体"/>
          <w:b/>
          <w:caps/>
          <w:sz w:val="24"/>
          <w:szCs w:val="24"/>
        </w:rPr>
        <w:br w:type="page"/>
      </w:r>
    </w:p>
    <w:p w14:paraId="4CF18D9C">
      <w:pPr>
        <w:pStyle w:val="2"/>
        <w:keepNext w:val="0"/>
        <w:keepLines w:val="0"/>
        <w:widowControl w:val="0"/>
        <w:kinsoku/>
        <w:autoSpaceDE/>
        <w:autoSpaceDN/>
        <w:adjustRightInd/>
        <w:snapToGrid/>
        <w:spacing w:line="360" w:lineRule="auto"/>
        <w:rPr>
          <w:rFonts w:ascii="宋体" w:hAnsi="宋体" w:cs="宋体"/>
          <w:sz w:val="32"/>
          <w:szCs w:val="32"/>
          <w:lang w:eastAsia="zh-CN"/>
        </w:rPr>
      </w:pPr>
      <w:bookmarkStart w:id="4" w:name="_Toc31489"/>
      <w:r>
        <w:rPr>
          <w:rFonts w:hint="eastAsia" w:ascii="宋体" w:hAnsi="宋体" w:cs="宋体"/>
          <w:sz w:val="32"/>
          <w:szCs w:val="32"/>
        </w:rPr>
        <w:t>公司人事管理</w:t>
      </w:r>
      <w:bookmarkEnd w:id="3"/>
      <w:r>
        <w:rPr>
          <w:rFonts w:hint="eastAsia" w:ascii="宋体" w:hAnsi="宋体" w:cs="宋体"/>
          <w:sz w:val="32"/>
          <w:szCs w:val="32"/>
          <w:lang w:eastAsia="zh-CN"/>
        </w:rPr>
        <w:t>概述</w:t>
      </w:r>
      <w:bookmarkEnd w:id="4"/>
    </w:p>
    <w:p w14:paraId="04AA966E">
      <w:pPr>
        <w:pStyle w:val="51"/>
        <w:bidi w:val="0"/>
      </w:pPr>
      <w:r>
        <w:rPr>
          <w:rFonts w:hint="eastAsia"/>
        </w:rPr>
        <w:t>因为完善的用工制度是企业用人的前提条件，所以今年</w:t>
      </w:r>
      <w:r>
        <w:rPr>
          <w:rFonts w:hint="eastAsia"/>
          <w:lang w:eastAsia="zh-CN"/>
        </w:rPr>
        <w:t>依照</w:t>
      </w:r>
      <w:r>
        <w:rPr>
          <w:rFonts w:hint="eastAsia"/>
        </w:rPr>
        <w:t>公司已经发布了人事管理的相关制度，规范了人事管理的过程，从而可有保障人事管理有章可循。</w:t>
      </w:r>
      <w:r>
        <w:rPr>
          <w:rFonts w:hint="eastAsia"/>
          <w:lang w:eastAsia="zh-CN"/>
        </w:rPr>
        <w:t>{{人力部}}</w:t>
      </w:r>
      <w:r>
        <w:rPr>
          <w:rFonts w:hint="eastAsia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14:paraId="67BEE0F4">
      <w:pPr>
        <w:pStyle w:val="51"/>
        <w:bidi w:val="0"/>
      </w:pPr>
      <w:r>
        <w:rPr>
          <w:rFonts w:hint="eastAsia"/>
          <w:lang w:eastAsia="zh-CN"/>
        </w:rPr>
        <w:t>{{人力部}}</w:t>
      </w:r>
      <w:r>
        <w:rPr>
          <w:rFonts w:hint="eastAsia"/>
        </w:rPr>
        <w:t>所有的人员都需要遵循相关的流程制度，此项已经列入绩效考核中。</w:t>
      </w:r>
      <w:r>
        <w:rPr>
          <w:rFonts w:hint="eastAsia"/>
          <w:lang w:eastAsia="zh-CN"/>
        </w:rPr>
        <w:t>{{运维部}}</w:t>
      </w:r>
      <w:r>
        <w:rPr>
          <w:rFonts w:hint="eastAsia"/>
        </w:rPr>
        <w:t>部门经理通过部门例会的形式，对人员执行流程方面进行汇报检查，并在以此作为月度绩效考核的依据。并在此过程中，发现改进机会，持续对人事管理制度进行改进。截止</w:t>
      </w:r>
      <w:r>
        <w:rPr>
          <w:rFonts w:hint="eastAsia"/>
          <w:lang w:eastAsia="zh-CN"/>
        </w:rPr>
        <w:t>2025年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{{报告月份}}</w:t>
      </w:r>
      <w:r>
        <w:rPr>
          <w:rFonts w:hint="eastAsia"/>
        </w:rPr>
        <w:t>，对人员管理的指标均已达标，详见《</w:t>
      </w:r>
      <w:r>
        <w:rPr>
          <w:rFonts w:hint="eastAsia"/>
          <w:lang w:eastAsia="zh-CN"/>
        </w:rPr>
        <w:t>2025年</w:t>
      </w:r>
      <w:r>
        <w:rPr>
          <w:rFonts w:hint="eastAsia"/>
        </w:rPr>
        <w:t>年运维服务能力管理指标体系达成情况》。</w:t>
      </w:r>
      <w:bookmarkStart w:id="5" w:name="_Toc462056942"/>
    </w:p>
    <w:p w14:paraId="686B8BED">
      <w:pPr>
        <w:pStyle w:val="52"/>
        <w:keepNext w:val="0"/>
        <w:keepLines w:val="0"/>
        <w:widowControl w:val="0"/>
      </w:pPr>
      <w:bookmarkStart w:id="6" w:name="_Toc26796"/>
      <w:r>
        <w:rPr>
          <w:rFonts w:hint="eastAsia"/>
        </w:rPr>
        <w:t>人员招聘总结</w:t>
      </w:r>
      <w:bookmarkEnd w:id="5"/>
      <w:bookmarkEnd w:id="6"/>
    </w:p>
    <w:p w14:paraId="3B733884">
      <w:pPr>
        <w:pStyle w:val="51"/>
        <w:widowControl w:val="0"/>
        <w:ind w:firstLine="480"/>
      </w:pPr>
      <w:r>
        <w:rPr>
          <w:rFonts w:hint="eastAsia"/>
        </w:rPr>
        <w:t>截止</w:t>
      </w: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{{报告月份}}</w:t>
      </w:r>
      <w:r>
        <w:rPr>
          <w:rFonts w:hint="eastAsia"/>
        </w:rPr>
        <w:t>，公司新增运维相关人员</w:t>
      </w:r>
      <w:r>
        <w:rPr>
          <w:rFonts w:hint="eastAsia"/>
          <w:lang w:val="en-US" w:eastAsia="zh-CN"/>
        </w:rPr>
        <w:t>{{招聘人数}}名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</w:t>
      </w:r>
      <w:r>
        <w:rPr>
          <w:rFonts w:hint="eastAsia"/>
        </w:rPr>
        <w:t>{{招聘详情}}。具体招聘完成情况如下：</w:t>
      </w:r>
      <w:bookmarkStart w:id="18" w:name="_GoBack"/>
      <w:bookmarkEnd w:id="1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122"/>
      </w:tblGrid>
      <w:tr w14:paraId="334D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435" w:type="dxa"/>
            <w:gridSpan w:val="5"/>
          </w:tcPr>
          <w:p w14:paraId="0FDF9753">
            <w:pPr>
              <w:pStyle w:val="14"/>
              <w:widowControl w:val="0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bookmarkStart w:id="7" w:name="_Toc460590612"/>
            <w:bookmarkStart w:id="8" w:name="_Toc462056943"/>
            <w:r>
              <w:rPr>
                <w:rFonts w:hint="eastAsia" w:ascii="宋体" w:hAnsi="宋体" w:cs="宋体"/>
                <w:spacing w:val="-2"/>
                <w:lang w:eastAsia="zh-CN"/>
              </w:rPr>
              <w:t>人员招聘情况</w:t>
            </w:r>
          </w:p>
        </w:tc>
      </w:tr>
      <w:tr w14:paraId="1303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67D3BDF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岗位名称</w:t>
            </w:r>
          </w:p>
        </w:tc>
        <w:tc>
          <w:tcPr>
            <w:tcW w:w="1092" w:type="dxa"/>
          </w:tcPr>
          <w:p w14:paraId="32FF51A4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招聘人数</w:t>
            </w:r>
          </w:p>
        </w:tc>
        <w:tc>
          <w:tcPr>
            <w:tcW w:w="1524" w:type="dxa"/>
          </w:tcPr>
          <w:p w14:paraId="0245295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责任部门</w:t>
            </w:r>
          </w:p>
        </w:tc>
        <w:tc>
          <w:tcPr>
            <w:tcW w:w="1944" w:type="dxa"/>
          </w:tcPr>
          <w:p w14:paraId="208F3777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预计到岗日期</w:t>
            </w:r>
          </w:p>
        </w:tc>
        <w:tc>
          <w:tcPr>
            <w:tcW w:w="1122" w:type="dxa"/>
          </w:tcPr>
          <w:p w14:paraId="0636206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完成情况</w:t>
            </w:r>
          </w:p>
        </w:tc>
      </w:tr>
      <w:tr w14:paraId="6481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1E8140F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93EC54B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6B9BECB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4FF79923">
            <w:pPr>
              <w:pStyle w:val="14"/>
              <w:widowControl w:val="0"/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2月</w:t>
            </w:r>
          </w:p>
        </w:tc>
        <w:tc>
          <w:tcPr>
            <w:tcW w:w="1122" w:type="dxa"/>
            <w:shd w:val="clear" w:color="auto" w:fill="auto"/>
          </w:tcPr>
          <w:p w14:paraId="72F2F326">
            <w:pPr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3E1D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2875F2D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数据库工程师</w:t>
            </w:r>
          </w:p>
        </w:tc>
        <w:tc>
          <w:tcPr>
            <w:tcW w:w="1092" w:type="dxa"/>
          </w:tcPr>
          <w:p w14:paraId="4F894E4C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</w:tcPr>
          <w:p w14:paraId="56AF125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</w:tcPr>
          <w:p w14:paraId="22A6577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3月</w:t>
            </w:r>
          </w:p>
        </w:tc>
        <w:tc>
          <w:tcPr>
            <w:tcW w:w="1122" w:type="dxa"/>
          </w:tcPr>
          <w:p w14:paraId="11A19A3D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14D4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17C94A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</w:tcPr>
          <w:p w14:paraId="6687523C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4633092F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</w:tcPr>
          <w:p w14:paraId="10E4A75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4月</w:t>
            </w:r>
          </w:p>
        </w:tc>
        <w:tc>
          <w:tcPr>
            <w:tcW w:w="1122" w:type="dxa"/>
          </w:tcPr>
          <w:p w14:paraId="1D96BE3F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6D43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601F91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26844EA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0590228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58F3B8A6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5月</w:t>
            </w:r>
          </w:p>
        </w:tc>
        <w:tc>
          <w:tcPr>
            <w:tcW w:w="1122" w:type="dxa"/>
            <w:shd w:val="clear" w:color="auto" w:fill="auto"/>
          </w:tcPr>
          <w:p w14:paraId="4D9E534A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1F93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346824F2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4EDEA5B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388D09BE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5E0CB85D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6月</w:t>
            </w:r>
          </w:p>
        </w:tc>
        <w:tc>
          <w:tcPr>
            <w:tcW w:w="1122" w:type="dxa"/>
            <w:shd w:val="clear" w:color="auto" w:fill="auto"/>
          </w:tcPr>
          <w:p w14:paraId="3D9C9A3E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7507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46CB9A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5A290EE0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EE20747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4DEDAA9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7月</w:t>
            </w:r>
          </w:p>
        </w:tc>
        <w:tc>
          <w:tcPr>
            <w:tcW w:w="1122" w:type="dxa"/>
            <w:shd w:val="clear" w:color="auto" w:fill="auto"/>
          </w:tcPr>
          <w:p w14:paraId="736AEDD6">
            <w:pPr>
              <w:widowControl w:val="0"/>
              <w:jc w:val="both"/>
              <w:rPr>
                <w:rFonts w:ascii="宋体" w:hAnsi="宋体" w:eastAsia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3C9D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D40F45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14:paraId="06FF3FC1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93F58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6EF2805A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10月</w:t>
            </w:r>
          </w:p>
        </w:tc>
        <w:tc>
          <w:tcPr>
            <w:tcW w:w="1122" w:type="dxa"/>
            <w:shd w:val="clear" w:color="auto" w:fill="auto"/>
          </w:tcPr>
          <w:p w14:paraId="54742A61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62C9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40B8348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14:paraId="29D3529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50C25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{{人力部}}</w:t>
            </w:r>
          </w:p>
        </w:tc>
        <w:tc>
          <w:tcPr>
            <w:tcW w:w="1944" w:type="dxa"/>
            <w:vMerge w:val="continue"/>
          </w:tcPr>
          <w:p w14:paraId="734447DF">
            <w:pPr>
              <w:pStyle w:val="14"/>
              <w:widowControl w:val="0"/>
              <w:jc w:val="both"/>
              <w:rPr>
                <w:rFonts w:ascii="宋体" w:hAnsi="宋体" w:eastAsia="宋体" w:cs="宋体"/>
                <w:spacing w:val="-2"/>
                <w:lang w:eastAsia="zh-CN"/>
              </w:rPr>
            </w:pPr>
          </w:p>
        </w:tc>
        <w:tc>
          <w:tcPr>
            <w:tcW w:w="1122" w:type="dxa"/>
            <w:shd w:val="clear" w:color="auto" w:fill="auto"/>
          </w:tcPr>
          <w:p w14:paraId="0A0269DE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</w:tbl>
    <w:p w14:paraId="7EFFF49A">
      <w:pPr>
        <w:pStyle w:val="51"/>
        <w:widowControl w:val="0"/>
        <w:ind w:firstLine="480"/>
      </w:pPr>
      <w:r>
        <w:rPr>
          <w:rFonts w:hint="eastAsia"/>
        </w:rPr>
        <w:t>截止</w:t>
      </w: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{{报告月份}}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人员招聘到岗率为100%</w:t>
      </w:r>
      <w:r>
        <w:rPr>
          <w:rFonts w:hint="eastAsia"/>
        </w:rPr>
        <w:t>，达到考核指标要求</w:t>
      </w:r>
    </w:p>
    <w:p w14:paraId="2CAAB5A7">
      <w:pPr>
        <w:pStyle w:val="52"/>
        <w:keepNext w:val="0"/>
        <w:keepLines w:val="0"/>
        <w:widowControl w:val="0"/>
      </w:pPr>
      <w:bookmarkStart w:id="9" w:name="_Toc18739"/>
      <w:r>
        <w:rPr>
          <w:rFonts w:hint="eastAsia"/>
        </w:rPr>
        <w:t>关键岗位储备总结</w:t>
      </w:r>
      <w:bookmarkEnd w:id="7"/>
      <w:bookmarkEnd w:id="8"/>
      <w:bookmarkEnd w:id="9"/>
    </w:p>
    <w:p w14:paraId="450DAA5F">
      <w:pPr>
        <w:widowControl w:val="0"/>
        <w:kinsoku/>
        <w:autoSpaceDE/>
        <w:autoSpaceDN/>
        <w:adjustRightInd/>
        <w:snapToGrid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公司针对运维业务中各岗位的重要程度，对关键岗位进行了识别，由公司</w:t>
      </w:r>
      <w:r>
        <w:rPr>
          <w:rFonts w:hint="eastAsia" w:ascii="宋体" w:hAnsi="宋体" w:cs="宋体"/>
          <w:sz w:val="24"/>
          <w:lang w:eastAsia="zh-CN"/>
        </w:rPr>
        <w:t>{{人力部}}</w:t>
      </w:r>
      <w:r>
        <w:rPr>
          <w:rFonts w:hint="eastAsia" w:ascii="宋体" w:hAnsi="宋体" w:cs="宋体"/>
          <w:sz w:val="24"/>
        </w:rPr>
        <w:t>编制关键岗位人员储备计划，截止</w:t>
      </w:r>
      <w:r>
        <w:rPr>
          <w:rFonts w:hint="eastAsia" w:ascii="宋体" w:hAnsi="宋体" w:cs="宋体"/>
          <w:sz w:val="24"/>
          <w:lang w:eastAsia="zh-CN"/>
        </w:rPr>
        <w:t>2025年</w:t>
      </w:r>
      <w:r>
        <w:rPr>
          <w:rFonts w:hint="eastAsia" w:ascii="宋体" w:hAnsi="宋体" w:cs="宋体"/>
          <w:sz w:val="24"/>
          <w:lang w:val="en-US" w:eastAsia="zh-CN"/>
        </w:rPr>
        <w:t>{{报告月份}}</w:t>
      </w:r>
      <w:r>
        <w:rPr>
          <w:rFonts w:hint="eastAsia" w:ascii="宋体" w:hAnsi="宋体" w:cs="宋体"/>
          <w:sz w:val="24"/>
        </w:rPr>
        <w:t>，{{储备详情}}。具体储备完成情况如下：</w:t>
      </w:r>
    </w:p>
    <w:p w14:paraId="0B169C87">
      <w:pPr>
        <w:widowControl w:val="0"/>
        <w:kinsoku/>
        <w:autoSpaceDE/>
        <w:autoSpaceDN/>
        <w:adjustRightInd/>
        <w:snapToGrid/>
        <w:ind w:firstLine="480" w:firstLineChars="200"/>
        <w:rPr>
          <w:rFonts w:hint="eastAsia" w:ascii="宋体" w:hAnsi="宋体" w:cs="宋体"/>
          <w:sz w:val="24"/>
          <w:lang w:eastAsia="zh-CN"/>
        </w:rPr>
      </w:pP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166"/>
        <w:gridCol w:w="1290"/>
        <w:gridCol w:w="2006"/>
        <w:gridCol w:w="1116"/>
        <w:gridCol w:w="1116"/>
      </w:tblGrid>
      <w:tr w14:paraId="436A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6"/>
            <w:vAlign w:val="center"/>
          </w:tcPr>
          <w:p w14:paraId="04EB2ECD">
            <w:pPr>
              <w:pStyle w:val="14"/>
              <w:widowControl w:val="0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lang w:eastAsia="zh-CN"/>
              </w:rPr>
              <w:t>人员储备情况</w:t>
            </w:r>
          </w:p>
        </w:tc>
      </w:tr>
      <w:tr w14:paraId="0234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3FDA22B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14:paraId="784D3EE5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14:paraId="43CF255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14:paraId="4F0AA87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14:paraId="54A7B97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14:paraId="39BB8F6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完成情况</w:t>
            </w:r>
          </w:p>
        </w:tc>
      </w:tr>
      <w:tr w14:paraId="5ECD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BD130F9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04D94169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6C35AD2E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{{人力部}}</w:t>
            </w:r>
          </w:p>
        </w:tc>
        <w:tc>
          <w:tcPr>
            <w:tcW w:w="2006" w:type="dxa"/>
            <w:vAlign w:val="center"/>
          </w:tcPr>
          <w:p w14:paraId="0196FC4C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3月</w:t>
            </w:r>
          </w:p>
        </w:tc>
        <w:tc>
          <w:tcPr>
            <w:tcW w:w="1116" w:type="dxa"/>
            <w:vAlign w:val="center"/>
          </w:tcPr>
          <w:p w14:paraId="70B3CC39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4788EB02">
            <w:pPr>
              <w:pStyle w:val="14"/>
              <w:widowControl w:val="0"/>
              <w:jc w:val="both"/>
              <w:rPr>
                <w:rFonts w:hint="default" w:ascii="宋体" w:hAnsi="宋体" w:eastAsia="宋体" w:cs="宋体"/>
                <w:spacing w:val="-2"/>
                <w:kern w:val="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lang w:val="en-US" w:eastAsia="zh-CN"/>
              </w:rPr>
              <w:t>{{储备完成状态}}</w:t>
            </w:r>
          </w:p>
        </w:tc>
      </w:tr>
      <w:tr w14:paraId="1FCA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9650D1C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0EAF86F1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174F3C35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{{人力部}}</w:t>
            </w:r>
          </w:p>
        </w:tc>
        <w:tc>
          <w:tcPr>
            <w:tcW w:w="2006" w:type="dxa"/>
            <w:vAlign w:val="center"/>
          </w:tcPr>
          <w:p w14:paraId="5CE40AD7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5月</w:t>
            </w:r>
          </w:p>
        </w:tc>
        <w:tc>
          <w:tcPr>
            <w:tcW w:w="1116" w:type="dxa"/>
            <w:vAlign w:val="center"/>
          </w:tcPr>
          <w:p w14:paraId="13580498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55C11A56">
            <w:pPr>
              <w:widowControl w:val="0"/>
              <w:jc w:val="both"/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lang w:val="en-US" w:eastAsia="zh-CN"/>
              </w:rPr>
              <w:t>{{储备完成状态}}</w:t>
            </w:r>
          </w:p>
        </w:tc>
      </w:tr>
      <w:tr w14:paraId="5370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9DDB9FE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{{运维部}}经理</w:t>
            </w:r>
          </w:p>
        </w:tc>
        <w:tc>
          <w:tcPr>
            <w:tcW w:w="1166" w:type="dxa"/>
            <w:vAlign w:val="center"/>
          </w:tcPr>
          <w:p w14:paraId="2E17FB28">
            <w:pPr>
              <w:pStyle w:val="14"/>
              <w:widowControl w:val="0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6D25B587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{{人力部}}</w:t>
            </w:r>
          </w:p>
        </w:tc>
        <w:tc>
          <w:tcPr>
            <w:tcW w:w="2006" w:type="dxa"/>
            <w:vAlign w:val="center"/>
          </w:tcPr>
          <w:p w14:paraId="2D67CC45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7月</w:t>
            </w:r>
          </w:p>
        </w:tc>
        <w:tc>
          <w:tcPr>
            <w:tcW w:w="1116" w:type="dxa"/>
            <w:vAlign w:val="center"/>
          </w:tcPr>
          <w:p w14:paraId="2E40EDFD">
            <w:pPr>
              <w:pStyle w:val="14"/>
              <w:widowControl w:val="0"/>
              <w:jc w:val="both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 w:eastAsia="宋体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2B5201BF">
            <w:pPr>
              <w:widowControl w:val="0"/>
              <w:jc w:val="both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lang w:val="en-US" w:eastAsia="zh-CN"/>
              </w:rPr>
              <w:t>{{储备完成状态}}</w:t>
            </w:r>
          </w:p>
        </w:tc>
      </w:tr>
    </w:tbl>
    <w:p w14:paraId="4CC65286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公司关键岗位人员储备方式均为内部培养储备，根据《运维服务人员储备制度》要求，运维服务相关关键岗位储备比1:1。截止目前为止，关键岗位已经按计划完成了</w:t>
      </w:r>
      <w:r>
        <w:rPr>
          <w:rFonts w:hint="eastAsia" w:ascii="宋体" w:hAnsi="宋体" w:cs="宋体"/>
          <w:sz w:val="24"/>
          <w:lang w:val="en-US" w:eastAsia="zh-CN"/>
        </w:rPr>
        <w:t>{{储备岗位}}的</w:t>
      </w:r>
      <w:r>
        <w:rPr>
          <w:rFonts w:hint="eastAsia" w:ascii="宋体" w:hAnsi="宋体" w:cs="宋体"/>
          <w:sz w:val="24"/>
        </w:rPr>
        <w:t>储备工作。运维服务相关关键岗位储备率为100%，</w:t>
      </w:r>
      <w:r>
        <w:rPr>
          <w:rFonts w:hint="eastAsia" w:ascii="宋体" w:hAnsi="宋体" w:cs="宋体"/>
          <w:sz w:val="24"/>
          <w:lang w:eastAsia="zh-CN"/>
        </w:rPr>
        <w:t>达到考核指标要求</w:t>
      </w:r>
    </w:p>
    <w:p w14:paraId="1DC59B76">
      <w:pPr>
        <w:pStyle w:val="52"/>
        <w:keepNext w:val="0"/>
        <w:keepLines w:val="0"/>
        <w:widowControl w:val="0"/>
      </w:pPr>
      <w:bookmarkStart w:id="10" w:name="_Toc20535"/>
      <w:bookmarkStart w:id="11" w:name="_Toc462056944"/>
      <w:bookmarkStart w:id="12" w:name="_Toc460590613"/>
      <w:r>
        <w:rPr>
          <w:rFonts w:hint="eastAsia"/>
        </w:rPr>
        <w:t>运维相关人员业务培训</w:t>
      </w:r>
      <w:bookmarkEnd w:id="10"/>
      <w:bookmarkEnd w:id="11"/>
      <w:bookmarkEnd w:id="12"/>
    </w:p>
    <w:p w14:paraId="45DEEBAD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lang w:eastAsia="zh-CN"/>
        </w:rPr>
      </w:pPr>
      <w:r>
        <w:rPr>
          <w:rFonts w:hint="eastAsia" w:ascii="宋体" w:hAnsi="宋体" w:cs="宋体"/>
          <w:sz w:val="24"/>
        </w:rPr>
        <w:t>建立和完善运维人员培训体系，形成企业文化、员工心态、管理软技能、业务岗位技术课程相集合的培训课程体系。截至</w:t>
      </w:r>
      <w:r>
        <w:rPr>
          <w:rFonts w:hint="eastAsia" w:ascii="宋体" w:hAnsi="宋体" w:cs="宋体"/>
          <w:sz w:val="24"/>
          <w:lang w:eastAsia="zh-CN"/>
        </w:rPr>
        <w:t>2025年</w:t>
      </w:r>
      <w:r>
        <w:rPr>
          <w:rFonts w:hint="eastAsia" w:ascii="宋体" w:hAnsi="宋体" w:cs="宋体"/>
          <w:sz w:val="24"/>
          <w:lang w:val="en-US" w:eastAsia="zh-CN"/>
        </w:rPr>
        <w:t>{{报告月份}}</w:t>
      </w:r>
      <w:r>
        <w:rPr>
          <w:rFonts w:hint="eastAsia" w:ascii="宋体" w:hAnsi="宋体" w:cs="宋体"/>
          <w:sz w:val="24"/>
        </w:rPr>
        <w:t>，共开展各种培训共计</w:t>
      </w:r>
      <w:r>
        <w:rPr>
          <w:rFonts w:hint="eastAsia" w:ascii="宋体" w:hAnsi="宋体" w:cs="宋体"/>
          <w:sz w:val="24"/>
          <w:lang w:val="en-US" w:eastAsia="zh-CN"/>
        </w:rPr>
        <w:t>{{</w:t>
      </w:r>
      <w:r>
        <w:rPr>
          <w:rFonts w:hint="eastAsia"/>
          <w:lang w:val="en-US" w:eastAsia="zh-CN"/>
        </w:rPr>
        <w:t>培训场次</w:t>
      </w:r>
      <w:r>
        <w:rPr>
          <w:rFonts w:hint="eastAsia" w:ascii="宋体" w:hAnsi="宋体" w:cs="宋体"/>
          <w:sz w:val="24"/>
          <w:lang w:val="en-US" w:eastAsia="zh-CN"/>
        </w:rPr>
        <w:t>}}</w:t>
      </w:r>
      <w:r>
        <w:rPr>
          <w:rFonts w:hint="eastAsia" w:ascii="宋体" w:hAnsi="宋体" w:cs="宋体"/>
          <w:sz w:val="24"/>
        </w:rPr>
        <w:t>次，按期完成的计划培训的内容。</w:t>
      </w:r>
      <w:r>
        <w:rPr>
          <w:rFonts w:hint="eastAsia" w:ascii="宋体" w:hAnsi="宋体" w:cs="宋体"/>
          <w:sz w:val="24"/>
          <w:lang w:eastAsia="zh-CN"/>
        </w:rPr>
        <w:t>培训课程全部完成。</w:t>
      </w:r>
    </w:p>
    <w:tbl>
      <w:tblPr>
        <w:tblStyle w:val="30"/>
        <w:tblW w:w="7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79"/>
        <w:gridCol w:w="1491"/>
        <w:gridCol w:w="993"/>
        <w:gridCol w:w="792"/>
        <w:gridCol w:w="1405"/>
      </w:tblGrid>
      <w:tr w14:paraId="430F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3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20D5">
            <w:pPr>
              <w:widowControl w:val="0"/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eastAsia="zh-CN"/>
              </w:rPr>
            </w:pPr>
            <w:bookmarkStart w:id="13" w:name="_Toc460590614"/>
            <w:bookmarkStart w:id="14" w:name="_Toc462056945"/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人员培训完成情况</w:t>
            </w:r>
          </w:p>
        </w:tc>
      </w:tr>
      <w:tr w14:paraId="4669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A621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编号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2A84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培训内容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0204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培训对象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09E3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培训人员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7935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时间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D8B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完成情况</w:t>
            </w:r>
          </w:p>
        </w:tc>
      </w:tr>
      <w:tr w14:paraId="5186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37ED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D6E4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9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669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567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0AD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FD9F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C27B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A235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9A1C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CF8BC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B0C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E57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2E35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886D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A23E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888B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7B06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7C3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826C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5F2B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1297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809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A574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905F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5A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18B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7AC8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7989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984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E7826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C9D2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{{运维部}}、{{研发部}}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95B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D7F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8ED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EBB2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E6D27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D8CAF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6A1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E2A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7506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A0D0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5DC0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6F6FC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30781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A5C8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20C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CD3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EEB7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2503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FFDA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558E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A903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11B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41CD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4CEC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668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163B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7B8B4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9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877A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B53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0164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439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FF2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4048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B50F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9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45A9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05F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8635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DC2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915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28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C73A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2FC7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D9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BD49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70A4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51A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B5AD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9211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9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0C8E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87B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EC28F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143A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7501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72F0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828E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9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F248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5A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BDBA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A64D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F008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7AC5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8C80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vue</w:t>
            </w:r>
            <w:r>
              <w:rPr>
                <w:rStyle w:val="49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2EBA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FA3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A52A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5月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85DE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D0CA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FA68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F7A6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939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7B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7A59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21E6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E6CC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A506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C9A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1F6F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208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B2FC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E3F1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58C1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C2AD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BED1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41E1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{{运维部}}、{{研发部}}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54E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2E07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0A31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AE3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C143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A31A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</w:t>
            </w:r>
            <w:r>
              <w:rPr>
                <w:rStyle w:val="49"/>
                <w:rFonts w:hint="default"/>
                <w:lang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A9C7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751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4A71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DFD9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1290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C920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54B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5FA71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326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DB7A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3C4C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121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C4F4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B531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D1A57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23B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8407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6CF9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54B0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43FB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3F74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29B5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0EE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CD8F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56559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F4F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A74C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6B35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5C42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636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5C6F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2AC4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EB2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4D4D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EADA7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351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CC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844A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D62A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F4A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8EA5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F510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ADD3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DA2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AD09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B8A4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2D90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88A3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DB27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9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D315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8F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364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EBF7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0C038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39FC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4013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7DB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8E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D736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81FF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A01B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F720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A824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9CF8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02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01114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6AAA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84E9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742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1D5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9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1C80E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9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3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DC490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E2F2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074CD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79BF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E0B0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A432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{{运维部}}、{{研发部}}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D5D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C86A3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3CAE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6FA0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E0A6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456F9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122C0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706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C3902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E1CB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2411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E4D95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9EE62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444EA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652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033B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00ED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A931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08EC4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2F0C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9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2F15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B5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D63F8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25C1C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013F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2EA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EBD28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vue</w:t>
            </w:r>
            <w:r>
              <w:rPr>
                <w:rStyle w:val="49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6D9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F1E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A0586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7BA2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5B4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B42E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E0BD4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5109B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DB8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C23B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58051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E4CF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FDF3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539AF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6F373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BD0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F0797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A86AE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DF30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6A9AC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D4A6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12BD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{{研发部}}全员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059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B09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3937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</w:tbl>
    <w:p w14:paraId="2DE33C4D">
      <w:pPr>
        <w:pStyle w:val="52"/>
        <w:keepNext w:val="0"/>
        <w:keepLines w:val="0"/>
        <w:widowControl w:val="0"/>
      </w:pPr>
      <w:bookmarkStart w:id="15" w:name="_Toc4560"/>
      <w:r>
        <w:rPr>
          <w:rFonts w:hint="eastAsia"/>
          <w:lang w:eastAsia="zh-CN"/>
        </w:rPr>
        <w:t>运维人员备份总结</w:t>
      </w:r>
      <w:bookmarkEnd w:id="15"/>
    </w:p>
    <w:p w14:paraId="32580AB6">
      <w:pPr>
        <w:pStyle w:val="51"/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2025年</w:t>
      </w:r>
      <w:r>
        <w:t>年度AB岗备份计划已按要求全面完成。相关岗位的备份人员均已落实，并通过系统化的知识传递与流程培训，掌握了对应A岗的核心职责与应急操作流程。该计划的执行为保障关键岗位工作连续性、支撑年度业务发展目标奠定了扎实基础。截止</w:t>
      </w: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{{报告月份}}</w:t>
      </w:r>
      <w:r>
        <w:t>，</w:t>
      </w:r>
      <w:r>
        <w:rPr>
          <w:rFonts w:hint="eastAsia"/>
          <w:lang w:val="en-US" w:eastAsia="zh-CN"/>
        </w:rPr>
        <w:t>已完成{{备份详情}}</w:t>
      </w:r>
      <w:r>
        <w:t>。</w:t>
      </w:r>
      <w:r>
        <w:rPr>
          <w:rFonts w:hint="eastAsia"/>
          <w:lang w:val="en-US" w:eastAsia="zh-CN"/>
        </w:rPr>
        <w:t>截止</w:t>
      </w: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{{报告月份}}</w:t>
      </w:r>
      <w:r>
        <w:t>的</w:t>
      </w:r>
      <w:r>
        <w:rPr>
          <w:rFonts w:hint="eastAsia"/>
          <w:lang w:val="en-US" w:eastAsia="zh-CN"/>
        </w:rPr>
        <w:t>备份完成率为100%。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637"/>
        <w:gridCol w:w="1560"/>
        <w:gridCol w:w="1575"/>
        <w:gridCol w:w="1500"/>
        <w:gridCol w:w="1500"/>
      </w:tblGrid>
      <w:tr w14:paraId="12D2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E01ECF0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编号</w:t>
            </w:r>
          </w:p>
        </w:tc>
        <w:tc>
          <w:tcPr>
            <w:tcW w:w="1637" w:type="dxa"/>
          </w:tcPr>
          <w:p w14:paraId="3C0DCFAA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A岗位</w:t>
            </w:r>
          </w:p>
        </w:tc>
        <w:tc>
          <w:tcPr>
            <w:tcW w:w="1560" w:type="dxa"/>
          </w:tcPr>
          <w:p w14:paraId="197A6128">
            <w:pPr>
              <w:pStyle w:val="51"/>
              <w:widowControl w:val="0"/>
              <w:ind w:firstLine="42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B岗</w:t>
            </w:r>
          </w:p>
        </w:tc>
        <w:tc>
          <w:tcPr>
            <w:tcW w:w="1575" w:type="dxa"/>
          </w:tcPr>
          <w:p w14:paraId="6D6ED0C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计划备份人数</w:t>
            </w:r>
          </w:p>
        </w:tc>
        <w:tc>
          <w:tcPr>
            <w:tcW w:w="1500" w:type="dxa"/>
          </w:tcPr>
          <w:p w14:paraId="69E4B52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计划完成时间</w:t>
            </w:r>
          </w:p>
        </w:tc>
        <w:tc>
          <w:tcPr>
            <w:tcW w:w="1500" w:type="dxa"/>
          </w:tcPr>
          <w:p w14:paraId="7013492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完成情况</w:t>
            </w:r>
          </w:p>
        </w:tc>
      </w:tr>
      <w:tr w14:paraId="665C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752A4CE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637" w:type="dxa"/>
          </w:tcPr>
          <w:p w14:paraId="081A681A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{{运维部}}</w:t>
            </w:r>
            <w:r>
              <w:rPr>
                <w:rFonts w:hint="eastAsia"/>
                <w:sz w:val="21"/>
              </w:rPr>
              <w:t>经理</w:t>
            </w:r>
          </w:p>
        </w:tc>
        <w:tc>
          <w:tcPr>
            <w:tcW w:w="1560" w:type="dxa"/>
          </w:tcPr>
          <w:p w14:paraId="3D6D5747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575" w:type="dxa"/>
          </w:tcPr>
          <w:p w14:paraId="24CFA445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14:paraId="0AF727E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3月</w:t>
            </w:r>
          </w:p>
        </w:tc>
        <w:tc>
          <w:tcPr>
            <w:tcW w:w="1500" w:type="dxa"/>
          </w:tcPr>
          <w:p w14:paraId="4AFCA888">
            <w:pPr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381D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89E2FD2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637" w:type="dxa"/>
          </w:tcPr>
          <w:p w14:paraId="5EE3596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560" w:type="dxa"/>
          </w:tcPr>
          <w:p w14:paraId="294AAFB2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14:paraId="7656D708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63E396B9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4月</w:t>
            </w:r>
          </w:p>
        </w:tc>
        <w:tc>
          <w:tcPr>
            <w:tcW w:w="1500" w:type="dxa"/>
          </w:tcPr>
          <w:p w14:paraId="471A7D6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2109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D366A54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637" w:type="dxa"/>
          </w:tcPr>
          <w:p w14:paraId="7D4E5453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560" w:type="dxa"/>
          </w:tcPr>
          <w:p w14:paraId="557D2F85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14:paraId="2AA91D3A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14:paraId="05FBB14D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5月</w:t>
            </w:r>
          </w:p>
        </w:tc>
        <w:tc>
          <w:tcPr>
            <w:tcW w:w="1500" w:type="dxa"/>
          </w:tcPr>
          <w:p w14:paraId="187A24D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3376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BF9ADA0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637" w:type="dxa"/>
          </w:tcPr>
          <w:p w14:paraId="59B8160D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{{研发部}}</w:t>
            </w:r>
            <w:r>
              <w:rPr>
                <w:rFonts w:hint="eastAsia"/>
                <w:sz w:val="21"/>
              </w:rPr>
              <w:t>经理</w:t>
            </w:r>
          </w:p>
        </w:tc>
        <w:tc>
          <w:tcPr>
            <w:tcW w:w="1560" w:type="dxa"/>
          </w:tcPr>
          <w:p w14:paraId="4EFEFEB2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系统架构师</w:t>
            </w:r>
          </w:p>
        </w:tc>
        <w:tc>
          <w:tcPr>
            <w:tcW w:w="1575" w:type="dxa"/>
          </w:tcPr>
          <w:p w14:paraId="52A236BD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470DCD7F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8月</w:t>
            </w:r>
          </w:p>
        </w:tc>
        <w:tc>
          <w:tcPr>
            <w:tcW w:w="1500" w:type="dxa"/>
          </w:tcPr>
          <w:p w14:paraId="29D13AA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17B2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4EEF9001">
            <w:pPr>
              <w:pStyle w:val="51"/>
              <w:widowControl w:val="0"/>
              <w:numPr>
                <w:ilvl w:val="0"/>
                <w:numId w:val="3"/>
              </w:numPr>
              <w:ind w:firstLineChars="0"/>
              <w:jc w:val="both"/>
              <w:rPr>
                <w:sz w:val="21"/>
              </w:rPr>
            </w:pPr>
          </w:p>
        </w:tc>
        <w:tc>
          <w:tcPr>
            <w:tcW w:w="1637" w:type="dxa"/>
          </w:tcPr>
          <w:p w14:paraId="417B9A0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备件库经理</w:t>
            </w:r>
          </w:p>
        </w:tc>
        <w:tc>
          <w:tcPr>
            <w:tcW w:w="1560" w:type="dxa"/>
          </w:tcPr>
          <w:p w14:paraId="47B5BDBF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备件库管理专员</w:t>
            </w:r>
          </w:p>
        </w:tc>
        <w:tc>
          <w:tcPr>
            <w:tcW w:w="1575" w:type="dxa"/>
          </w:tcPr>
          <w:p w14:paraId="41F2982F">
            <w:pPr>
              <w:pStyle w:val="51"/>
              <w:widowControl w:val="0"/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14:paraId="4F086A34">
            <w:pPr>
              <w:pStyle w:val="51"/>
              <w:widowControl w:val="0"/>
              <w:ind w:firstLine="0" w:firstLineChars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9月</w:t>
            </w:r>
          </w:p>
        </w:tc>
        <w:tc>
          <w:tcPr>
            <w:tcW w:w="1500" w:type="dxa"/>
          </w:tcPr>
          <w:p w14:paraId="6953CB3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</w:tbl>
    <w:p w14:paraId="2758CDEF">
      <w:pPr>
        <w:pStyle w:val="52"/>
        <w:keepNext w:val="0"/>
        <w:keepLines w:val="0"/>
        <w:widowControl w:val="0"/>
      </w:pPr>
      <w:bookmarkStart w:id="16" w:name="_Toc6089"/>
      <w:r>
        <w:rPr>
          <w:rFonts w:hint="eastAsia"/>
        </w:rPr>
        <w:t>运维人员绩效考核</w:t>
      </w:r>
      <w:bookmarkEnd w:id="13"/>
      <w:bookmarkEnd w:id="14"/>
      <w:bookmarkEnd w:id="16"/>
    </w:p>
    <w:p w14:paraId="2C59E1DF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根据《</w:t>
      </w:r>
      <w:r>
        <w:rPr>
          <w:rFonts w:hint="eastAsia" w:ascii="宋体" w:hAnsi="宋体" w:cs="宋体"/>
          <w:sz w:val="24"/>
          <w:szCs w:val="24"/>
          <w:lang w:eastAsia="zh-CN"/>
        </w:rPr>
        <w:t>绩效考评管理办法</w:t>
      </w:r>
      <w:r>
        <w:rPr>
          <w:rFonts w:hint="eastAsia" w:ascii="宋体" w:hAnsi="宋体" w:cs="宋体"/>
          <w:sz w:val="24"/>
          <w:szCs w:val="24"/>
        </w:rPr>
        <w:t>》规定，每月对</w:t>
      </w:r>
      <w:r>
        <w:rPr>
          <w:rFonts w:hint="eastAsia" w:ascii="宋体" w:hAnsi="宋体" w:cs="宋体"/>
          <w:sz w:val="24"/>
          <w:szCs w:val="24"/>
          <w:lang w:eastAsia="zh-CN"/>
        </w:rPr>
        <w:t>{{运维部}}</w:t>
      </w:r>
      <w:r>
        <w:rPr>
          <w:rFonts w:hint="eastAsia" w:ascii="宋体" w:hAnsi="宋体" w:cs="宋体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hint="eastAsia" w:ascii="宋体" w:hAnsi="宋体" w:cs="宋体"/>
          <w:sz w:val="24"/>
          <w:szCs w:val="24"/>
          <w:lang w:eastAsia="zh-CN"/>
        </w:rPr>
        <w:t>{{人力部}}</w:t>
      </w:r>
      <w:r>
        <w:rPr>
          <w:rFonts w:hint="eastAsia" w:ascii="宋体" w:hAnsi="宋体" w:cs="宋体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的目的。</w:t>
      </w:r>
    </w:p>
    <w:p w14:paraId="3163A6ED">
      <w:pPr>
        <w:widowControl w:val="0"/>
        <w:kinsoku/>
        <w:autoSpaceDE/>
        <w:autoSpaceDN/>
        <w:adjustRightInd/>
        <w:snapToGrid/>
        <w:ind w:firstLine="480" w:firstLineChars="20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{{人力部}}</w:t>
      </w:r>
      <w:r>
        <w:rPr>
          <w:rFonts w:hint="eastAsia" w:ascii="宋体" w:hAnsi="宋体" w:cs="宋体"/>
          <w:sz w:val="24"/>
          <w:szCs w:val="24"/>
        </w:rPr>
        <w:t>按照绩效考核制度的要求，每</w:t>
      </w:r>
      <w:r>
        <w:rPr>
          <w:rFonts w:hint="eastAsia" w:ascii="宋体" w:hAnsi="宋体" w:cs="宋体"/>
          <w:sz w:val="24"/>
          <w:szCs w:val="24"/>
          <w:lang w:eastAsia="zh-CN"/>
        </w:rPr>
        <w:t>月</w:t>
      </w:r>
      <w:r>
        <w:rPr>
          <w:rFonts w:hint="eastAsia" w:ascii="宋体" w:hAnsi="宋体" w:cs="宋体"/>
          <w:sz w:val="24"/>
          <w:szCs w:val="24"/>
        </w:rPr>
        <w:t>对公司各岗位人员进行了考核，经整理各岗位的绩效考核结果</w:t>
      </w:r>
      <w:r>
        <w:rPr>
          <w:rFonts w:hint="eastAsia" w:ascii="宋体" w:hAnsi="宋体" w:cs="宋体"/>
          <w:sz w:val="24"/>
          <w:szCs w:val="24"/>
          <w:lang w:eastAsia="zh-CN"/>
        </w:rPr>
        <w:t>如下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584"/>
        <w:gridCol w:w="584"/>
        <w:gridCol w:w="584"/>
        <w:gridCol w:w="584"/>
        <w:gridCol w:w="584"/>
        <w:gridCol w:w="584"/>
        <w:gridCol w:w="584"/>
        <w:gridCol w:w="636"/>
        <w:gridCol w:w="636"/>
        <w:gridCol w:w="689"/>
        <w:gridCol w:w="689"/>
        <w:gridCol w:w="689"/>
      </w:tblGrid>
      <w:tr w14:paraId="64D8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0" w:type="auto"/>
            <w:gridSpan w:val="13"/>
          </w:tcPr>
          <w:p w14:paraId="4DD4288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2025年1-{{考核月份}}绩效考核情况</w:t>
            </w:r>
          </w:p>
        </w:tc>
      </w:tr>
      <w:tr w14:paraId="7073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</w:tcPr>
          <w:p w14:paraId="56556B65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时间</w:t>
            </w:r>
          </w:p>
        </w:tc>
        <w:tc>
          <w:tcPr>
            <w:tcW w:w="0" w:type="auto"/>
          </w:tcPr>
          <w:p w14:paraId="39F5F7D8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1月</w:t>
            </w:r>
          </w:p>
        </w:tc>
        <w:tc>
          <w:tcPr>
            <w:tcW w:w="0" w:type="auto"/>
          </w:tcPr>
          <w:p w14:paraId="11141858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2月</w:t>
            </w:r>
          </w:p>
        </w:tc>
        <w:tc>
          <w:tcPr>
            <w:tcW w:w="0" w:type="auto"/>
          </w:tcPr>
          <w:p w14:paraId="358127A8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3月</w:t>
            </w:r>
          </w:p>
        </w:tc>
        <w:tc>
          <w:tcPr>
            <w:tcW w:w="0" w:type="auto"/>
          </w:tcPr>
          <w:p w14:paraId="6E7E3DAF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4月</w:t>
            </w:r>
          </w:p>
        </w:tc>
        <w:tc>
          <w:tcPr>
            <w:tcW w:w="0" w:type="auto"/>
          </w:tcPr>
          <w:p w14:paraId="443F785A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5月</w:t>
            </w:r>
          </w:p>
        </w:tc>
        <w:tc>
          <w:tcPr>
            <w:tcW w:w="0" w:type="auto"/>
          </w:tcPr>
          <w:p w14:paraId="43BDE7B9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6月</w:t>
            </w:r>
          </w:p>
        </w:tc>
        <w:tc>
          <w:tcPr>
            <w:tcW w:w="0" w:type="auto"/>
          </w:tcPr>
          <w:p w14:paraId="717899E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7月</w:t>
            </w:r>
          </w:p>
        </w:tc>
        <w:tc>
          <w:tcPr>
            <w:tcW w:w="0" w:type="auto"/>
          </w:tcPr>
          <w:p w14:paraId="0E128337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8月</w:t>
            </w:r>
          </w:p>
        </w:tc>
        <w:tc>
          <w:tcPr>
            <w:tcW w:w="0" w:type="auto"/>
          </w:tcPr>
          <w:p w14:paraId="13CBF50B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9月</w:t>
            </w:r>
          </w:p>
        </w:tc>
        <w:tc>
          <w:tcPr>
            <w:tcW w:w="0" w:type="auto"/>
          </w:tcPr>
          <w:p w14:paraId="7225B102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10月</w:t>
            </w:r>
          </w:p>
        </w:tc>
        <w:tc>
          <w:tcPr>
            <w:tcW w:w="0" w:type="auto"/>
          </w:tcPr>
          <w:p w14:paraId="6CF1FB9E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11月</w:t>
            </w:r>
          </w:p>
        </w:tc>
        <w:tc>
          <w:tcPr>
            <w:tcW w:w="0" w:type="auto"/>
          </w:tcPr>
          <w:p w14:paraId="5A9ED7C7">
            <w:pPr>
              <w:widowControl w:val="0"/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12月</w:t>
            </w:r>
          </w:p>
        </w:tc>
      </w:tr>
      <w:tr w14:paraId="2D90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0" w:type="auto"/>
          </w:tcPr>
          <w:p w14:paraId="5A86BB17">
            <w:pPr>
              <w:widowControl w:val="0"/>
              <w:kinsoku/>
              <w:autoSpaceDE/>
              <w:autoSpaceDN/>
              <w:adjustRightInd/>
              <w:snapToGrid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合格率</w:t>
            </w:r>
          </w:p>
        </w:tc>
        <w:tc>
          <w:tcPr>
            <w:tcW w:w="584" w:type="dxa"/>
            <w:vAlign w:val="top"/>
          </w:tcPr>
          <w:p w14:paraId="1D10ADB9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{{绩效1}}</w:t>
            </w:r>
          </w:p>
        </w:tc>
        <w:tc>
          <w:tcPr>
            <w:tcW w:w="584" w:type="dxa"/>
            <w:vAlign w:val="top"/>
          </w:tcPr>
          <w:p w14:paraId="2ED16934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{{绩效2}}</w:t>
            </w:r>
          </w:p>
        </w:tc>
        <w:tc>
          <w:tcPr>
            <w:tcW w:w="584" w:type="dxa"/>
            <w:vAlign w:val="top"/>
          </w:tcPr>
          <w:p w14:paraId="49FE062F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{{绩效3}}</w:t>
            </w:r>
          </w:p>
        </w:tc>
        <w:tc>
          <w:tcPr>
            <w:tcW w:w="584" w:type="dxa"/>
            <w:vAlign w:val="top"/>
          </w:tcPr>
          <w:p w14:paraId="28F26F24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{{绩效4}}</w:t>
            </w:r>
          </w:p>
        </w:tc>
        <w:tc>
          <w:tcPr>
            <w:tcW w:w="584" w:type="dxa"/>
            <w:vAlign w:val="top"/>
          </w:tcPr>
          <w:p w14:paraId="657F2DF1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{{绩效5}}</w:t>
            </w:r>
          </w:p>
        </w:tc>
        <w:tc>
          <w:tcPr>
            <w:tcW w:w="584" w:type="dxa"/>
            <w:vAlign w:val="top"/>
          </w:tcPr>
          <w:p w14:paraId="65167698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{{绩效6}}</w:t>
            </w:r>
          </w:p>
        </w:tc>
        <w:tc>
          <w:tcPr>
            <w:tcW w:w="584" w:type="dxa"/>
            <w:vAlign w:val="top"/>
          </w:tcPr>
          <w:p w14:paraId="604F615F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{{绩效7}}</w:t>
            </w:r>
          </w:p>
        </w:tc>
        <w:tc>
          <w:tcPr>
            <w:tcW w:w="636" w:type="dxa"/>
            <w:vAlign w:val="top"/>
          </w:tcPr>
          <w:p w14:paraId="736A0DEA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{{绩效8}}</w:t>
            </w:r>
          </w:p>
        </w:tc>
        <w:tc>
          <w:tcPr>
            <w:tcW w:w="636" w:type="dxa"/>
            <w:vAlign w:val="top"/>
          </w:tcPr>
          <w:p w14:paraId="795C44DE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{{绩效9}}</w:t>
            </w:r>
          </w:p>
        </w:tc>
        <w:tc>
          <w:tcPr>
            <w:tcW w:w="689" w:type="dxa"/>
            <w:vAlign w:val="top"/>
          </w:tcPr>
          <w:p w14:paraId="095CB0E0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{{绩效10}}</w:t>
            </w:r>
          </w:p>
        </w:tc>
        <w:tc>
          <w:tcPr>
            <w:tcW w:w="689" w:type="dxa"/>
            <w:vAlign w:val="top"/>
          </w:tcPr>
          <w:p w14:paraId="20A3EE32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{{绩效11}}</w:t>
            </w:r>
          </w:p>
        </w:tc>
        <w:tc>
          <w:tcPr>
            <w:tcW w:w="689" w:type="dxa"/>
            <w:vAlign w:val="top"/>
          </w:tcPr>
          <w:p w14:paraId="43A30CD4">
            <w:pPr>
              <w:widowControl w:val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{{绩效12}}</w:t>
            </w:r>
          </w:p>
        </w:tc>
      </w:tr>
    </w:tbl>
    <w:p w14:paraId="5031E497">
      <w:pPr>
        <w:widowControl w:val="0"/>
        <w:kinsoku/>
        <w:autoSpaceDE/>
        <w:autoSpaceDN/>
        <w:adjustRightInd/>
        <w:snapToGrid/>
        <w:ind w:firstLine="480" w:firstLineChars="200"/>
        <w:rPr>
          <w:rFonts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根据统计，截止2025年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{{报告月份}}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均满足绩效考核指标要求</w:t>
      </w:r>
      <w:r>
        <w:rPr>
          <w:rFonts w:hint="eastAsia" w:ascii="宋体" w:hAnsi="宋体" w:cs="宋体"/>
          <w:sz w:val="24"/>
          <w:szCs w:val="24"/>
          <w:lang w:eastAsia="zh-CN"/>
        </w:rPr>
        <w:t>。运维服务工作运行良好。</w:t>
      </w:r>
    </w:p>
    <w:p w14:paraId="6C2A8492">
      <w:pPr>
        <w:pStyle w:val="52"/>
        <w:keepNext w:val="0"/>
        <w:keepLines w:val="0"/>
        <w:widowControl w:val="0"/>
        <w:rPr>
          <w:lang w:eastAsia="zh-CN"/>
        </w:rPr>
      </w:pPr>
      <w:bookmarkStart w:id="17" w:name="_Toc31105"/>
      <w:r>
        <w:rPr>
          <w:rFonts w:hint="eastAsia"/>
          <w:lang w:val="en-US" w:eastAsia="zh-CN"/>
        </w:rPr>
        <w:t>能力</w:t>
      </w:r>
      <w:r>
        <w:rPr>
          <w:rFonts w:hint="eastAsia"/>
          <w:lang w:eastAsia="zh-CN"/>
        </w:rPr>
        <w:t>评价</w:t>
      </w:r>
      <w:bookmarkEnd w:id="17"/>
    </w:p>
    <w:p w14:paraId="24321DD9">
      <w:pPr>
        <w:pStyle w:val="5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{{能力评价内容}}</w:t>
      </w:r>
    </w:p>
    <w:p w14:paraId="257137B8">
      <w:pPr>
        <w:pStyle w:val="5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培训经费执行情况</w:t>
      </w:r>
    </w:p>
    <w:p w14:paraId="5BB7DE35">
      <w:pPr>
        <w:pStyle w:val="5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年度，公司严格按照《</w:t>
      </w: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年度运维相关人员管理计划》中的培训经费管理要求执行，具体情况如下：</w:t>
      </w:r>
    </w:p>
    <w:p w14:paraId="73FB8ED3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经费预算：</w:t>
      </w: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年度培训经费预算总额为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万元。</w:t>
      </w:r>
    </w:p>
    <w:p w14:paraId="0E990448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经费执行：截至</w:t>
      </w:r>
      <w:r>
        <w:rPr>
          <w:rFonts w:hint="eastAsia"/>
          <w:lang w:val="en-US" w:eastAsia="zh-CN"/>
        </w:rPr>
        <w:t>2025年{{报告月份}}</w:t>
      </w:r>
      <w:r>
        <w:rPr>
          <w:rFonts w:hint="default"/>
          <w:lang w:val="en-US" w:eastAsia="zh-CN"/>
        </w:rPr>
        <w:t>，</w:t>
      </w:r>
      <w:r>
        <w:t>实际支出培训经费</w:t>
      </w:r>
      <w:r>
        <w:rPr>
          <w:rFonts w:hint="eastAsia"/>
          <w:lang w:val="en-US" w:eastAsia="zh-CN"/>
        </w:rPr>
        <w:t>{{培训经费}}</w:t>
      </w:r>
      <w:r>
        <w:t>万元，</w:t>
      </w:r>
      <w:r>
        <w:rPr>
          <w:rFonts w:hint="eastAsia"/>
          <w:lang w:val="en-US" w:eastAsia="zh-CN"/>
        </w:rPr>
        <w:t>{{经费明细}}</w:t>
      </w:r>
      <w:r>
        <w:rPr>
          <w:rFonts w:hint="default"/>
          <w:lang w:val="en-US" w:eastAsia="zh-CN"/>
        </w:rPr>
        <w:t>。</w:t>
      </w:r>
    </w:p>
    <w:p w14:paraId="182B2776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经费审批：所有培训经费支出均按制度要求履行审批流程，单次费用2000元以下的由</w:t>
      </w:r>
      <w:r>
        <w:rPr>
          <w:rFonts w:hint="eastAsia"/>
          <w:lang w:val="en-US" w:eastAsia="zh-CN"/>
        </w:rPr>
        <w:t>{{人力部}}</w:t>
      </w:r>
      <w:r>
        <w:rPr>
          <w:rFonts w:hint="default"/>
          <w:lang w:val="en-US" w:eastAsia="zh-CN"/>
        </w:rPr>
        <w:t>经理审批，2000-5000元的由副总经理审批，5000元以上的由总经理审批。</w:t>
      </w:r>
      <w:r>
        <w:rPr>
          <w:rFonts w:hint="eastAsia"/>
          <w:lang w:val="en-US" w:eastAsia="zh-CN"/>
        </w:rPr>
        <w:t>{{人力部}}</w:t>
      </w:r>
      <w:r>
        <w:rPr>
          <w:rFonts w:hint="default"/>
          <w:lang w:val="en-US" w:eastAsia="zh-CN"/>
        </w:rPr>
        <w:t>已建立培训经费使用台账，记录完整、可追溯。</w:t>
      </w:r>
    </w:p>
    <w:p w14:paraId="5F1B6D50">
      <w:pPr>
        <w:pStyle w:val="5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经费使用效果：培训经费的投入有效保障了年度培训计划的实施，运维人员技能水平和服务能力显著提升，客户满意度达{{</w:t>
      </w: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客户满意度}}分，达到年度目标要求。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4475C">
    <w:pPr>
      <w:pStyle w:val="19"/>
      <w:jc w:val="center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8C1DB">
    <w:pPr>
      <w:pStyle w:val="20"/>
      <w:jc w:val="right"/>
      <w:rPr>
        <w:rFonts w:ascii="宋体" w:hAnsi="宋体" w:eastAsiaTheme="majorEastAsia"/>
        <w:b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80C8F70"/>
    <w:multiLevelType w:val="singleLevel"/>
    <w:tmpl w:val="280C8F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jk5ODM0YmMxOWJiYWQyNDU4MGIzYWRmYTA0ZmI5NDcifQ=="/>
  </w:docVars>
  <w:rsids>
    <w:rsidRoot w:val="00E62A3B"/>
    <w:rsid w:val="00021C2B"/>
    <w:rsid w:val="00093CCE"/>
    <w:rsid w:val="00360573"/>
    <w:rsid w:val="00444717"/>
    <w:rsid w:val="00733E26"/>
    <w:rsid w:val="00846C1F"/>
    <w:rsid w:val="008B2096"/>
    <w:rsid w:val="00924358"/>
    <w:rsid w:val="00954283"/>
    <w:rsid w:val="009672D0"/>
    <w:rsid w:val="00A056CA"/>
    <w:rsid w:val="00E62A3B"/>
    <w:rsid w:val="00F145A2"/>
    <w:rsid w:val="00FF71E5"/>
    <w:rsid w:val="0143482E"/>
    <w:rsid w:val="01863F2A"/>
    <w:rsid w:val="03D33559"/>
    <w:rsid w:val="04EB6EA8"/>
    <w:rsid w:val="05045994"/>
    <w:rsid w:val="05633B43"/>
    <w:rsid w:val="056A3A4A"/>
    <w:rsid w:val="06F7555A"/>
    <w:rsid w:val="0736405C"/>
    <w:rsid w:val="07B471FE"/>
    <w:rsid w:val="08675488"/>
    <w:rsid w:val="0910075F"/>
    <w:rsid w:val="093A0DE5"/>
    <w:rsid w:val="0CA60F82"/>
    <w:rsid w:val="0CCF55FE"/>
    <w:rsid w:val="0CE36134"/>
    <w:rsid w:val="0E8F4521"/>
    <w:rsid w:val="0FA9345E"/>
    <w:rsid w:val="100C0C82"/>
    <w:rsid w:val="12645AB3"/>
    <w:rsid w:val="140F283A"/>
    <w:rsid w:val="14333BA0"/>
    <w:rsid w:val="15F1161D"/>
    <w:rsid w:val="167C0036"/>
    <w:rsid w:val="16D949F1"/>
    <w:rsid w:val="19035DE5"/>
    <w:rsid w:val="194A50CB"/>
    <w:rsid w:val="19825E7D"/>
    <w:rsid w:val="1C6B202B"/>
    <w:rsid w:val="1CA64B79"/>
    <w:rsid w:val="1D6F5C49"/>
    <w:rsid w:val="1F5D7D23"/>
    <w:rsid w:val="2012571E"/>
    <w:rsid w:val="204A474C"/>
    <w:rsid w:val="204A64FA"/>
    <w:rsid w:val="218D76AB"/>
    <w:rsid w:val="22145011"/>
    <w:rsid w:val="24AE564D"/>
    <w:rsid w:val="2511326E"/>
    <w:rsid w:val="2525043F"/>
    <w:rsid w:val="2530385B"/>
    <w:rsid w:val="25FB4EF1"/>
    <w:rsid w:val="265C30A7"/>
    <w:rsid w:val="26F9241A"/>
    <w:rsid w:val="28221B0A"/>
    <w:rsid w:val="2874084C"/>
    <w:rsid w:val="295F349E"/>
    <w:rsid w:val="29A41AF6"/>
    <w:rsid w:val="29D46E34"/>
    <w:rsid w:val="2A6571D9"/>
    <w:rsid w:val="2CA31C75"/>
    <w:rsid w:val="2EE63891"/>
    <w:rsid w:val="2F52148B"/>
    <w:rsid w:val="2F6646CB"/>
    <w:rsid w:val="2FD52970"/>
    <w:rsid w:val="302637B5"/>
    <w:rsid w:val="31F6203D"/>
    <w:rsid w:val="335C2374"/>
    <w:rsid w:val="3511718E"/>
    <w:rsid w:val="36C50169"/>
    <w:rsid w:val="36F74F6D"/>
    <w:rsid w:val="3930035D"/>
    <w:rsid w:val="399860D0"/>
    <w:rsid w:val="39B36A66"/>
    <w:rsid w:val="3A0A0D7C"/>
    <w:rsid w:val="3A2E6DB4"/>
    <w:rsid w:val="3A9E626A"/>
    <w:rsid w:val="3BAB7371"/>
    <w:rsid w:val="3F9E67B1"/>
    <w:rsid w:val="403D352D"/>
    <w:rsid w:val="42737B04"/>
    <w:rsid w:val="44880EF4"/>
    <w:rsid w:val="466C5B48"/>
    <w:rsid w:val="4884619D"/>
    <w:rsid w:val="4C8E0BA1"/>
    <w:rsid w:val="4CCC6A66"/>
    <w:rsid w:val="4CFF4044"/>
    <w:rsid w:val="4E0D09E3"/>
    <w:rsid w:val="4FB00EB6"/>
    <w:rsid w:val="552A3C28"/>
    <w:rsid w:val="568B4B9B"/>
    <w:rsid w:val="57327818"/>
    <w:rsid w:val="5866141B"/>
    <w:rsid w:val="59FF38D6"/>
    <w:rsid w:val="5BA461F8"/>
    <w:rsid w:val="5C315D2D"/>
    <w:rsid w:val="63FC2C34"/>
    <w:rsid w:val="63FC69D3"/>
    <w:rsid w:val="645B2050"/>
    <w:rsid w:val="652742B3"/>
    <w:rsid w:val="65F566AF"/>
    <w:rsid w:val="666B5E4F"/>
    <w:rsid w:val="66C03632"/>
    <w:rsid w:val="66C57C55"/>
    <w:rsid w:val="67C928B3"/>
    <w:rsid w:val="692716A8"/>
    <w:rsid w:val="69CD25C1"/>
    <w:rsid w:val="6A8169BA"/>
    <w:rsid w:val="6EE054EE"/>
    <w:rsid w:val="72DB4D45"/>
    <w:rsid w:val="73503257"/>
    <w:rsid w:val="73610D05"/>
    <w:rsid w:val="73751D74"/>
    <w:rsid w:val="747D1B6F"/>
    <w:rsid w:val="74CA4688"/>
    <w:rsid w:val="78104AA8"/>
    <w:rsid w:val="789D27E0"/>
    <w:rsid w:val="79A4194C"/>
    <w:rsid w:val="7A2A00A3"/>
    <w:rsid w:val="7FD50A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42"/>
    <w:qFormat/>
    <w:uiPriority w:val="0"/>
    <w:pPr>
      <w:shd w:val="clear" w:color="auto" w:fill="000080"/>
    </w:pPr>
  </w:style>
  <w:style w:type="paragraph" w:styleId="13">
    <w:name w:val="annotation text"/>
    <w:basedOn w:val="1"/>
    <w:link w:val="45"/>
    <w:qFormat/>
    <w:uiPriority w:val="0"/>
  </w:style>
  <w:style w:type="paragraph" w:styleId="14">
    <w:name w:val="Body Text"/>
    <w:basedOn w:val="1"/>
    <w:semiHidden/>
    <w:qFormat/>
    <w:uiPriority w:val="0"/>
    <w:rPr>
      <w:rFonts w:eastAsia="Arial"/>
    </w:r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44"/>
    <w:qFormat/>
    <w:uiPriority w:val="0"/>
    <w:rPr>
      <w:sz w:val="18"/>
    </w:rPr>
  </w:style>
  <w:style w:type="paragraph" w:styleId="19">
    <w:name w:val="footer"/>
    <w:basedOn w:val="1"/>
    <w:link w:val="38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20">
    <w:name w:val="header"/>
    <w:basedOn w:val="1"/>
    <w:link w:val="3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21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paragraph" w:styleId="28">
    <w:name w:val="annotation subject"/>
    <w:basedOn w:val="13"/>
    <w:next w:val="13"/>
    <w:link w:val="46"/>
    <w:qFormat/>
    <w:uiPriority w:val="0"/>
    <w:rPr>
      <w:b/>
    </w:rPr>
  </w:style>
  <w:style w:type="paragraph" w:styleId="29">
    <w:name w:val="Body Text First Indent"/>
    <w:basedOn w:val="14"/>
    <w:qFormat/>
    <w:uiPriority w:val="0"/>
    <w:pPr>
      <w:ind w:firstLine="420" w:firstLineChars="100"/>
    </w:p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Hyperlink"/>
    <w:basedOn w:val="32"/>
    <w:qFormat/>
    <w:uiPriority w:val="0"/>
    <w:rPr>
      <w:color w:val="0000FF"/>
      <w:u w:val="single"/>
    </w:rPr>
  </w:style>
  <w:style w:type="character" w:styleId="35">
    <w:name w:val="annotation reference"/>
    <w:basedOn w:val="32"/>
    <w:qFormat/>
    <w:uiPriority w:val="0"/>
    <w:rPr>
      <w:sz w:val="21"/>
    </w:rPr>
  </w:style>
  <w:style w:type="character" w:customStyle="1" w:styleId="36">
    <w:name w:val="标题 2 Char"/>
    <w:link w:val="3"/>
    <w:autoRedefine/>
    <w:semiHidden/>
    <w:qFormat/>
    <w:uiPriority w:val="9"/>
    <w:rPr>
      <w:rFonts w:ascii="Arial" w:hAnsi="Arial" w:eastAsia="黑体"/>
      <w:b/>
      <w:sz w:val="32"/>
    </w:rPr>
  </w:style>
  <w:style w:type="character" w:customStyle="1" w:styleId="37">
    <w:name w:val="页眉 Char"/>
    <w:link w:val="20"/>
    <w:autoRedefine/>
    <w:qFormat/>
    <w:uiPriority w:val="99"/>
    <w:rPr>
      <w:sz w:val="18"/>
    </w:rPr>
  </w:style>
  <w:style w:type="character" w:customStyle="1" w:styleId="38">
    <w:name w:val="页脚 Char"/>
    <w:link w:val="19"/>
    <w:autoRedefine/>
    <w:qFormat/>
    <w:uiPriority w:val="99"/>
    <w:rPr>
      <w:sz w:val="18"/>
    </w:rPr>
  </w:style>
  <w:style w:type="character" w:customStyle="1" w:styleId="39">
    <w:name w:val="标题 1 Char"/>
    <w:link w:val="2"/>
    <w:autoRedefine/>
    <w:qFormat/>
    <w:uiPriority w:val="9"/>
    <w:rPr>
      <w:b/>
      <w:kern w:val="44"/>
      <w:sz w:val="44"/>
    </w:rPr>
  </w:style>
  <w:style w:type="paragraph" w:customStyle="1" w:styleId="40">
    <w:name w:val="TOC 标题1"/>
    <w:basedOn w:val="2"/>
    <w:next w:val="1"/>
    <w:autoRedefine/>
    <w:unhideWhenUsed/>
    <w:qFormat/>
    <w:uiPriority w:val="39"/>
    <w:pPr>
      <w:spacing w:line="578" w:lineRule="auto"/>
      <w:outlineLvl w:val="9"/>
    </w:pPr>
    <w:rPr>
      <w:b w:val="0"/>
    </w:rPr>
  </w:style>
  <w:style w:type="paragraph" w:customStyle="1" w:styleId="41">
    <w:name w:val="Default"/>
    <w:autoRedefine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42">
    <w:name w:val="文档结构图 Char"/>
    <w:link w:val="12"/>
    <w:autoRedefine/>
    <w:semiHidden/>
    <w:qFormat/>
    <w:uiPriority w:val="99"/>
  </w:style>
  <w:style w:type="character" w:customStyle="1" w:styleId="43">
    <w:name w:val="font21"/>
    <w:basedOn w:val="32"/>
    <w:autoRedefine/>
    <w:qFormat/>
    <w:uiPriority w:val="0"/>
    <w:rPr>
      <w:rFonts w:hint="eastAsia" w:ascii="等线 Light" w:hAnsi="等线 Light" w:eastAsia="等线 Light" w:cs="等线 Light"/>
      <w:color w:val="000000"/>
      <w:sz w:val="24"/>
      <w:szCs w:val="24"/>
      <w:u w:val="none"/>
    </w:rPr>
  </w:style>
  <w:style w:type="character" w:customStyle="1" w:styleId="44">
    <w:name w:val="批注框文本 Char"/>
    <w:link w:val="18"/>
    <w:autoRedefine/>
    <w:semiHidden/>
    <w:qFormat/>
    <w:uiPriority w:val="99"/>
    <w:rPr>
      <w:sz w:val="18"/>
    </w:rPr>
  </w:style>
  <w:style w:type="character" w:customStyle="1" w:styleId="45">
    <w:name w:val="批注文字 Char"/>
    <w:link w:val="13"/>
    <w:autoRedefine/>
    <w:semiHidden/>
    <w:qFormat/>
    <w:uiPriority w:val="99"/>
  </w:style>
  <w:style w:type="character" w:customStyle="1" w:styleId="46">
    <w:name w:val="批注主题 Char"/>
    <w:link w:val="28"/>
    <w:autoRedefine/>
    <w:semiHidden/>
    <w:qFormat/>
    <w:uiPriority w:val="99"/>
    <w:rPr>
      <w:b/>
    </w:rPr>
  </w:style>
  <w:style w:type="paragraph" w:customStyle="1" w:styleId="47">
    <w:name w:val="Table Text"/>
    <w:basedOn w:val="1"/>
    <w:semiHidden/>
    <w:qFormat/>
    <w:uiPriority w:val="0"/>
    <w:rPr>
      <w:rFonts w:ascii="宋体" w:hAnsi="宋体" w:cs="宋体"/>
    </w:rPr>
  </w:style>
  <w:style w:type="table" w:customStyle="1" w:styleId="4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font11"/>
    <w:basedOn w:val="3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50">
    <w:name w:val="柴_标题1"/>
    <w:basedOn w:val="2"/>
    <w:next w:val="51"/>
    <w:link w:val="62"/>
    <w:qFormat/>
    <w:uiPriority w:val="0"/>
    <w:pPr>
      <w:spacing w:before="100" w:after="90" w:line="360" w:lineRule="auto"/>
    </w:pPr>
    <w:rPr>
      <w:sz w:val="32"/>
    </w:rPr>
  </w:style>
  <w:style w:type="paragraph" w:customStyle="1" w:styleId="51">
    <w:name w:val="柴_正文"/>
    <w:basedOn w:val="14"/>
    <w:link w:val="65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52">
    <w:name w:val="柴_标题2"/>
    <w:basedOn w:val="3"/>
    <w:next w:val="5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53">
    <w:name w:val="柴_标题3"/>
    <w:basedOn w:val="4"/>
    <w:next w:val="5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54">
    <w:name w:val="柴_目录"/>
    <w:basedOn w:val="1"/>
    <w:next w:val="14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55">
    <w:name w:val="柴_公司名"/>
    <w:basedOn w:val="27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56">
    <w:name w:val="柴_文档名"/>
    <w:basedOn w:val="27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5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Compact"/>
    <w:basedOn w:val="14"/>
    <w:qFormat/>
    <w:uiPriority w:val="0"/>
    <w:pPr>
      <w:spacing w:before="36" w:after="36"/>
    </w:pPr>
  </w:style>
  <w:style w:type="table" w:customStyle="1" w:styleId="6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62">
    <w:name w:val="柴_标题1 Char"/>
    <w:link w:val="50"/>
    <w:qFormat/>
    <w:uiPriority w:val="0"/>
    <w:rPr>
      <w:rFonts w:ascii="Arial" w:hAnsi="Arial" w:eastAsia="宋体"/>
      <w:sz w:val="32"/>
    </w:rPr>
  </w:style>
  <w:style w:type="paragraph" w:customStyle="1" w:styleId="63">
    <w:name w:val="柴_正文_无缩进"/>
    <w:basedOn w:val="1"/>
    <w:qFormat/>
    <w:uiPriority w:val="0"/>
    <w:rPr>
      <w:sz w:val="24"/>
      <w:lang w:eastAsia="zh-CN"/>
    </w:rPr>
  </w:style>
  <w:style w:type="paragraph" w:customStyle="1" w:styleId="6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65">
    <w:name w:val="柴_正文 Char"/>
    <w:link w:val="51"/>
    <w:qFormat/>
    <w:uiPriority w:val="0"/>
    <w:rPr>
      <w:rFonts w:ascii="Arial" w:hAnsi="Arial" w:eastAsia="宋体"/>
      <w:sz w:val="24"/>
      <w:lang w:eastAsia="zh-CN"/>
    </w:rPr>
  </w:style>
  <w:style w:type="table" w:customStyle="1" w:styleId="66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E7B7C-8C7F-4A59-93DA-667F7C2B8F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9</Pages>
  <Words>956</Words>
  <Characters>1104</Characters>
  <Lines>29</Lines>
  <Paragraphs>8</Paragraphs>
  <TotalTime>6</TotalTime>
  <ScaleCrop>false</ScaleCrop>
  <LinksUpToDate>false</LinksUpToDate>
  <CharactersWithSpaces>1123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2016-09-19T06:01:00Z</dcterms:created>
  <dc:creator>Admin</dc:creator>
  <cp:lastModifiedBy>郝宇</cp:lastModifiedBy>
  <cp:lastPrinted>2016-09-19T07:45:00Z</cp:lastPrinted>
  <dcterms:modified xsi:type="dcterms:W3CDTF">2026-06-14T17:54:04Z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