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707E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131516F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bookmarkStart w:id="0" w:name="_Toc23779"/>
      <w:r>
        <w:rPr>
          <w:rFonts w:hint="eastAsia"/>
          <w:lang w:val="en-US" w:eastAsia="zh-CN"/>
        </w:rPr>
        <w:t>2026年人员管理总结报告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（截止2026年{{报告月份}}）</w:t>
      </w:r>
      <w:bookmarkEnd w:id="0"/>
    </w:p>
    <w:p w14:paraId="56E9491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20962"/>
      <w:r>
        <w:t>{{公司名称}}</w:t>
      </w:r>
      <w:bookmarkEnd w:id="1"/>
    </w:p>
    <w:p w14:paraId="00AA498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宋体"/>
          <w:spacing w:val="-1"/>
          <w:sz w:val="36"/>
          <w:szCs w:val="36"/>
        </w:rPr>
      </w:pPr>
      <w:bookmarkStart w:id="2" w:name="_Toc12003"/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2026年4月5日</w:t>
      </w:r>
      <w:r>
        <w:rPr>
          <w:rFonts w:hint="eastAsia" w:ascii="宋体" w:hAnsi="宋体" w:eastAsia="宋体" w:cs="宋体"/>
          <w:spacing w:val="-1"/>
          <w:sz w:val="36"/>
          <w:szCs w:val="36"/>
        </w:rPr>
        <w:br w:type="page"/>
      </w:r>
      <w:bookmarkEnd w:id="2"/>
    </w:p>
    <w:p w14:paraId="35D7A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20" w:lineRule="auto"/>
        <w:jc w:val="center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3" w:name="_Toc20883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2E9CC3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17" w:lineRule="exact"/>
        <w:textAlignment w:val="baseline"/>
      </w:pPr>
    </w:p>
    <w:tbl>
      <w:tblPr>
        <w:tblStyle w:val="25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4A8EE4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846" w:type="dxa"/>
          </w:tcPr>
          <w:p w14:paraId="013CC6AB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45831658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16"/>
              <w:textAlignment w:val="baseline"/>
            </w:pPr>
            <w:r>
              <w:rPr>
                <w:rFonts w:hint="eastAsia"/>
                <w:spacing w:val="-1"/>
                <w:lang w:val="en-US" w:eastAsia="zh-CN"/>
              </w:rPr>
              <w:t>人员管理报告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{{首字母缩写}}</w:t>
            </w:r>
            <w:r>
              <w:rPr>
                <w:spacing w:val="-1"/>
              </w:rPr>
              <w:t>-ITSS-</w:t>
            </w:r>
            <w:r>
              <w:rPr>
                <w:rFonts w:hint="eastAsia"/>
                <w:spacing w:val="-1"/>
                <w:lang w:val="en-US" w:eastAsia="zh-CN"/>
              </w:rPr>
              <w:t>RYGLJH</w:t>
            </w:r>
            <w:r>
              <w:rPr>
                <w:spacing w:val="-1"/>
              </w:rPr>
              <w:t>）</w:t>
            </w:r>
          </w:p>
        </w:tc>
      </w:tr>
      <w:tr w14:paraId="0DB279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311705E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23BBC26E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</w:pPr>
            <w:r>
              <w:rPr>
                <w:spacing w:val="-1"/>
              </w:rPr>
              <w:t>{{公司名称}}</w:t>
            </w:r>
          </w:p>
        </w:tc>
      </w:tr>
      <w:tr w14:paraId="44C6F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3E5584FC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21CD17BC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88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74633CAD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0A2720B7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51A578C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 w14:paraId="6FEDE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700E2F42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709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57FCD143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9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26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{{报告月份}}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30</w:t>
            </w:r>
          </w:p>
        </w:tc>
        <w:tc>
          <w:tcPr>
            <w:tcW w:w="2302" w:type="dxa"/>
          </w:tcPr>
          <w:p w14:paraId="1DA14391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8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E3B2D2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8" w:lineRule="auto"/>
              <w:ind w:left="576" w:leftChars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{{人力经理}}</w:t>
            </w:r>
          </w:p>
        </w:tc>
        <w:tc>
          <w:tcPr>
            <w:tcW w:w="1953" w:type="dxa"/>
          </w:tcPr>
          <w:p w14:paraId="5E1ED206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 w:leftChars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{{管理者代表}}</w:t>
            </w:r>
          </w:p>
        </w:tc>
      </w:tr>
      <w:tr w14:paraId="454DE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3F73843D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39" w:lineRule="auto"/>
              <w:ind w:left="709"/>
              <w:textAlignment w:val="baseline"/>
            </w:pPr>
          </w:p>
        </w:tc>
        <w:tc>
          <w:tcPr>
            <w:tcW w:w="1413" w:type="dxa"/>
          </w:tcPr>
          <w:p w14:paraId="445DFF7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/>
              <w:ind w:left="290"/>
              <w:textAlignment w:val="baseline"/>
            </w:pPr>
          </w:p>
        </w:tc>
        <w:tc>
          <w:tcPr>
            <w:tcW w:w="2302" w:type="dxa"/>
          </w:tcPr>
          <w:p w14:paraId="3709ADCC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7EA085D6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8" w:lineRule="auto"/>
              <w:ind w:left="576"/>
              <w:textAlignment w:val="baseline"/>
            </w:pPr>
          </w:p>
        </w:tc>
        <w:tc>
          <w:tcPr>
            <w:tcW w:w="1953" w:type="dxa"/>
          </w:tcPr>
          <w:p w14:paraId="7D63F808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672"/>
              <w:textAlignment w:val="baseline"/>
            </w:pPr>
          </w:p>
        </w:tc>
      </w:tr>
      <w:tr w14:paraId="14CEDF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28" w:hRule="atLeast"/>
          <w:jc w:val="center"/>
        </w:trPr>
        <w:tc>
          <w:tcPr>
            <w:tcW w:w="1846" w:type="dxa"/>
          </w:tcPr>
          <w:p w14:paraId="3DEA3695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 w:line="239" w:lineRule="auto"/>
              <w:ind w:left="709"/>
              <w:textAlignment w:val="baseline"/>
            </w:pPr>
          </w:p>
        </w:tc>
        <w:tc>
          <w:tcPr>
            <w:tcW w:w="1413" w:type="dxa"/>
          </w:tcPr>
          <w:p w14:paraId="1BD80128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/>
              <w:ind w:left="290"/>
              <w:textAlignment w:val="baseline"/>
            </w:pPr>
          </w:p>
        </w:tc>
        <w:tc>
          <w:tcPr>
            <w:tcW w:w="2302" w:type="dxa"/>
          </w:tcPr>
          <w:p w14:paraId="05162DA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7D8B60C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28" w:lineRule="auto"/>
              <w:ind w:left="576"/>
              <w:textAlignment w:val="baseline"/>
            </w:pPr>
          </w:p>
        </w:tc>
        <w:tc>
          <w:tcPr>
            <w:tcW w:w="1953" w:type="dxa"/>
          </w:tcPr>
          <w:p w14:paraId="7D676888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672"/>
              <w:textAlignment w:val="baseline"/>
            </w:pPr>
          </w:p>
        </w:tc>
      </w:tr>
      <w:tr w14:paraId="6327A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3B2DB1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58C0A0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34947C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28672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E34FA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CC02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0BC5D1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65A0C1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190E64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6ADE43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3E3B2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27C0DD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pacing w:val="-1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1351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spacing w:val="-1"/>
          <w:kern w:val="0"/>
          <w:sz w:val="24"/>
          <w:szCs w:val="24"/>
          <w:lang w:val="en-US" w:eastAsia="en-US" w:bidi="ar-SA"/>
        </w:rPr>
      </w:sdtEndPr>
      <w:sdtContent>
        <w:p w14:paraId="3ADED50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C1E0F99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_Toc23779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2026年人员管理报告（第一季度）</w:t>
          </w:r>
          <w:r>
            <w:tab/>
          </w:r>
          <w:r>
            <w:fldChar w:fldCharType="begin"/>
          </w:r>
          <w:r>
            <w:instrText xml:space="preserve"> PAGEREF _Toc23779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1336398A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_Toc20962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_Toc20962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A008F60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_Toc12003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  <w:lang w:val="en-US" w:eastAsia="zh-CN"/>
            </w:rPr>
            <w:t>2026年4月5日</w:t>
          </w:r>
          <w:r>
            <w:tab/>
          </w:r>
          <w:r>
            <w:fldChar w:fldCharType="begin"/>
          </w:r>
          <w:r>
            <w:instrText xml:space="preserve"> PAGEREF _Toc12003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F09450C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_Toc20883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_Toc20883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78E78C79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_Toc13152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公司人事管理概述</w:t>
          </w:r>
          <w:r>
            <w:tab/>
          </w:r>
          <w:r>
            <w:fldChar w:fldCharType="begin"/>
          </w:r>
          <w:r>
            <w:instrText xml:space="preserve"> PAGEREF _Toc13152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305E774E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_Toc2960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人员招聘总结</w:t>
          </w:r>
          <w:r>
            <w:tab/>
          </w:r>
          <w:r>
            <w:fldChar w:fldCharType="begin"/>
          </w:r>
          <w:r>
            <w:instrText xml:space="preserve"> PAGEREF _Toc2960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05EED68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_Toc14501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招聘计划与完成情况</w:t>
          </w:r>
          <w:r>
            <w:tab/>
          </w:r>
          <w:r>
            <w:fldChar w:fldCharType="begin"/>
          </w:r>
          <w:r>
            <w:instrText xml:space="preserve"> PAGEREF _Toc14501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74CC7731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_Toc17704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招聘渠道与效果</w:t>
          </w:r>
          <w:r>
            <w:tab/>
          </w:r>
          <w:r>
            <w:fldChar w:fldCharType="begin"/>
          </w:r>
          <w:r>
            <w:instrText xml:space="preserve"> PAGEREF _Toc17704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35DFDEF3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_Toc1614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关键岗位储备总结</w:t>
          </w:r>
          <w:r>
            <w:tab/>
          </w:r>
          <w:r>
            <w:fldChar w:fldCharType="begin"/>
          </w:r>
          <w:r>
            <w:instrText xml:space="preserve"> PAGEREF _Toc1614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05B3D5B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_Toc26873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储备计划与完成情况</w:t>
          </w:r>
          <w:r>
            <w:tab/>
          </w:r>
          <w:r>
            <w:fldChar w:fldCharType="begin"/>
          </w:r>
          <w:r>
            <w:instrText xml:space="preserve"> PAGEREF _Toc26873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AC3D979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运维相关人员业务培训</w:t>
          </w:r>
          <w:r>
            <w:tab/>
          </w:r>
          <w:r>
            <w:fldChar w:fldCharType="begin"/>
          </w:r>
          <w:r>
            <w:instrText xml:space="preserve"> PAGEREF _Toc16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17CF8444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_Toc10549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培训计划执行情况</w:t>
          </w:r>
          <w:r>
            <w:tab/>
          </w:r>
          <w:r>
            <w:fldChar w:fldCharType="begin"/>
          </w:r>
          <w:r>
            <w:instrText xml:space="preserve"> PAGEREF _Toc10549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837F4A2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_Toc8055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培训效果评估</w:t>
          </w:r>
          <w:r>
            <w:tab/>
          </w:r>
          <w:r>
            <w:fldChar w:fldCharType="begin"/>
          </w:r>
          <w:r>
            <w:instrText xml:space="preserve"> PAGEREF _Toc8055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65D94AF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_Toc28879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运维人员备份总结</w:t>
          </w:r>
          <w:r>
            <w:tab/>
          </w:r>
          <w:r>
            <w:fldChar w:fldCharType="begin"/>
          </w:r>
          <w:r>
            <w:instrText xml:space="preserve"> PAGEREF _Toc28879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28A2CCBB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_Toc1246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备份计划执行情况</w:t>
          </w:r>
          <w:r>
            <w:tab/>
          </w:r>
          <w:r>
            <w:fldChar w:fldCharType="begin"/>
          </w:r>
          <w:r>
            <w:instrText xml:space="preserve"> PAGEREF _Toc1246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1B345711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_Toc802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备份完成情况</w:t>
          </w:r>
          <w:r>
            <w:tab/>
          </w:r>
          <w:r>
            <w:fldChar w:fldCharType="begin"/>
          </w:r>
          <w:r>
            <w:instrText xml:space="preserve"> PAGEREF _Toc802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52BFE3CF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_Toc8434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运维人员绩效考核</w:t>
          </w:r>
          <w:r>
            <w:tab/>
          </w:r>
          <w:r>
            <w:fldChar w:fldCharType="begin"/>
          </w:r>
          <w:r>
            <w:instrText xml:space="preserve"> PAGEREF _Toc8434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E194E46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_Toc26076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绩效考核执行情况</w:t>
          </w:r>
          <w:r>
            <w:tab/>
          </w:r>
          <w:r>
            <w:fldChar w:fldCharType="begin"/>
          </w:r>
          <w:r>
            <w:instrText xml:space="preserve"> PAGEREF _Toc26076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FD93A14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_Toc17276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考核结果应用</w:t>
          </w:r>
          <w:r>
            <w:tab/>
          </w:r>
          <w:r>
            <w:fldChar w:fldCharType="begin"/>
          </w:r>
          <w:r>
            <w:instrText xml:space="preserve"> PAGEREF _Toc17276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0AF48F2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_Toc20273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技能评价</w:t>
          </w:r>
          <w:r>
            <w:tab/>
          </w:r>
          <w:r>
            <w:fldChar w:fldCharType="begin"/>
          </w:r>
          <w:r>
            <w:instrText xml:space="preserve"> PAGEREF _Toc20273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7BD3D12D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_Toc327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培训经费执行情况</w:t>
          </w:r>
          <w:r>
            <w:tab/>
          </w:r>
          <w:r>
            <w:fldChar w:fldCharType="begin"/>
          </w:r>
          <w:r>
            <w:instrText xml:space="preserve"> PAGEREF _Toc327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0942150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_Toc25241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经费预算</w:t>
          </w:r>
          <w:r>
            <w:tab/>
          </w:r>
          <w:r>
            <w:fldChar w:fldCharType="begin"/>
          </w:r>
          <w:r>
            <w:instrText xml:space="preserve"> PAGEREF _Toc25241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12F127C7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_Toc12886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经费执行</w:t>
          </w:r>
          <w:r>
            <w:tab/>
          </w:r>
          <w:r>
            <w:fldChar w:fldCharType="begin"/>
          </w:r>
          <w:r>
            <w:instrText xml:space="preserve"> PAGEREF _Toc12886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7D1BCB3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_Toc6323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经费审批</w:t>
          </w:r>
          <w:r>
            <w:tab/>
          </w:r>
          <w:r>
            <w:fldChar w:fldCharType="begin"/>
          </w:r>
          <w:r>
            <w:instrText xml:space="preserve"> PAGEREF _Toc6323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1768BE0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_Toc4818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8.4. </w:t>
          </w:r>
          <w:r>
            <w:t>经费使用效果</w:t>
          </w:r>
          <w:r>
            <w:tab/>
          </w:r>
          <w:r>
            <w:fldChar w:fldCharType="begin"/>
          </w:r>
          <w:r>
            <w:instrText xml:space="preserve"> PAGEREF _Toc4818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5FB20416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_Toc21245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下季度工作计划</w:t>
          </w:r>
          <w:r>
            <w:tab/>
          </w:r>
          <w:r>
            <w:fldChar w:fldCharType="begin"/>
          </w:r>
          <w:r>
            <w:instrText xml:space="preserve"> PAGEREF _Toc21245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3D10D9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spacing w:val="-1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</w:sdtContent>
    </w:sdt>
    <w:p w14:paraId="353348E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napToGrid w:val="0"/>
          <w:color w:val="000000"/>
          <w:spacing w:val="-1"/>
          <w:kern w:val="0"/>
          <w:sz w:val="21"/>
          <w:szCs w:val="36"/>
          <w:lang w:val="en-US" w:eastAsia="en-US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BFEC9CD">
      <w:pPr>
        <w:pStyle w:val="26"/>
        <w:bidi w:val="0"/>
      </w:pPr>
      <w:bookmarkStart w:id="4" w:name="_Toc13152"/>
      <w:bookmarkStart w:id="5" w:name="heading_2"/>
      <w:r>
        <w:t>公司人事管理概述</w:t>
      </w:r>
      <w:bookmarkEnd w:id="4"/>
      <w:bookmarkEnd w:id="5"/>
    </w:p>
    <w:p w14:paraId="30E17345">
      <w:pPr>
        <w:pStyle w:val="27"/>
        <w:bidi w:val="0"/>
      </w:pPr>
      <w:r>
        <w:rPr>
          <w:rFonts w:hint="eastAsia"/>
          <w:lang w:val="en-US" w:eastAsia="zh-CN"/>
        </w:rPr>
        <w:t>截止2026年</w:t>
      </w:r>
      <w:r>
        <w:rPr>
          <w:rFonts w:hint="eastAsia"/>
          <w:lang w:eastAsia="zh-CN"/>
        </w:rPr>
        <w:t>{{报告月份}}</w:t>
      </w:r>
      <w:r>
        <w:t>，</w:t>
      </w:r>
      <w:r>
        <w:rPr>
          <w:rFonts w:hint="eastAsia"/>
          <w:lang w:eastAsia="zh-CN"/>
        </w:rPr>
        <w:t>{{人力部}}</w:t>
      </w:r>
      <w:r>
        <w:t>按照公司年度人力资源规划和《2026年度运维相关人员管理计划》的要求，有序开展各项人事管理工作。</w:t>
      </w:r>
      <w:r>
        <w:rPr>
          <w:rFonts w:hint="eastAsia"/>
          <w:lang w:eastAsia="zh-CN"/>
        </w:rPr>
        <w:t>{{人力部}}</w:t>
      </w:r>
      <w:r>
        <w:t>所有人员遵循相关流程制度，此项已列入绩效考核中。</w:t>
      </w:r>
      <w:r>
        <w:rPr>
          <w:rFonts w:hint="eastAsia"/>
          <w:lang w:eastAsia="zh-CN"/>
        </w:rPr>
        <w:t>{{运维部}}</w:t>
      </w:r>
      <w:r>
        <w:t>部门经理通过部门例会的形式，对人员执行流程方面进行汇报检查，并以此作为月度绩效考核的依据。</w:t>
      </w:r>
    </w:p>
    <w:p w14:paraId="47DAB2B9">
      <w:pPr>
        <w:pStyle w:val="27"/>
        <w:bidi w:val="0"/>
      </w:pPr>
      <w:r>
        <w:t>截止</w:t>
      </w:r>
      <w:r>
        <w:rPr>
          <w:rFonts w:hint="eastAsia"/>
          <w:lang w:val="en-US" w:eastAsia="zh-CN"/>
        </w:rPr>
        <w:t>2026年</w:t>
      </w:r>
      <w:r>
        <w:rPr>
          <w:rFonts w:hint="eastAsia"/>
          <w:lang w:eastAsia="zh-CN"/>
        </w:rPr>
        <w:t>{{报告月份}}月</w:t>
      </w:r>
      <w:r>
        <w:t>，人员管理相关指标达成情况良好，详见《2026年运维服务能力管理指标体系达成情况》。</w:t>
      </w:r>
    </w:p>
    <w:p w14:paraId="144CBE14">
      <w:pPr>
        <w:pStyle w:val="26"/>
        <w:bidi w:val="0"/>
      </w:pPr>
      <w:bookmarkStart w:id="6" w:name="_Toc2960"/>
      <w:bookmarkStart w:id="7" w:name="heading_3"/>
      <w:r>
        <w:t>人员招聘总结</w:t>
      </w:r>
      <w:bookmarkEnd w:id="6"/>
      <w:bookmarkEnd w:id="7"/>
    </w:p>
    <w:p w14:paraId="2BEC8843">
      <w:pPr>
        <w:pStyle w:val="28"/>
        <w:bidi w:val="0"/>
      </w:pPr>
      <w:bookmarkStart w:id="8" w:name="heading_4"/>
      <w:bookmarkStart w:id="9" w:name="_Toc14501"/>
      <w:r>
        <w:t>招聘计划与完成情况</w:t>
      </w:r>
      <w:bookmarkEnd w:id="8"/>
      <w:bookmarkEnd w:id="9"/>
    </w:p>
    <w:p w14:paraId="78FFDC08">
      <w:pPr>
        <w:pStyle w:val="27"/>
        <w:bidi w:val="0"/>
      </w:pPr>
      <w:r>
        <w:t>根据《2026年度运维相关人员管理计划》，</w:t>
      </w:r>
      <w:r>
        <w:rPr>
          <w:rFonts w:hint="eastAsia"/>
          <w:lang w:val="en-US" w:eastAsia="zh-CN"/>
        </w:rPr>
        <w:t>截止2026年</w:t>
      </w:r>
      <w:r>
        <w:rPr>
          <w:rFonts w:hint="eastAsia"/>
          <w:lang w:eastAsia="zh-CN"/>
        </w:rPr>
        <w:t>{{报告月份}}</w:t>
      </w:r>
      <w:r>
        <w:t>计划招聘</w:t>
      </w:r>
      <w:r>
        <w:rPr>
          <w:rFonts w:hint="eastAsia"/>
          <w:lang w:val="en-US" w:eastAsia="zh-CN"/>
        </w:rPr>
        <w:t>{{招聘详情}}</w:t>
      </w:r>
      <w:r>
        <w:t>。</w:t>
      </w:r>
    </w:p>
    <w:p w14:paraId="6CD56A51">
      <w:pPr>
        <w:pStyle w:val="27"/>
        <w:bidi w:val="0"/>
        <w:rPr>
          <w:rFonts w:hint="default" w:eastAsia="宋体"/>
          <w:lang w:val="en-US" w:eastAsia="zh-CN"/>
        </w:rPr>
      </w:pPr>
      <w:r>
        <w:t>截止</w:t>
      </w:r>
      <w:r>
        <w:rPr>
          <w:rFonts w:hint="eastAsia"/>
          <w:lang w:val="en-US" w:eastAsia="zh-CN"/>
        </w:rPr>
        <w:t>2026年</w:t>
      </w:r>
      <w:r>
        <w:rPr>
          <w:rFonts w:hint="eastAsia"/>
          <w:lang w:eastAsia="zh-CN"/>
        </w:rPr>
        <w:t>{{报告月份}}</w:t>
      </w:r>
      <w:r>
        <w:t>，已完成</w:t>
      </w:r>
      <w:r>
        <w:rPr>
          <w:rFonts w:hint="eastAsia"/>
          <w:lang w:val="en-US" w:eastAsia="zh-CN"/>
        </w:rPr>
        <w:t>{{招聘详情}}</w:t>
      </w:r>
      <w:r>
        <w:t>的招聘工作，人员招聘到岗率为{{</w:t>
      </w:r>
      <w:r>
        <w:rPr>
          <w:rFonts w:hint="eastAsia"/>
          <w:lang w:val="en-US" w:eastAsia="zh-CN"/>
        </w:rPr>
        <w:t>招聘计划完成率}</w:t>
      </w:r>
      <w:r>
        <w:t>}，达到考核指标要求（≥{{</w:t>
      </w:r>
      <w:r>
        <w:rPr>
          <w:rFonts w:hint="eastAsia"/>
          <w:lang w:val="en-US" w:eastAsia="zh-CN"/>
        </w:rPr>
        <w:t>招聘目标值</w:t>
      </w:r>
      <w:r>
        <w:t>}}）。具体招聘完成情况如下：</w:t>
      </w:r>
    </w:p>
    <w:tbl>
      <w:tblPr>
        <w:tblStyle w:val="20"/>
        <w:tblW w:w="81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9"/>
        <w:gridCol w:w="1213"/>
        <w:gridCol w:w="1213"/>
        <w:gridCol w:w="1611"/>
        <w:gridCol w:w="1213"/>
        <w:gridCol w:w="1256"/>
      </w:tblGrid>
      <w:tr w14:paraId="0FB42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4DEC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D68A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招聘人数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53EB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责任部门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F4C4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预计到岗日期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057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招聘方式</w:t>
            </w:r>
          </w:p>
        </w:tc>
        <w:tc>
          <w:tcPr>
            <w:tcW w:w="125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98A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完成情况</w:t>
            </w:r>
          </w:p>
        </w:tc>
      </w:tr>
      <w:tr w14:paraId="4A44D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CE98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A9E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D20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{{人力部}}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E79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2026年3月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B01C0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外聘</w:t>
            </w:r>
          </w:p>
        </w:tc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406C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{{招聘完成情况}}</w:t>
            </w:r>
          </w:p>
        </w:tc>
      </w:tr>
      <w:tr w14:paraId="0A459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35B4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网络工程师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1C83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F8C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{{人力部}}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02B3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2026年4月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957E1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外聘</w:t>
            </w:r>
          </w:p>
        </w:tc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8034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{{招聘完成情况}}</w:t>
            </w:r>
          </w:p>
        </w:tc>
      </w:tr>
      <w:tr w14:paraId="45658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0E88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数据库工程师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7A3A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6C7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{{人力部}}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961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2026年4月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DFE17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外聘</w:t>
            </w:r>
          </w:p>
        </w:tc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CEC0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{{招聘完成情况}}</w:t>
            </w:r>
          </w:p>
        </w:tc>
      </w:tr>
      <w:tr w14:paraId="0493D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AA0D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5350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EEA9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{{人力部}}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32E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83E9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外聘</w:t>
            </w:r>
          </w:p>
        </w:tc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5B3E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{{招聘完成情况}}</w:t>
            </w:r>
          </w:p>
        </w:tc>
      </w:tr>
      <w:tr w14:paraId="047A6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A901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软件运维工程师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C6E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208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{{人力部}}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40BE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2026年7月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F263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外聘</w:t>
            </w:r>
          </w:p>
        </w:tc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BB46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{{招聘完成情况}}</w:t>
            </w:r>
          </w:p>
        </w:tc>
      </w:tr>
    </w:tbl>
    <w:p w14:paraId="1BCC049B">
      <w:pPr>
        <w:pStyle w:val="28"/>
        <w:bidi w:val="0"/>
      </w:pPr>
      <w:bookmarkStart w:id="10" w:name="_Toc17704"/>
      <w:bookmarkStart w:id="11" w:name="heading_5"/>
      <w:r>
        <w:t>招聘渠道与效果</w:t>
      </w:r>
      <w:bookmarkEnd w:id="10"/>
      <w:bookmarkEnd w:id="11"/>
    </w:p>
    <w:p w14:paraId="553A2603">
      <w:pPr>
        <w:pStyle w:val="27"/>
        <w:bidi w:val="0"/>
      </w:pPr>
      <w:r>
        <w:t>本季度招聘主要通过智联招聘、前程无忧等网络招聘平台进行，同时启动了校园招聘的准备工作，为后续季度的人才引进奠定基础。</w:t>
      </w:r>
    </w:p>
    <w:p w14:paraId="69F494C4">
      <w:pPr>
        <w:pStyle w:val="26"/>
        <w:bidi w:val="0"/>
      </w:pPr>
      <w:bookmarkStart w:id="12" w:name="_Toc1614"/>
      <w:bookmarkStart w:id="13" w:name="heading_6"/>
      <w:r>
        <w:t>关键岗位储备总结</w:t>
      </w:r>
      <w:bookmarkEnd w:id="12"/>
      <w:bookmarkEnd w:id="13"/>
    </w:p>
    <w:p w14:paraId="74323AA2">
      <w:pPr>
        <w:pStyle w:val="28"/>
        <w:bidi w:val="0"/>
      </w:pPr>
      <w:bookmarkStart w:id="14" w:name="heading_7"/>
      <w:bookmarkStart w:id="15" w:name="_Toc26873"/>
      <w:r>
        <w:t>储备计划与完成情况</w:t>
      </w:r>
      <w:bookmarkEnd w:id="14"/>
      <w:bookmarkEnd w:id="15"/>
    </w:p>
    <w:p w14:paraId="7C5DC56A">
      <w:pPr>
        <w:pStyle w:val="27"/>
        <w:rPr>
          <w:rFonts w:hint="eastAsia"/>
        </w:rPr>
      </w:pPr>
      <w:r>
        <w:rPr>
          <w:rFonts w:hint="eastAsia"/>
        </w:rPr>
        <w:t>根据《2026年度运维相关人员管理计划》，</w:t>
      </w:r>
      <w:r>
        <w:rPr>
          <w:rFonts w:hint="eastAsia"/>
          <w:lang w:val="en-US" w:eastAsia="zh-CN"/>
        </w:rPr>
        <w:t>截止2026年</w:t>
      </w:r>
      <w:r>
        <w:rPr>
          <w:rFonts w:hint="eastAsia"/>
        </w:rPr>
        <w:t>{{</w:t>
      </w:r>
      <w:r>
        <w:rPr>
          <w:rFonts w:hint="eastAsia"/>
          <w:lang w:val="en-US" w:eastAsia="zh-CN"/>
        </w:rPr>
        <w:t>报告月份</w:t>
      </w:r>
      <w:r>
        <w:rPr>
          <w:rFonts w:hint="eastAsia"/>
        </w:rPr>
        <w:t>}}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计划储备{{储备详情}}</w:t>
      </w:r>
      <w:r>
        <w:rPr>
          <w:rFonts w:hint="eastAsia"/>
        </w:rPr>
        <w:t>。</w:t>
      </w:r>
    </w:p>
    <w:p w14:paraId="2612B9BC">
      <w:pPr>
        <w:pStyle w:val="27"/>
      </w:pPr>
      <w:r>
        <w:rPr>
          <w:rFonts w:hint="eastAsia"/>
          <w:lang w:val="en-US" w:eastAsia="zh-CN"/>
        </w:rPr>
        <w:t>{{储备工作描述}}</w:t>
      </w:r>
      <w:r>
        <w:rPr>
          <w:rFonts w:hint="eastAsia"/>
        </w:rPr>
        <w:t>。</w:t>
      </w:r>
    </w:p>
    <w:p w14:paraId="4B04C3F1">
      <w:pPr>
        <w:pStyle w:val="26"/>
        <w:bidi w:val="0"/>
      </w:pPr>
      <w:bookmarkStart w:id="16" w:name="heading_9"/>
      <w:bookmarkStart w:id="17" w:name="_Toc16"/>
      <w:r>
        <w:t>运维相关人员业务培训</w:t>
      </w:r>
      <w:bookmarkEnd w:id="16"/>
      <w:bookmarkEnd w:id="17"/>
    </w:p>
    <w:p w14:paraId="01EAFF30">
      <w:pPr>
        <w:pStyle w:val="28"/>
        <w:bidi w:val="0"/>
      </w:pPr>
      <w:bookmarkStart w:id="18" w:name="heading_10"/>
      <w:bookmarkStart w:id="19" w:name="_Toc10549"/>
      <w:r>
        <w:t>培训计划执行情况</w:t>
      </w:r>
      <w:bookmarkEnd w:id="18"/>
      <w:bookmarkEnd w:id="19"/>
    </w:p>
    <w:p w14:paraId="343136A8">
      <w:pPr>
        <w:pStyle w:val="27"/>
        <w:bidi w:val="0"/>
      </w:pPr>
      <w:r>
        <w:t>根据《2026年度运维相关人员管理计划》，{{</w:t>
      </w:r>
      <w:r>
        <w:rPr>
          <w:rFonts w:hint="eastAsia"/>
          <w:lang w:eastAsia="zh-CN"/>
        </w:rPr>
        <w:t>报告月份</w:t>
      </w:r>
      <w:r>
        <w:t>}}计划完成</w:t>
      </w:r>
      <w:r>
        <w:rPr>
          <w:rFonts w:hint="eastAsia"/>
          <w:lang w:val="en-US" w:eastAsia="zh-CN"/>
        </w:rPr>
        <w:t>{{培训场次}}场</w:t>
      </w:r>
      <w:r>
        <w:t>培训：</w:t>
      </w:r>
    </w:p>
    <w:tbl>
      <w:tblPr>
        <w:tblStyle w:val="20"/>
        <w:tblW w:w="925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7"/>
        <w:gridCol w:w="3010"/>
        <w:gridCol w:w="2754"/>
        <w:gridCol w:w="1399"/>
        <w:gridCol w:w="732"/>
        <w:gridCol w:w="732"/>
      </w:tblGrid>
      <w:tr w14:paraId="613C9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3A02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编号</w:t>
            </w:r>
          </w:p>
        </w:tc>
        <w:tc>
          <w:tcPr>
            <w:tcW w:w="30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7964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培训内容</w:t>
            </w:r>
          </w:p>
        </w:tc>
        <w:tc>
          <w:tcPr>
            <w:tcW w:w="27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0C5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培训对象</w:t>
            </w:r>
          </w:p>
        </w:tc>
        <w:tc>
          <w:tcPr>
            <w:tcW w:w="13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666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培训人员</w:t>
            </w:r>
          </w:p>
        </w:tc>
        <w:tc>
          <w:tcPr>
            <w:tcW w:w="7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0B3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时间</w:t>
            </w:r>
          </w:p>
        </w:tc>
        <w:tc>
          <w:tcPr>
            <w:tcW w:w="7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26B8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完成情况</w:t>
            </w:r>
          </w:p>
        </w:tc>
      </w:tr>
      <w:tr w14:paraId="2EC8A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A0E2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6E8B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ITSS标准深化培训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FBE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运维服务相关人员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4D8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4B747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7E27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3CE9B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7310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F29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运维服务工具使用（进阶）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D9EE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5D8E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8941A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17256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16A49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763D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FD05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入职培训（包括制度与企业文化）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59D4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新入职员工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172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各模块负责人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1E6C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83BD7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31AB5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712A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479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公司产品培训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3AAB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2F67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39D8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CBDB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32FF0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A7F5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BDB4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自动化运维技术培训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BE3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运维工程师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5A74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7C98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C836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31BBB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73F6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942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运维服务知识管理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B40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全体运维人员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6C5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7927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7949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1EFE0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B92E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DE9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运维服务制度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43B4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各相关部门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402F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9C4C4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87574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2781D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5B76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8.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1722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高级开发培训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181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{{研发部}}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695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{{研发经理}}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E141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79878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51043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8E0E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FD85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开发规范及代码质量介绍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1DF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{{研发部}}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8302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{{研发经理}}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4DA6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7894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142E3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18FB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10.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9A49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信息、数据安全常识及应对策略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61F0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运维项目经理、安全检测工程师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DE82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5045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2D642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36FFF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2C704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11.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2F4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服务台人员操作流程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EF17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服务台全员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745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F51C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C33D6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63922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22ABB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12.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756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应急响应规范与应急预案培训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EA44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运维项目经理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EE7A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5C0F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50E16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38846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9D81E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13.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AC6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ITSS标准培训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4456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运维服务相关人员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41E7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BFE5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50A6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274C4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EFFC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14.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2DB5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云原生与容器技术（Docker/K8s）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66A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{{研发部}}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B17F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B70AA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1CD4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114E0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FC92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15.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CD7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入职培训（包括制度与企业文化）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500A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新入职员工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4E8A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各模块负责人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8C0A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9240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58F0D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6E62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16.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A95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公司产品培训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D5AA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B735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0004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01009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64801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7B86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17.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3EF9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数据库高级运维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941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{{研发部}}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C783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C94F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D3B8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2A94E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8DFD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18.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80B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IT服务项目经理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9BB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部分人员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30E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5043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36795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2A7F0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1651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19.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9F80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运维服务工具使用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4F4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AFE2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1977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B68F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7D7D4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2FC0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20.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D5F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客户沟通与服务技巧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119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FA0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29D2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E23E4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751C8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EE11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21.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380A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云数据中心建设模式和网络安全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1907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运维项目经理、安全检测工程师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EBE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F6F74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47F5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00CE9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41210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22.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C49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交付规范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95CE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172A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0132A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D046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3C3B2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7481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23.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24A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运维服务制度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B5D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各相关部门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D16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DE6C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B4C1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31BCB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D233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24.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3827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高级开发培训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D20B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{{研发部}}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5AB9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 w:eastAsia="zh-CN"/>
              </w:rPr>
              <w:t>{{研发经理}}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C127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8月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DC6F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080F1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AE7C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25.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2BC8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开发规范及代码质量介绍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2FD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{{研发部}}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690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 w:eastAsia="zh-CN"/>
              </w:rPr>
              <w:t>{{研发经理}}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6268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8月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4F8B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489C9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1A3FB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26.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4A6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入职培训（包括制度与企业文化）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3D4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新入职员工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1334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各模块负责人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0150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44C4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7C4B0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4E9A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27.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6D71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公司产品培训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833B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AA6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C8FD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0D396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2111C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43ED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28.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B2B2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信息、数据安全常识及应对策略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A14E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运维项目经理、安全检测工程师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5630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E376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BC43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5C437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D296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29.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5226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产品测试用例编写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85B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{{研发部}}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85FC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00A95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E2158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28972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C963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30.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B4CC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运维服务服务知识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545E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全体运维人员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716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02583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7300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4C6A2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AC9B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31.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33D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服务台人员操作流程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B1D3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服务台全员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BD15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3D9F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D193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4F7ED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D517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32.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19B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应急响应规范与应急预案培训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5E1A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运维项目经理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42CA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908A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B594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65348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14FBC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33.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496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最终软件库管理培训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C572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{{研发部}}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{{运维部}}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11E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8908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10月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96AB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2EB53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F32E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34.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C42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职场沟通与团队协作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F25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2EE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8D60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11月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C1F47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0B3CF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26A3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35.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93D5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入职培训（包括制度与企业文化）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010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新入职员工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A08A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各模块负责人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2524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12月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990F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4346C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60D1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36.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276B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公司产品培训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4C9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26C6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6E7A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12月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2568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  <w:tr w14:paraId="47597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AD2A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37.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C00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年度技术总结与分享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319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{{研发部}}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{{运维部}}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70B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 w:eastAsia="zh-CN"/>
              </w:rPr>
              <w:t>{{研发经理}}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0019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12月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ECEC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{{培训完成状态}}</w:t>
            </w:r>
          </w:p>
        </w:tc>
      </w:tr>
    </w:tbl>
    <w:p w14:paraId="6C62DBE5">
      <w:pPr>
        <w:pStyle w:val="27"/>
        <w:bidi w:val="0"/>
      </w:pPr>
      <w:r>
        <w:t>截止</w:t>
      </w:r>
      <w:r>
        <w:rPr>
          <w:rFonts w:hint="eastAsia"/>
          <w:lang w:val="en-US" w:eastAsia="zh-CN"/>
        </w:rPr>
        <w:t>2026年</w:t>
      </w:r>
      <w:r>
        <w:t>{{</w:t>
      </w:r>
      <w:r>
        <w:rPr>
          <w:rFonts w:hint="eastAsia"/>
          <w:lang w:val="en-US" w:eastAsia="zh-CN"/>
        </w:rPr>
        <w:t>报告月份</w:t>
      </w:r>
      <w:r>
        <w:t>}}，计划内的</w:t>
      </w:r>
      <w:r>
        <w:rPr>
          <w:rFonts w:hint="eastAsia"/>
          <w:lang w:val="en-US" w:eastAsia="zh-CN"/>
        </w:rPr>
        <w:t>{{培训场次}}场</w:t>
      </w:r>
      <w:r>
        <w:t>培训已全部完成，培训课程达成率为</w:t>
      </w:r>
      <w:r>
        <w:rPr>
          <w:rFonts w:hint="eastAsia"/>
          <w:lang w:val="en-US" w:eastAsia="zh-CN"/>
        </w:rPr>
        <w:t>100%</w:t>
      </w:r>
      <w:r>
        <w:t>。</w:t>
      </w:r>
    </w:p>
    <w:p w14:paraId="2F2AAC89">
      <w:pPr>
        <w:pStyle w:val="28"/>
        <w:bidi w:val="0"/>
      </w:pPr>
      <w:bookmarkStart w:id="20" w:name="_Toc8055"/>
      <w:bookmarkStart w:id="21" w:name="heading_11"/>
      <w:r>
        <w:t>培训效果评估</w:t>
      </w:r>
      <w:bookmarkEnd w:id="20"/>
      <w:bookmarkEnd w:id="21"/>
    </w:p>
    <w:p w14:paraId="6785931A">
      <w:pPr>
        <w:pStyle w:val="27"/>
        <w:bidi w:val="0"/>
      </w:pPr>
      <w:r>
        <w:t>ITSS标准深化培训由外聘讲师授课，</w:t>
      </w:r>
      <w:r>
        <w:rPr>
          <w:rFonts w:hint="eastAsia"/>
          <w:lang w:val="en-US" w:eastAsia="zh-CN"/>
        </w:rPr>
        <w:t>所有运维人员全部参会</w:t>
      </w:r>
      <w:r>
        <w:t>，培训后</w:t>
      </w:r>
      <w:r>
        <w:rPr>
          <w:rFonts w:hint="eastAsia"/>
          <w:lang w:val="en-US" w:eastAsia="zh-CN"/>
        </w:rPr>
        <w:t>所有培训人员全部考核合格</w:t>
      </w:r>
      <w:r>
        <w:t>。运维服务工具使用培训由</w:t>
      </w:r>
      <w:r>
        <w:rPr>
          <w:rFonts w:hint="eastAsia"/>
          <w:lang w:eastAsia="zh-CN"/>
        </w:rPr>
        <w:t>{{运维部}}</w:t>
      </w:r>
      <w:r>
        <w:t>经理王朋主讲，</w:t>
      </w:r>
      <w:r>
        <w:rPr>
          <w:rFonts w:hint="eastAsia"/>
          <w:lang w:val="en-US" w:eastAsia="zh-CN"/>
        </w:rPr>
        <w:t>{{运维部}}人员全部参与培训</w:t>
      </w:r>
      <w:r>
        <w:t>，重点讲解了工单详情、问题列表、发布申请等新增功能的使用方法，参训人员</w:t>
      </w:r>
      <w:r>
        <w:rPr>
          <w:rFonts w:hint="eastAsia"/>
          <w:lang w:val="en-US" w:eastAsia="zh-CN"/>
        </w:rPr>
        <w:t>全部通过考试</w:t>
      </w:r>
      <w:r>
        <w:t>。</w:t>
      </w:r>
    </w:p>
    <w:p w14:paraId="0A6F3646">
      <w:pPr>
        <w:pStyle w:val="26"/>
        <w:bidi w:val="0"/>
      </w:pPr>
      <w:bookmarkStart w:id="22" w:name="heading_13"/>
      <w:bookmarkStart w:id="23" w:name="_Toc28879"/>
      <w:r>
        <w:t>运维人员备份总结</w:t>
      </w:r>
      <w:bookmarkEnd w:id="22"/>
      <w:bookmarkEnd w:id="23"/>
    </w:p>
    <w:p w14:paraId="085B55F3">
      <w:pPr>
        <w:pStyle w:val="28"/>
        <w:bidi w:val="0"/>
      </w:pPr>
      <w:bookmarkStart w:id="24" w:name="heading_14"/>
      <w:bookmarkStart w:id="25" w:name="_Toc1246"/>
      <w:r>
        <w:t>备份计划执行情况</w:t>
      </w:r>
      <w:bookmarkEnd w:id="24"/>
      <w:bookmarkEnd w:id="25"/>
    </w:p>
    <w:p w14:paraId="2043C29D">
      <w:pPr>
        <w:pStyle w:val="27"/>
        <w:bidi w:val="0"/>
      </w:pPr>
      <w:r>
        <w:t>根据《2026年度运维相关人员管理计划》，</w:t>
      </w:r>
      <w:r>
        <w:rPr>
          <w:rFonts w:hint="eastAsia"/>
          <w:lang w:val="en-US" w:eastAsia="zh-CN"/>
        </w:rPr>
        <w:t>截止2026年</w:t>
      </w:r>
      <w:r>
        <w:t>{{</w:t>
      </w:r>
      <w:r>
        <w:rPr>
          <w:rFonts w:hint="eastAsia"/>
          <w:lang w:eastAsia="zh-CN"/>
        </w:rPr>
        <w:t>报告月份</w:t>
      </w:r>
      <w:r>
        <w:t>}}</w:t>
      </w:r>
      <w:r>
        <w:rPr>
          <w:rFonts w:hint="eastAsia"/>
          <w:lang w:val="en-US" w:eastAsia="zh-CN"/>
        </w:rPr>
        <w:t>月，</w:t>
      </w:r>
      <w:r>
        <w:t>计划完成</w:t>
      </w:r>
      <w:r>
        <w:rPr>
          <w:rFonts w:hint="eastAsia"/>
          <w:lang w:eastAsia="zh-CN"/>
        </w:rPr>
        <w:t>{{运维部}}</w:t>
      </w:r>
      <w:r>
        <w:t>经理的AB岗备份工作，备份人数</w:t>
      </w:r>
      <w:r>
        <w:rPr>
          <w:rFonts w:hint="eastAsia"/>
          <w:lang w:val="en-US" w:eastAsia="zh-CN"/>
        </w:rPr>
        <w:t>{{备份人数}}</w:t>
      </w:r>
      <w:r>
        <w:t>人。</w:t>
      </w:r>
    </w:p>
    <w:p w14:paraId="5E5E0217">
      <w:pPr>
        <w:pStyle w:val="27"/>
        <w:bidi w:val="0"/>
      </w:pPr>
      <w:r>
        <w:t>截止</w:t>
      </w:r>
      <w:r>
        <w:rPr>
          <w:rFonts w:hint="eastAsia"/>
          <w:lang w:val="en-US" w:eastAsia="zh-CN"/>
        </w:rPr>
        <w:t>2026年</w:t>
      </w:r>
      <w:r>
        <w:t>{{</w:t>
      </w:r>
      <w:r>
        <w:rPr>
          <w:rFonts w:hint="eastAsia"/>
          <w:lang w:val="en-US" w:eastAsia="zh-CN"/>
        </w:rPr>
        <w:t>报告月份</w:t>
      </w:r>
      <w:r>
        <w:t>}}，已完成</w:t>
      </w:r>
      <w:r>
        <w:rPr>
          <w:rFonts w:hint="eastAsia"/>
          <w:lang w:val="en-US" w:eastAsia="zh-CN"/>
        </w:rPr>
        <w:t>{{备份详情}}</w:t>
      </w:r>
      <w:r>
        <w:t>备份配置，B岗人员已通过系统的知识传递与流程培训，掌握了A岗的核心职责与应急处置流程。{{</w:t>
      </w:r>
      <w:r>
        <w:rPr>
          <w:rFonts w:hint="eastAsia"/>
          <w:lang w:eastAsia="zh-CN"/>
        </w:rPr>
        <w:t>报告月份</w:t>
      </w:r>
      <w:r>
        <w:t>}}备份成功率达到{{</w:t>
      </w:r>
      <w:r>
        <w:rPr>
          <w:rFonts w:hint="eastAsia"/>
          <w:lang w:val="en-US" w:eastAsia="zh-CN"/>
        </w:rPr>
        <w:t>备份完成率</w:t>
      </w:r>
      <w:r>
        <w:t>}}。</w:t>
      </w:r>
    </w:p>
    <w:p w14:paraId="7049855D">
      <w:pPr>
        <w:pStyle w:val="28"/>
        <w:bidi w:val="0"/>
      </w:pPr>
      <w:bookmarkStart w:id="26" w:name="_Toc802"/>
      <w:bookmarkStart w:id="27" w:name="heading_15"/>
      <w:r>
        <w:t>备份完成情况</w:t>
      </w:r>
      <w:bookmarkEnd w:id="26"/>
      <w:bookmarkEnd w:id="27"/>
    </w:p>
    <w:tbl>
      <w:tblPr>
        <w:tblStyle w:val="20"/>
        <w:tblW w:w="962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1880"/>
        <w:gridCol w:w="2111"/>
        <w:gridCol w:w="1887"/>
        <w:gridCol w:w="1888"/>
        <w:gridCol w:w="1129"/>
      </w:tblGrid>
      <w:tr w14:paraId="547F2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524B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bookmarkStart w:id="28" w:name="_Toc8434"/>
            <w:bookmarkStart w:id="29" w:name="heading_16"/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编号</w:t>
            </w:r>
          </w:p>
        </w:tc>
        <w:tc>
          <w:tcPr>
            <w:tcW w:w="18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D75C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A岗位</w:t>
            </w:r>
          </w:p>
        </w:tc>
        <w:tc>
          <w:tcPr>
            <w:tcW w:w="21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2A8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B岗</w:t>
            </w:r>
          </w:p>
        </w:tc>
        <w:tc>
          <w:tcPr>
            <w:tcW w:w="18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063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计划备份人数</w:t>
            </w:r>
          </w:p>
        </w:tc>
        <w:tc>
          <w:tcPr>
            <w:tcW w:w="188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CB9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计划完成时间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509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完成情况</w:t>
            </w:r>
          </w:p>
        </w:tc>
      </w:tr>
      <w:tr w14:paraId="2BC3E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8503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61B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{{运维部}}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6BE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3966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D652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2026年3月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D17A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{{备份完成状态}}</w:t>
            </w:r>
          </w:p>
        </w:tc>
      </w:tr>
      <w:tr w14:paraId="0E53B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6AA9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1C5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EBCE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399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F5922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2026年4月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80727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{{备份完成状态}}</w:t>
            </w:r>
          </w:p>
        </w:tc>
      </w:tr>
      <w:tr w14:paraId="48F26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DAD1C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535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{{研发部}}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EA4F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系统架构师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3C1A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ABE3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月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092E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{{备份完成状态}}</w:t>
            </w:r>
          </w:p>
        </w:tc>
      </w:tr>
      <w:tr w14:paraId="032C1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F26A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3599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备件库经理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7F5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备件库管理专员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846C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B0CF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月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FDF8C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{{备份完成状态}}</w:t>
            </w:r>
          </w:p>
        </w:tc>
      </w:tr>
      <w:tr w14:paraId="4E044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14E0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DA10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}}</w:t>
            </w:r>
            <w:bookmarkStart w:id="48" w:name="_GoBack"/>
            <w:bookmarkEnd w:id="48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9B3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质量管理专员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4A6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9A8C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2026年7月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4043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{{备份完成状态}}</w:t>
            </w:r>
          </w:p>
        </w:tc>
      </w:tr>
      <w:bookmarkEnd w:id="28"/>
      <w:bookmarkEnd w:id="29"/>
    </w:tbl>
    <w:p w14:paraId="10927AB5">
      <w:pPr>
        <w:pStyle w:val="26"/>
        <w:bidi w:val="0"/>
      </w:pPr>
      <w:r>
        <w:t>运维人员绩效考核</w:t>
      </w:r>
    </w:p>
    <w:p w14:paraId="5E34B04E">
      <w:pPr>
        <w:pStyle w:val="28"/>
        <w:bidi w:val="0"/>
      </w:pPr>
      <w:bookmarkStart w:id="30" w:name="heading_17"/>
      <w:bookmarkStart w:id="31" w:name="_Toc26076"/>
      <w:r>
        <w:t>绩效考核执行情况</w:t>
      </w:r>
      <w:bookmarkEnd w:id="30"/>
      <w:bookmarkEnd w:id="31"/>
    </w:p>
    <w:p w14:paraId="59B3E02F">
      <w:pPr>
        <w:pStyle w:val="27"/>
        <w:bidi w:val="0"/>
      </w:pPr>
      <w:r>
        <w:t>根据《绩效考评管理办法》规定，</w:t>
      </w:r>
      <w:r>
        <w:rPr>
          <w:rFonts w:hint="eastAsia"/>
          <w:lang w:eastAsia="zh-CN"/>
        </w:rPr>
        <w:t>{{人力部}}</w:t>
      </w:r>
      <w:r>
        <w:t>按照绩效考核制度的要求，每月对公司各岗位人员进行了考核。</w:t>
      </w:r>
    </w:p>
    <w:p w14:paraId="6F89A287">
      <w:pPr>
        <w:pStyle w:val="27"/>
        <w:bidi w:val="0"/>
      </w:pPr>
      <w:r>
        <w:rPr>
          <w:rFonts w:hint="eastAsia"/>
          <w:lang w:val="en-US" w:eastAsia="zh-CN"/>
        </w:rPr>
        <w:t>截止2026年</w:t>
      </w:r>
      <w:r>
        <w:t>{{</w:t>
      </w:r>
      <w:r>
        <w:rPr>
          <w:rFonts w:hint="eastAsia"/>
          <w:lang w:val="en-US" w:eastAsia="zh-CN"/>
        </w:rPr>
        <w:t>报告月份</w:t>
      </w:r>
      <w:r>
        <w:t>}}绩效考核覆盖</w:t>
      </w:r>
      <w:r>
        <w:rPr>
          <w:rFonts w:hint="eastAsia"/>
          <w:lang w:eastAsia="zh-CN"/>
        </w:rPr>
        <w:t>{{运维部}}</w:t>
      </w:r>
      <w:r>
        <w:t>全体人员，考核内容包括工作计划完成情况、工作质量、服务态度等维度。考核结果如下：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567"/>
        <w:gridCol w:w="567"/>
        <w:gridCol w:w="620"/>
        <w:gridCol w:w="621"/>
        <w:gridCol w:w="621"/>
        <w:gridCol w:w="621"/>
        <w:gridCol w:w="621"/>
        <w:gridCol w:w="621"/>
        <w:gridCol w:w="621"/>
        <w:gridCol w:w="625"/>
        <w:gridCol w:w="627"/>
        <w:gridCol w:w="627"/>
      </w:tblGrid>
      <w:tr w14:paraId="24A09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9" w:type="dxa"/>
            <w:shd w:val="clear" w:color="auto" w:fill="auto"/>
          </w:tcPr>
          <w:p w14:paraId="0D79ADE8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</w:t>
            </w:r>
          </w:p>
        </w:tc>
        <w:tc>
          <w:tcPr>
            <w:tcW w:w="567" w:type="dxa"/>
            <w:shd w:val="clear" w:color="auto" w:fill="auto"/>
          </w:tcPr>
          <w:p w14:paraId="531677F6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1月</w:t>
            </w:r>
          </w:p>
        </w:tc>
        <w:tc>
          <w:tcPr>
            <w:tcW w:w="426" w:type="dxa"/>
            <w:shd w:val="clear" w:color="auto" w:fill="auto"/>
          </w:tcPr>
          <w:p w14:paraId="71CAAA05">
            <w:pPr>
              <w:widowControl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2月</w:t>
            </w:r>
          </w:p>
        </w:tc>
        <w:tc>
          <w:tcPr>
            <w:tcW w:w="628" w:type="dxa"/>
            <w:shd w:val="clear" w:color="auto" w:fill="auto"/>
          </w:tcPr>
          <w:p w14:paraId="56C5AB3B">
            <w:pPr>
              <w:widowControl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3月</w:t>
            </w:r>
          </w:p>
        </w:tc>
        <w:tc>
          <w:tcPr>
            <w:tcW w:w="629" w:type="dxa"/>
            <w:shd w:val="clear" w:color="auto" w:fill="auto"/>
          </w:tcPr>
          <w:p w14:paraId="09C330BB">
            <w:pPr>
              <w:widowControl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4月</w:t>
            </w:r>
          </w:p>
        </w:tc>
        <w:tc>
          <w:tcPr>
            <w:tcW w:w="629" w:type="dxa"/>
            <w:shd w:val="clear" w:color="auto" w:fill="auto"/>
          </w:tcPr>
          <w:p w14:paraId="0B69B494">
            <w:pPr>
              <w:widowControl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5月</w:t>
            </w:r>
          </w:p>
        </w:tc>
        <w:tc>
          <w:tcPr>
            <w:tcW w:w="629" w:type="dxa"/>
            <w:shd w:val="clear" w:color="auto" w:fill="auto"/>
          </w:tcPr>
          <w:p w14:paraId="096D06CA">
            <w:pPr>
              <w:widowControl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6月</w:t>
            </w:r>
          </w:p>
        </w:tc>
        <w:tc>
          <w:tcPr>
            <w:tcW w:w="629" w:type="dxa"/>
            <w:shd w:val="clear" w:color="auto" w:fill="auto"/>
          </w:tcPr>
          <w:p w14:paraId="378E3073">
            <w:pPr>
              <w:widowControl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7月</w:t>
            </w:r>
          </w:p>
        </w:tc>
        <w:tc>
          <w:tcPr>
            <w:tcW w:w="629" w:type="dxa"/>
            <w:shd w:val="clear" w:color="auto" w:fill="auto"/>
          </w:tcPr>
          <w:p w14:paraId="27FEC772">
            <w:pPr>
              <w:widowControl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8月</w:t>
            </w:r>
          </w:p>
        </w:tc>
        <w:tc>
          <w:tcPr>
            <w:tcW w:w="629" w:type="dxa"/>
            <w:shd w:val="clear" w:color="auto" w:fill="auto"/>
          </w:tcPr>
          <w:p w14:paraId="4BDD8B61">
            <w:pPr>
              <w:widowControl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9月</w:t>
            </w:r>
          </w:p>
        </w:tc>
        <w:tc>
          <w:tcPr>
            <w:tcW w:w="630" w:type="dxa"/>
            <w:shd w:val="clear" w:color="auto" w:fill="auto"/>
          </w:tcPr>
          <w:p w14:paraId="3515A9B7">
            <w:pPr>
              <w:widowControl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10月</w:t>
            </w:r>
          </w:p>
        </w:tc>
        <w:tc>
          <w:tcPr>
            <w:tcW w:w="631" w:type="dxa"/>
            <w:shd w:val="clear" w:color="auto" w:fill="auto"/>
          </w:tcPr>
          <w:p w14:paraId="69196D08">
            <w:pPr>
              <w:widowControl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11月</w:t>
            </w:r>
          </w:p>
        </w:tc>
        <w:tc>
          <w:tcPr>
            <w:tcW w:w="631" w:type="dxa"/>
            <w:shd w:val="clear" w:color="auto" w:fill="auto"/>
          </w:tcPr>
          <w:p w14:paraId="5924385A">
            <w:pPr>
              <w:widowControl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12月</w:t>
            </w:r>
          </w:p>
        </w:tc>
      </w:tr>
      <w:tr w14:paraId="16245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9" w:type="dxa"/>
            <w:shd w:val="clear" w:color="auto" w:fill="auto"/>
          </w:tcPr>
          <w:p w14:paraId="6DD9BFDB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合格率</w:t>
            </w:r>
          </w:p>
        </w:tc>
        <w:tc>
          <w:tcPr>
            <w:tcW w:w="567" w:type="dxa"/>
            <w:shd w:val="clear" w:color="auto" w:fill="auto"/>
          </w:tcPr>
          <w:p w14:paraId="34D8DDE1">
            <w:pPr>
              <w:widowControl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{{绩效1}}</w:t>
            </w:r>
          </w:p>
        </w:tc>
        <w:tc>
          <w:tcPr>
            <w:tcW w:w="426" w:type="dxa"/>
            <w:shd w:val="clear" w:color="auto" w:fill="auto"/>
          </w:tcPr>
          <w:p w14:paraId="5741AD73">
            <w:pPr>
              <w:widowControl w:val="0"/>
            </w:pPr>
            <w:r>
              <w:rPr>
                <w:rFonts w:hint="eastAsia"/>
                <w:lang w:val="en-US" w:eastAsia="zh-CN"/>
              </w:rPr>
              <w:t>{{绩效2}}</w:t>
            </w:r>
          </w:p>
        </w:tc>
        <w:tc>
          <w:tcPr>
            <w:tcW w:w="628" w:type="dxa"/>
            <w:shd w:val="clear" w:color="auto" w:fill="auto"/>
          </w:tcPr>
          <w:p w14:paraId="00C502A1">
            <w:pPr>
              <w:widowControl w:val="0"/>
            </w:pPr>
            <w:r>
              <w:rPr>
                <w:rFonts w:hint="eastAsia"/>
                <w:lang w:val="en-US" w:eastAsia="zh-CN"/>
              </w:rPr>
              <w:t>{{绩效3}}</w:t>
            </w:r>
          </w:p>
        </w:tc>
        <w:tc>
          <w:tcPr>
            <w:tcW w:w="629" w:type="dxa"/>
            <w:shd w:val="clear" w:color="auto" w:fill="auto"/>
          </w:tcPr>
          <w:p w14:paraId="6ACE438E">
            <w:pPr>
              <w:widowControl w:val="0"/>
            </w:pPr>
            <w:r>
              <w:rPr>
                <w:rFonts w:hint="eastAsia"/>
                <w:lang w:val="en-US" w:eastAsia="zh-CN"/>
              </w:rPr>
              <w:t>{{绩效4}}</w:t>
            </w:r>
          </w:p>
        </w:tc>
        <w:tc>
          <w:tcPr>
            <w:tcW w:w="629" w:type="dxa"/>
            <w:shd w:val="clear" w:color="auto" w:fill="auto"/>
          </w:tcPr>
          <w:p w14:paraId="2FAB23EB">
            <w:pPr>
              <w:widowControl w:val="0"/>
            </w:pPr>
            <w:r>
              <w:rPr>
                <w:rFonts w:hint="eastAsia"/>
                <w:lang w:val="en-US" w:eastAsia="zh-CN"/>
              </w:rPr>
              <w:t>{{绩效5}}</w:t>
            </w:r>
          </w:p>
        </w:tc>
        <w:tc>
          <w:tcPr>
            <w:tcW w:w="629" w:type="dxa"/>
            <w:shd w:val="clear" w:color="auto" w:fill="auto"/>
          </w:tcPr>
          <w:p w14:paraId="51B1E3B8">
            <w:pPr>
              <w:widowControl w:val="0"/>
            </w:pPr>
            <w:r>
              <w:rPr>
                <w:rFonts w:hint="eastAsia"/>
                <w:lang w:val="en-US" w:eastAsia="zh-CN"/>
              </w:rPr>
              <w:t>{{绩效6}}</w:t>
            </w:r>
          </w:p>
        </w:tc>
        <w:tc>
          <w:tcPr>
            <w:tcW w:w="629" w:type="dxa"/>
            <w:shd w:val="clear" w:color="auto" w:fill="auto"/>
          </w:tcPr>
          <w:p w14:paraId="56D624BE">
            <w:pPr>
              <w:widowControl w:val="0"/>
            </w:pPr>
            <w:r>
              <w:rPr>
                <w:rFonts w:hint="eastAsia"/>
                <w:lang w:val="en-US" w:eastAsia="zh-CN"/>
              </w:rPr>
              <w:t>{{绩效7}}</w:t>
            </w:r>
          </w:p>
        </w:tc>
        <w:tc>
          <w:tcPr>
            <w:tcW w:w="629" w:type="dxa"/>
            <w:shd w:val="clear" w:color="auto" w:fill="auto"/>
          </w:tcPr>
          <w:p w14:paraId="5601381C">
            <w:pPr>
              <w:widowControl w:val="0"/>
            </w:pPr>
            <w:r>
              <w:rPr>
                <w:rFonts w:hint="eastAsia"/>
                <w:lang w:val="en-US" w:eastAsia="zh-CN"/>
              </w:rPr>
              <w:t>{{绩效8}}</w:t>
            </w:r>
          </w:p>
        </w:tc>
        <w:tc>
          <w:tcPr>
            <w:tcW w:w="629" w:type="dxa"/>
            <w:shd w:val="clear" w:color="auto" w:fill="auto"/>
          </w:tcPr>
          <w:p w14:paraId="09209718">
            <w:pPr>
              <w:widowControl w:val="0"/>
            </w:pPr>
            <w:r>
              <w:rPr>
                <w:rFonts w:hint="eastAsia"/>
                <w:lang w:val="en-US" w:eastAsia="zh-CN"/>
              </w:rPr>
              <w:t>{{绩效9}}</w:t>
            </w:r>
          </w:p>
        </w:tc>
        <w:tc>
          <w:tcPr>
            <w:tcW w:w="630" w:type="dxa"/>
            <w:shd w:val="clear" w:color="auto" w:fill="auto"/>
          </w:tcPr>
          <w:p w14:paraId="433596CA">
            <w:pPr>
              <w:widowControl w:val="0"/>
            </w:pPr>
            <w:r>
              <w:rPr>
                <w:rFonts w:hint="eastAsia"/>
                <w:lang w:val="en-US" w:eastAsia="zh-CN"/>
              </w:rPr>
              <w:t>{{绩效10}}</w:t>
            </w:r>
          </w:p>
        </w:tc>
        <w:tc>
          <w:tcPr>
            <w:tcW w:w="631" w:type="dxa"/>
            <w:shd w:val="clear" w:color="auto" w:fill="auto"/>
          </w:tcPr>
          <w:p w14:paraId="015BFF52">
            <w:pPr>
              <w:widowControl w:val="0"/>
            </w:pPr>
            <w:r>
              <w:rPr>
                <w:rFonts w:hint="eastAsia"/>
                <w:lang w:val="en-US" w:eastAsia="zh-CN"/>
              </w:rPr>
              <w:t>{{绩效11}}</w:t>
            </w:r>
          </w:p>
        </w:tc>
        <w:tc>
          <w:tcPr>
            <w:tcW w:w="631" w:type="dxa"/>
            <w:shd w:val="clear" w:color="auto" w:fill="auto"/>
          </w:tcPr>
          <w:p w14:paraId="729DA4C7">
            <w:pPr>
              <w:widowControl w:val="0"/>
            </w:pPr>
            <w:r>
              <w:rPr>
                <w:rFonts w:hint="eastAsia"/>
                <w:lang w:val="en-US" w:eastAsia="zh-CN"/>
              </w:rPr>
              <w:t>{{绩效12}}</w:t>
            </w:r>
          </w:p>
        </w:tc>
      </w:tr>
    </w:tbl>
    <w:p w14:paraId="59152502">
      <w:pPr>
        <w:pStyle w:val="27"/>
        <w:bidi w:val="0"/>
      </w:pPr>
    </w:p>
    <w:p w14:paraId="4AEC949F">
      <w:pPr>
        <w:pStyle w:val="27"/>
        <w:bidi w:val="0"/>
      </w:pPr>
      <w:r>
        <w:t>根据统计，</w:t>
      </w:r>
      <w:r>
        <w:rPr>
          <w:rFonts w:hint="eastAsia"/>
          <w:lang w:val="en-US" w:eastAsia="zh-CN"/>
        </w:rPr>
        <w:t>截止2026年</w:t>
      </w:r>
      <w:r>
        <w:t>{{</w:t>
      </w:r>
      <w:r>
        <w:rPr>
          <w:rFonts w:hint="eastAsia"/>
          <w:lang w:eastAsia="zh-CN"/>
        </w:rPr>
        <w:t>报告月份</w:t>
      </w:r>
      <w:r>
        <w:t>}}运维服务各部门月度考核合格率均超过考核指标要求。针对绩效不及格员工，已进行有效的绩效沟通与绩效改进计划，并监督实施。</w:t>
      </w:r>
    </w:p>
    <w:p w14:paraId="5366861D">
      <w:pPr>
        <w:pStyle w:val="28"/>
        <w:bidi w:val="0"/>
      </w:pPr>
      <w:bookmarkStart w:id="32" w:name="heading_18"/>
      <w:bookmarkStart w:id="33" w:name="_Toc17276"/>
      <w:r>
        <w:t>考核结果应用</w:t>
      </w:r>
      <w:bookmarkEnd w:id="32"/>
      <w:bookmarkEnd w:id="33"/>
    </w:p>
    <w:p w14:paraId="5342C063">
      <w:pPr>
        <w:pStyle w:val="27"/>
        <w:bidi w:val="0"/>
      </w:pPr>
      <w:r>
        <w:t>考核结果已作为员工绩效工资发放的依据，同时对考核中发现的共性问题（如服务报告规范性）进行了总结，将在后续培训中重点强化。</w:t>
      </w:r>
    </w:p>
    <w:p w14:paraId="670B32E2">
      <w:pPr>
        <w:pStyle w:val="26"/>
        <w:bidi w:val="0"/>
      </w:pPr>
      <w:bookmarkStart w:id="34" w:name="heading_19"/>
      <w:bookmarkStart w:id="35" w:name="_Toc20273"/>
      <w:r>
        <w:rPr>
          <w:rFonts w:hint="eastAsia"/>
          <w:lang w:val="en-US" w:eastAsia="zh-CN"/>
        </w:rPr>
        <w:t>能力</w:t>
      </w:r>
      <w:r>
        <w:t>评价</w:t>
      </w:r>
      <w:bookmarkEnd w:id="34"/>
      <w:bookmarkEnd w:id="35"/>
    </w:p>
    <w:p w14:paraId="239FFCB5">
      <w:pPr>
        <w:pStyle w:val="27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{{能力评价内容}}</w:t>
      </w:r>
    </w:p>
    <w:p w14:paraId="387C543B">
      <w:pPr>
        <w:pStyle w:val="26"/>
        <w:bidi w:val="0"/>
      </w:pPr>
      <w:bookmarkStart w:id="36" w:name="heading_20"/>
      <w:bookmarkStart w:id="37" w:name="_Toc327"/>
      <w:r>
        <w:t>培训经费执行情况</w:t>
      </w:r>
      <w:bookmarkEnd w:id="36"/>
      <w:bookmarkEnd w:id="37"/>
    </w:p>
    <w:p w14:paraId="3576A68C">
      <w:pPr>
        <w:pStyle w:val="27"/>
        <w:bidi w:val="0"/>
      </w:pPr>
      <w:r>
        <w:t>2026年度，公司严格按照《2026年度运维相关人员管理计划》中的培训经费管理要求执行，</w:t>
      </w:r>
      <w:r>
        <w:rPr>
          <w:rFonts w:hint="eastAsia"/>
          <w:lang w:val="en-US" w:eastAsia="zh-CN"/>
        </w:rPr>
        <w:t>截止2026年</w:t>
      </w:r>
      <w:r>
        <w:t>{{</w:t>
      </w:r>
      <w:r>
        <w:rPr>
          <w:rFonts w:hint="eastAsia"/>
          <w:lang w:eastAsia="zh-CN"/>
        </w:rPr>
        <w:t>报告月份</w:t>
      </w:r>
      <w:r>
        <w:t>}}具体情况如下：</w:t>
      </w:r>
    </w:p>
    <w:p w14:paraId="1DC088DB">
      <w:pPr>
        <w:pStyle w:val="28"/>
        <w:bidi w:val="0"/>
      </w:pPr>
      <w:bookmarkStart w:id="38" w:name="heading_21"/>
      <w:bookmarkStart w:id="39" w:name="_Toc25241"/>
      <w:r>
        <w:t>经费预算</w:t>
      </w:r>
      <w:bookmarkEnd w:id="38"/>
      <w:bookmarkEnd w:id="39"/>
    </w:p>
    <w:p w14:paraId="2299D728">
      <w:pPr>
        <w:pStyle w:val="27"/>
        <w:bidi w:val="0"/>
      </w:pPr>
      <w:r>
        <w:t>2026年度培训经费预算总额为12万元。</w:t>
      </w:r>
    </w:p>
    <w:p w14:paraId="40E58346">
      <w:pPr>
        <w:pStyle w:val="28"/>
        <w:bidi w:val="0"/>
      </w:pPr>
      <w:bookmarkStart w:id="40" w:name="_Toc12886"/>
      <w:bookmarkStart w:id="41" w:name="heading_22"/>
      <w:r>
        <w:t>经费执行</w:t>
      </w:r>
      <w:bookmarkEnd w:id="40"/>
      <w:bookmarkEnd w:id="41"/>
    </w:p>
    <w:p w14:paraId="07A680B5">
      <w:pPr>
        <w:pStyle w:val="27"/>
        <w:bidi w:val="0"/>
      </w:pPr>
      <w:r>
        <w:t>截至</w:t>
      </w:r>
      <w:r>
        <w:rPr>
          <w:rFonts w:hint="eastAsia"/>
          <w:lang w:val="en-US" w:eastAsia="zh-CN"/>
        </w:rPr>
        <w:t>2026年</w:t>
      </w:r>
      <w:r>
        <w:t>{{</w:t>
      </w:r>
      <w:r>
        <w:rPr>
          <w:rFonts w:hint="eastAsia"/>
          <w:lang w:eastAsia="zh-CN"/>
        </w:rPr>
        <w:t>报告月份</w:t>
      </w:r>
      <w:r>
        <w:t>}}实际支出培训经费</w:t>
      </w:r>
      <w:r>
        <w:rPr>
          <w:rFonts w:hint="eastAsia"/>
          <w:lang w:val="en-US" w:eastAsia="zh-CN"/>
        </w:rPr>
        <w:t>{{培训经费}}</w:t>
      </w:r>
      <w:r>
        <w:t>万元，</w:t>
      </w:r>
      <w:r>
        <w:rPr>
          <w:rFonts w:hint="eastAsia"/>
          <w:lang w:val="en-US" w:eastAsia="zh-CN"/>
        </w:rPr>
        <w:t>{{经费明细}}</w:t>
      </w:r>
      <w:r>
        <w:t>。</w:t>
      </w:r>
    </w:p>
    <w:p w14:paraId="62785681">
      <w:pPr>
        <w:pStyle w:val="28"/>
        <w:bidi w:val="0"/>
      </w:pPr>
      <w:bookmarkStart w:id="42" w:name="heading_23"/>
      <w:bookmarkStart w:id="43" w:name="_Toc6323"/>
      <w:r>
        <w:t>经费审批</w:t>
      </w:r>
      <w:bookmarkEnd w:id="42"/>
      <w:bookmarkEnd w:id="43"/>
    </w:p>
    <w:p w14:paraId="04D8F8E7">
      <w:pPr>
        <w:pStyle w:val="27"/>
        <w:bidi w:val="0"/>
      </w:pPr>
      <w:r>
        <w:t>所有培训经费支出均按制度要求履行审批流程，单次费用2000元以下的由</w:t>
      </w:r>
      <w:r>
        <w:rPr>
          <w:rFonts w:hint="eastAsia"/>
          <w:lang w:eastAsia="zh-CN"/>
        </w:rPr>
        <w:t>{{人力部}}</w:t>
      </w:r>
      <w:r>
        <w:t>经理审批，2000-5000元的由副总经理审批。</w:t>
      </w:r>
      <w:r>
        <w:rPr>
          <w:rFonts w:hint="eastAsia"/>
          <w:lang w:eastAsia="zh-CN"/>
        </w:rPr>
        <w:t>{{人力部}}</w:t>
      </w:r>
      <w:r>
        <w:t>已建立培训经费使用台账，记录完整、可追溯。</w:t>
      </w:r>
    </w:p>
    <w:p w14:paraId="1838EEE1">
      <w:pPr>
        <w:pStyle w:val="28"/>
        <w:bidi w:val="0"/>
      </w:pPr>
      <w:bookmarkStart w:id="44" w:name="heading_24"/>
      <w:bookmarkStart w:id="45" w:name="_Toc4818"/>
      <w:r>
        <w:t>经费使用效果</w:t>
      </w:r>
      <w:bookmarkEnd w:id="44"/>
      <w:bookmarkEnd w:id="45"/>
    </w:p>
    <w:p w14:paraId="5D8E64C5">
      <w:pPr>
        <w:pStyle w:val="27"/>
        <w:bidi w:val="0"/>
      </w:pPr>
      <w:r>
        <w:rPr>
          <w:rFonts w:hint="eastAsia"/>
          <w:lang w:val="en-US" w:eastAsia="zh-CN"/>
        </w:rPr>
        <w:t>截止2026年</w:t>
      </w:r>
      <w:r>
        <w:t>{{</w:t>
      </w:r>
      <w:r>
        <w:rPr>
          <w:rFonts w:hint="eastAsia"/>
          <w:lang w:eastAsia="zh-CN"/>
        </w:rPr>
        <w:t>报告月份</w:t>
      </w:r>
      <w:r>
        <w:t>}}培训经费的投入有效保障了年度培训计划的顺利启动，参训人员反馈良好，ITSS标准深化培训后考核合格率达到</w:t>
      </w:r>
      <w:r>
        <w:rPr>
          <w:rFonts w:hint="eastAsia"/>
          <w:lang w:val="en-US" w:eastAsia="zh-CN"/>
        </w:rPr>
        <w:t>100%</w:t>
      </w:r>
      <w:r>
        <w:t>，运维服务工具使用培训后实操能力明显提升。</w:t>
      </w:r>
    </w:p>
    <w:p w14:paraId="61C22107">
      <w:pPr>
        <w:pStyle w:val="26"/>
        <w:bidi w:val="0"/>
      </w:pPr>
      <w:bookmarkStart w:id="46" w:name="_Toc21245"/>
      <w:bookmarkStart w:id="47" w:name="heading_28"/>
      <w:r>
        <w:t>下</w:t>
      </w:r>
      <w:r>
        <w:rPr>
          <w:rFonts w:hint="eastAsia"/>
          <w:lang w:val="en-US" w:eastAsia="zh-CN"/>
        </w:rPr>
        <w:t>阶段</w:t>
      </w:r>
      <w:r>
        <w:t>工作计划</w:t>
      </w:r>
      <w:bookmarkEnd w:id="46"/>
      <w:bookmarkEnd w:id="47"/>
    </w:p>
    <w:p w14:paraId="0AB9811B">
      <w:pPr>
        <w:pStyle w:val="27"/>
        <w:bidi w:val="0"/>
      </w:pPr>
      <w:r>
        <w:t>根据《2026年度运维相关人员管理计划》，</w:t>
      </w:r>
      <w:r>
        <w:rPr>
          <w:rFonts w:hint="eastAsia"/>
          <w:lang w:val="en-US" w:eastAsia="zh-CN"/>
        </w:rPr>
        <w:t>下阶段</w:t>
      </w:r>
      <w:r>
        <w:t>重点工作安排如下：</w:t>
      </w:r>
    </w:p>
    <w:p w14:paraId="2F3D2FE2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招聘工作：</w:t>
      </w:r>
      <w:r>
        <w:rPr>
          <w:rFonts w:hint="eastAsia"/>
          <w:lang w:val="en-US" w:eastAsia="zh-CN"/>
        </w:rPr>
        <w:t>{{下阶段招聘工作计划}}</w:t>
      </w:r>
    </w:p>
    <w:p w14:paraId="5E702404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储备工作：</w:t>
      </w:r>
      <w:r>
        <w:rPr>
          <w:rFonts w:hint="eastAsia"/>
          <w:lang w:val="en-US" w:eastAsia="zh-CN"/>
        </w:rPr>
        <w:t>{{下阶段储备计划}}</w:t>
      </w:r>
    </w:p>
    <w:p w14:paraId="6145983A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培训工作：</w:t>
      </w:r>
      <w:r>
        <w:rPr>
          <w:rFonts w:hint="eastAsia"/>
          <w:lang w:val="en-US" w:eastAsia="zh-CN"/>
        </w:rPr>
        <w:t>{{下阶段培训计划}}</w:t>
      </w:r>
    </w:p>
    <w:p w14:paraId="72AD3D47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备份工作：</w:t>
      </w:r>
      <w:r>
        <w:rPr>
          <w:rFonts w:hint="eastAsia"/>
          <w:lang w:val="en-US" w:eastAsia="zh-CN"/>
        </w:rPr>
        <w:t>{{下阶段备份计划}}</w:t>
      </w:r>
    </w:p>
    <w:p w14:paraId="2703FD38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制度优化：完成绩效考核指标优化方案的制定</w:t>
      </w:r>
    </w:p>
    <w:p w14:paraId="469A141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F23CFA5"/>
    <w:multiLevelType w:val="singleLevel"/>
    <w:tmpl w:val="0F23CF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707E5A"/>
    <w:rsid w:val="018E53BB"/>
    <w:rsid w:val="019E3499"/>
    <w:rsid w:val="026954E1"/>
    <w:rsid w:val="02724369"/>
    <w:rsid w:val="033124A2"/>
    <w:rsid w:val="042F2C5C"/>
    <w:rsid w:val="048C3FC4"/>
    <w:rsid w:val="04E27D64"/>
    <w:rsid w:val="04EA1D8D"/>
    <w:rsid w:val="05705712"/>
    <w:rsid w:val="05847B67"/>
    <w:rsid w:val="059E114A"/>
    <w:rsid w:val="066E3E64"/>
    <w:rsid w:val="074462C1"/>
    <w:rsid w:val="081671BD"/>
    <w:rsid w:val="08645198"/>
    <w:rsid w:val="08A02454"/>
    <w:rsid w:val="08B91176"/>
    <w:rsid w:val="08DA2C94"/>
    <w:rsid w:val="0A2335B9"/>
    <w:rsid w:val="0B7F70D3"/>
    <w:rsid w:val="0BDC6D23"/>
    <w:rsid w:val="0E1529C0"/>
    <w:rsid w:val="0E3746E5"/>
    <w:rsid w:val="0ECB33B7"/>
    <w:rsid w:val="0EDD374E"/>
    <w:rsid w:val="0F8534EB"/>
    <w:rsid w:val="0FCD6BF1"/>
    <w:rsid w:val="12AE1574"/>
    <w:rsid w:val="12FA4C54"/>
    <w:rsid w:val="135F5BC1"/>
    <w:rsid w:val="13C92283"/>
    <w:rsid w:val="171657DF"/>
    <w:rsid w:val="171B2DF6"/>
    <w:rsid w:val="172C4788"/>
    <w:rsid w:val="179E31D7"/>
    <w:rsid w:val="17E70F2A"/>
    <w:rsid w:val="1807337A"/>
    <w:rsid w:val="1990114D"/>
    <w:rsid w:val="1B1464DA"/>
    <w:rsid w:val="1B45106B"/>
    <w:rsid w:val="1B5A1A13"/>
    <w:rsid w:val="1B837219"/>
    <w:rsid w:val="1C552E72"/>
    <w:rsid w:val="1D3A4182"/>
    <w:rsid w:val="1DD55D7B"/>
    <w:rsid w:val="1E2F7187"/>
    <w:rsid w:val="1FAF4A23"/>
    <w:rsid w:val="1FC04878"/>
    <w:rsid w:val="1FDE2C12"/>
    <w:rsid w:val="1FF552D5"/>
    <w:rsid w:val="201523AC"/>
    <w:rsid w:val="216822CF"/>
    <w:rsid w:val="21C01D85"/>
    <w:rsid w:val="23377209"/>
    <w:rsid w:val="23A61C17"/>
    <w:rsid w:val="23B15197"/>
    <w:rsid w:val="23D031BA"/>
    <w:rsid w:val="25B06DFF"/>
    <w:rsid w:val="26EF48E0"/>
    <w:rsid w:val="27FC0C7C"/>
    <w:rsid w:val="299917D5"/>
    <w:rsid w:val="2A3F7D0A"/>
    <w:rsid w:val="2A545EC3"/>
    <w:rsid w:val="2A8A20AC"/>
    <w:rsid w:val="2A900FAD"/>
    <w:rsid w:val="2ADE792E"/>
    <w:rsid w:val="2B0C3777"/>
    <w:rsid w:val="2B75736F"/>
    <w:rsid w:val="2C2129EC"/>
    <w:rsid w:val="2C801C91"/>
    <w:rsid w:val="2C8763E0"/>
    <w:rsid w:val="2DAD1E76"/>
    <w:rsid w:val="2DEC6E83"/>
    <w:rsid w:val="2F4A02C4"/>
    <w:rsid w:val="2FA04C6F"/>
    <w:rsid w:val="3191233E"/>
    <w:rsid w:val="31BD4C5C"/>
    <w:rsid w:val="31BE3C35"/>
    <w:rsid w:val="32A95BEF"/>
    <w:rsid w:val="35026CE9"/>
    <w:rsid w:val="354D212C"/>
    <w:rsid w:val="35F40F8A"/>
    <w:rsid w:val="362829E1"/>
    <w:rsid w:val="3639699D"/>
    <w:rsid w:val="369D6F2B"/>
    <w:rsid w:val="36B4567F"/>
    <w:rsid w:val="36D82B86"/>
    <w:rsid w:val="37E57680"/>
    <w:rsid w:val="39162FC5"/>
    <w:rsid w:val="3974744C"/>
    <w:rsid w:val="39E51DE1"/>
    <w:rsid w:val="3A3556CD"/>
    <w:rsid w:val="3A8F27F3"/>
    <w:rsid w:val="3B532D50"/>
    <w:rsid w:val="3BDC22A4"/>
    <w:rsid w:val="3ECB6600"/>
    <w:rsid w:val="3F443026"/>
    <w:rsid w:val="3FB4306E"/>
    <w:rsid w:val="402F35CE"/>
    <w:rsid w:val="42764AD5"/>
    <w:rsid w:val="42A45AE6"/>
    <w:rsid w:val="44973A89"/>
    <w:rsid w:val="44F473BA"/>
    <w:rsid w:val="45FB3C6E"/>
    <w:rsid w:val="47E81FD1"/>
    <w:rsid w:val="4A9A1CA8"/>
    <w:rsid w:val="4B4306B7"/>
    <w:rsid w:val="4C7277D3"/>
    <w:rsid w:val="4D20220D"/>
    <w:rsid w:val="4D6E000B"/>
    <w:rsid w:val="4EC53B88"/>
    <w:rsid w:val="4F1836D9"/>
    <w:rsid w:val="519F4BB4"/>
    <w:rsid w:val="51BC69A8"/>
    <w:rsid w:val="51E53F16"/>
    <w:rsid w:val="52392FCC"/>
    <w:rsid w:val="52B34ED1"/>
    <w:rsid w:val="53E977FC"/>
    <w:rsid w:val="54D062C6"/>
    <w:rsid w:val="562468CA"/>
    <w:rsid w:val="585D5314"/>
    <w:rsid w:val="599E2F54"/>
    <w:rsid w:val="5A9F4452"/>
    <w:rsid w:val="5B2F7149"/>
    <w:rsid w:val="5E9D51B4"/>
    <w:rsid w:val="605424A1"/>
    <w:rsid w:val="620C4E5B"/>
    <w:rsid w:val="625D20D1"/>
    <w:rsid w:val="634A36E8"/>
    <w:rsid w:val="638906B4"/>
    <w:rsid w:val="64153CF6"/>
    <w:rsid w:val="6735666F"/>
    <w:rsid w:val="68C301C4"/>
    <w:rsid w:val="68D4417F"/>
    <w:rsid w:val="6AA15C58"/>
    <w:rsid w:val="6BBB2063"/>
    <w:rsid w:val="6BEB1F0C"/>
    <w:rsid w:val="6C832144"/>
    <w:rsid w:val="6D9C140F"/>
    <w:rsid w:val="6E3063D0"/>
    <w:rsid w:val="70254AB1"/>
    <w:rsid w:val="72A93F2E"/>
    <w:rsid w:val="73404336"/>
    <w:rsid w:val="737F0D4A"/>
    <w:rsid w:val="73A50512"/>
    <w:rsid w:val="73D95384"/>
    <w:rsid w:val="758236C9"/>
    <w:rsid w:val="75F3284D"/>
    <w:rsid w:val="76CA0970"/>
    <w:rsid w:val="78241E78"/>
    <w:rsid w:val="791F518A"/>
    <w:rsid w:val="79DF2984"/>
    <w:rsid w:val="7A387111"/>
    <w:rsid w:val="7ABA51ED"/>
    <w:rsid w:val="7B590514"/>
    <w:rsid w:val="7B5B3614"/>
    <w:rsid w:val="7B694BFB"/>
    <w:rsid w:val="7BF90E6D"/>
    <w:rsid w:val="7C0A5318"/>
    <w:rsid w:val="7C6B49A3"/>
    <w:rsid w:val="7CBB5D4D"/>
    <w:rsid w:val="7CCA495E"/>
    <w:rsid w:val="7E3A287F"/>
    <w:rsid w:val="7E4F561E"/>
    <w:rsid w:val="7E4F632A"/>
    <w:rsid w:val="7EE5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font11"/>
    <w:basedOn w:val="22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774</Words>
  <Characters>937</Characters>
  <Lines>0</Lines>
  <Paragraphs>0</Paragraphs>
  <TotalTime>1</TotalTime>
  <ScaleCrop>false</ScaleCrop>
  <LinksUpToDate>false</LinksUpToDate>
  <CharactersWithSpaces>1037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2025-08-20T18:17:00Z</dcterms:created>
  <dc:creator>18442</dc:creator>
  <cp:lastModifiedBy>郝宇</cp:lastModifiedBy>
  <dcterms:modified xsi:type="dcterms:W3CDTF">2026-06-14T17:58:09Z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40959837A3054AD49241195A5D64FE80_12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