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6998"/>
    </w:p>
    <w:p>
      <w:pPr>
        <w:pStyle w:val="a1"/>
        <w:bidi w:val="0"/>
      </w:pPr>
      <w:r>
        <w:t>应急演练总结报告</w:t>
      </w:r>
      <w:bookmarkEnd w:id="0"/>
    </w:p>
    <w:p>
      <w:pPr>
        <w:bidi w:val="0"/>
      </w:pPr>
    </w:p>
    <w:p>
      <w:pPr>
        <w:pStyle w:val="a2"/>
        <w:bidi w:val="0"/>
      </w:pPr>
      <w:bookmarkStart w:id="1" w:name="_Toc28910"/>
      <w:r>
        <w:t>江苏云储智能科技有限公司</w:t>
      </w:r>
      <w:bookmarkEnd w:id="1"/>
    </w:p>
    <w:p>
      <w:pPr>
        <w:spacing w:before="117" w:line="219" w:lineRule="auto"/>
        <w:jc w:val="center"/>
        <w:rPr>
          <w:rFonts w:ascii="宋体" w:eastAsia="宋体" w:hAnsi="宋体" w:cs="宋体" w:hint="default"/>
          <w:spacing w:val="-1"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36"/>
          <w:szCs w:val="36"/>
          <w:lang w:val="en-US" w:eastAsia="zh-CN"/>
        </w:rPr>
        <w:t>2025年10月20日</w:t>
      </w:r>
    </w:p>
    <w:p>
      <w:pPr>
        <w:jc w:val="center"/>
        <w:rPr>
          <w:rFonts w:ascii="宋体" w:eastAsia="宋体" w:hAnsi="宋体" w:cs="宋体"/>
          <w:b/>
          <w:bCs/>
          <w:spacing w:val="6"/>
          <w:sz w:val="31"/>
          <w:szCs w:val="31"/>
        </w:rPr>
      </w:pPr>
      <w:r>
        <w:rPr>
          <w:rFonts w:ascii="宋体" w:eastAsia="宋体" w:hAnsi="宋体" w:cs="宋体"/>
          <w:b/>
          <w:bCs/>
          <w:spacing w:val="6"/>
          <w:sz w:val="31"/>
          <w:szCs w:val="31"/>
        </w:rPr>
        <w:br w:type="page"/>
      </w:r>
    </w:p>
    <w:p>
      <w:pPr>
        <w:spacing w:before="91" w:line="220" w:lineRule="auto"/>
        <w:ind w:left="3811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24056"/>
      <w:bookmarkStart w:id="3" w:name="_Toc23866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  <w:bookmarkEnd w:id="3"/>
    </w:p>
    <w:p>
      <w:pPr>
        <w:spacing w:line="131" w:lineRule="exact"/>
      </w:pPr>
    </w:p>
    <w:tbl>
      <w:tblPr>
        <w:tblStyle w:val="TableNormal0"/>
        <w:tblW w:w="9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>
        <w:tblPrEx>
          <w:tblW w:w="914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  <w:jc w:val="center"/>
        </w:trPr>
        <w:tc>
          <w:tcPr>
            <w:tcW w:w="1711" w:type="dxa"/>
          </w:tcPr>
          <w:p>
            <w:pPr>
              <w:pStyle w:val="TableText"/>
              <w:spacing w:before="125" w:line="325" w:lineRule="auto"/>
              <w:ind w:right="250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应急演练总结报告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ZNHFYJYA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>
            <w:pPr>
              <w:pStyle w:val="TableText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>
            <w:pPr>
              <w:pStyle w:val="TableText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  <w:jc w:val="center"/>
        </w:trPr>
        <w:tc>
          <w:tcPr>
            <w:tcW w:w="1711" w:type="dxa"/>
          </w:tcPr>
          <w:p>
            <w:pPr>
              <w:pStyle w:val="TableText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>
            <w:pPr>
              <w:pStyle w:val="TableText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>
            <w:pPr>
              <w:pStyle w:val="TableText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>
            <w:pPr>
              <w:pStyle w:val="TableText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>
            <w:pPr>
              <w:pStyle w:val="TableText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/>
          <w:jc w:val="center"/>
        </w:trPr>
        <w:tc>
          <w:tcPr>
            <w:tcW w:w="1711" w:type="dxa"/>
          </w:tcPr>
          <w:p>
            <w:pPr>
              <w:pStyle w:val="TableText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>
            <w:pPr>
              <w:pStyle w:val="TableText"/>
              <w:spacing w:before="162"/>
              <w:ind w:left="313"/>
              <w:rPr>
                <w:rFonts w:eastAsia="仿宋" w:hint="default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41" w:type="dxa"/>
          </w:tcPr>
          <w:p>
            <w:pPr>
              <w:pStyle w:val="TableText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>
            <w:pPr>
              <w:pStyle w:val="TableText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郑云</w:t>
            </w:r>
          </w:p>
        </w:tc>
        <w:tc>
          <w:tcPr>
            <w:tcW w:w="1563" w:type="dxa"/>
          </w:tcPr>
          <w:p>
            <w:pPr>
              <w:pStyle w:val="TableText"/>
              <w:spacing w:before="129" w:line="220" w:lineRule="auto"/>
              <w:ind w:left="4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史晓玲</w:t>
            </w: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  <w:jc w:val="center"/>
        </w:trPr>
        <w:tc>
          <w:tcPr>
            <w:tcW w:w="17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14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  <w:jc w:val="center"/>
        </w:trPr>
        <w:tc>
          <w:tcPr>
            <w:tcW w:w="17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r>
        <w:br w:type="page"/>
      </w:r>
    </w:p>
    <w:p/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423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_Toc6998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应急演练总结报告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_Toc28910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_Toc28910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_Toc23866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_Toc23866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_Toc5129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_Toc5129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_Toc29617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演练完成情况详细总结</w:t>
          </w:r>
          <w:r>
            <w:tab/>
          </w:r>
          <w:r>
            <w:fldChar w:fldCharType="begin"/>
          </w:r>
          <w:r>
            <w:instrText xml:space="preserve"> PAGEREF _Toc29617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_Toc8943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综合评估与主要收获</w:t>
          </w:r>
          <w:r>
            <w:tab/>
          </w:r>
          <w:r>
            <w:fldChar w:fldCharType="begin"/>
          </w:r>
          <w:r>
            <w:instrText xml:space="preserve"> PAGEREF _Toc8943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_Toc23366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存在的问题与改进计划</w:t>
          </w:r>
          <w:r>
            <w:tab/>
          </w:r>
          <w:r>
            <w:fldChar w:fldCharType="begin"/>
          </w:r>
          <w:r>
            <w:instrText xml:space="preserve"> PAGEREF _Toc23366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5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_Toc3577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结论</w:t>
          </w:r>
          <w:r>
            <w:tab/>
          </w:r>
          <w:r>
            <w:fldChar w:fldCharType="begin"/>
          </w:r>
          <w:r>
            <w:instrText xml:space="preserve"> PAGEREF _Toc3577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rPr>
              <w:rFonts w:ascii="Microsoft JhengHei" w:eastAsia="Microsoft JhengHei" w:hAnsi="Microsoft JhengHei" w:cs="Microsoft JhengHei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/>
    <w:p>
      <w:pPr>
        <w:pStyle w:val="BodyText"/>
        <w:spacing w:line="264" w:lineRule="auto"/>
      </w:pPr>
    </w:p>
    <w:p>
      <w:pPr>
        <w:rPr>
          <w:rFonts w:ascii="黑体" w:eastAsia="黑体" w:hAnsi="黑体" w:cs="黑体"/>
          <w:spacing w:val="-8"/>
          <w:sz w:val="30"/>
          <w:szCs w:val="30"/>
        </w:rPr>
      </w:pPr>
      <w:r>
        <w:rPr>
          <w:rFonts w:ascii="黑体" w:eastAsia="黑体" w:hAnsi="黑体" w:cs="黑体"/>
          <w:spacing w:val="-8"/>
          <w:sz w:val="30"/>
          <w:szCs w:val="30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5129"/>
      <w:r>
        <w:rPr>
          <w:rFonts w:hint="default"/>
          <w:lang w:val="en-US" w:eastAsia="zh-CN"/>
        </w:rPr>
        <w:t>演练概述</w:t>
      </w:r>
      <w:bookmarkEnd w:id="4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临夏回族自治州中医医院“智慧银医”项目应急预案》及《2025年度应急响应演练计划》的安排，为检验并提升项目团队应对信息系统突发事件的实战能力，保障医院核心业务连续稳定运行，我司于2025年5月至10月期间，成功组织并实施了四次专项应急演练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系列演练严格遵循“结合实际、着眼实战、精心组织、确保安全”的原则，覆盖了网络、服务器、存储等关键基础设施的典型故障场景。演练均采用实战形式，涉及运维部、研发部、质量部等多部门协同，圆满完成了既定目标，有效验证了应急预案的可行性与团队应急响应机制的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9617"/>
      <w:r>
        <w:rPr>
          <w:rFonts w:hint="default"/>
          <w:lang w:val="en-US" w:eastAsia="zh-CN"/>
        </w:rPr>
        <w:t>演练完成情况详细总结</w:t>
      </w:r>
      <w:bookmarkEnd w:id="5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本年度计划开展五项演练，实际完成四项，具体实施情况如下：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"/>
        <w:gridCol w:w="847"/>
        <w:gridCol w:w="948"/>
        <w:gridCol w:w="984"/>
        <w:gridCol w:w="1311"/>
        <w:gridCol w:w="2403"/>
        <w:gridCol w:w="165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关键指标/结果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主要改进建议落实情况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网络核心配置丢失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史晓玲、郑云、王朋、孙凯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备用交换机切换及时，网络中断时间控制在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15分钟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已启动配置自动备份频率增加及版本管理机制建设。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接入层交换机故障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史晓玲、郑云、王朋、孙凯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故障定位准确，受影响区域网络在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10分钟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内恢复。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热备机制方案已纳入下阶段优化计划，网络拓扑冗余性正在评估。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核心服务器故障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史晓玲、郑云、王朋、孙凯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备用服务器启动及业务恢复耗时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25分钟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，达到预期恢复时间目标（RTO）。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正在研究关键业务系统热备方案，服务器健康检查清单已制度化。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史晓玲、郑云、王朋、孙凯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硬盘更换与RAID重建耗时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18分钟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，控制器切换耗时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5分钟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</w:t>
            </w:r>
            <w:bookmarkStart w:id="6" w:name="_GoBack"/>
            <w:bookmarkEnd w:id="6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数据恢复完整。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已着手提升存储监控粒度，并计划定期进行备份恢复有效性验证。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华为云故障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2025-11-10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Emphasis"/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Emphasis"/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Emphasis"/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待演练后评估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Emphasis"/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待演练后提出</w:t>
            </w:r>
          </w:p>
        </w:tc>
      </w:tr>
    </w:tbl>
    <w:p>
      <w:pPr>
        <w:pStyle w:val="a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8943"/>
      <w:r>
        <w:rPr>
          <w:rFonts w:hint="default"/>
          <w:lang w:val="en-US" w:eastAsia="zh-CN"/>
        </w:rPr>
        <w:t>综合评估与主要收获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通过本年度系统性的应急演练，项目应急响应体系得到全面检验与强化，主要收获如下：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流程得到验证与优化：实战演练证明，现有应急预案（JSYC-ITSS-ZNHFYJYA）的框架与专项流程（如服务器、网络故障预案）基本有效。演练记录中产生的具体改进建议（如配置管理、热备机制），为预案的持续修订（依据预案每年修订的要求）提供了精准输入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协同能力提升：固定的“应急响应小组”（组长：史晓玲，副组长：郑云，成员：王朋、孙凯）在多次演练中配合默契，指挥链路清晰，报告流程顺畅，符合应急预案中“快速反应、高效配合”的原则，履行了从事件确认、上报到处置、反馈的完整职责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实战技能与意识增强：技术人员在故障定位、设备切换、数据恢复等关键环节表现出良好的专业技能。演练同时普及了应急知识，提升了全员风险防范与应急处置意识，实现了“锻炼队伍”和“科普宣传”的目的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基础管理暴露改进点：演练成功检验了现有备份策略、备用资源（交换机、服务器）的有效性。同时，也暴露出在配置自动化管理、跨云容灾方案细化、监控预警前瞻性等方面的提升空间，这与《应急演练总结报告》中关于“完善组织过程资产”和“提升服务主动性”的反思方向一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3366"/>
      <w:r>
        <w:rPr>
          <w:rFonts w:hint="default"/>
          <w:lang w:val="en-US" w:eastAsia="zh-CN"/>
        </w:rPr>
        <w:t>存在的问题与改进计划</w:t>
      </w:r>
      <w:bookmarkEnd w:id="8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尽管演练整体成功，但结合演练记录和复盘分析，我们识别出以下需持续改进的领域：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广度与深度可扩展：目前演练集中于硬件和基础网络故障，未来需按计划完成华为云故障演练，并考虑增加网络攻击、软件故障、数据库异常等更高层、更复杂的混合场景演练，以全面匹配应急预案中定义的各类事件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预案细节与实操衔接需强化：部分演练步骤与预案中的专项流程可进一步对标细化，确保文档与实际操作完全同步。例如，将演练中验证成功的具体恢复时间（RTO）和恢复点目标（RPO）反哺到预案的量化指标中。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3577"/>
      <w:r>
        <w:rPr>
          <w:rFonts w:hint="default"/>
          <w:lang w:val="en-US" w:eastAsia="zh-CN"/>
        </w:rPr>
        <w:t>结论</w:t>
      </w:r>
      <w:bookmarkEnd w:id="9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“智慧银医”项目应急演练工作已按计划基本完成，取得了显著成效。演练不仅验证了现有应急体系的有效性，更发现了宝贵的改进机会，有力提升了项目团队保障医院关键信息系统持续稳定运行的能力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下一步，我司将严格落实本次总结中提出的改进计划，确保末次演练（华为云故障）高质量完成，并以此为基础，规划下一年度更具挑战性的应急演练主题，推动运维服务质量和应急响应能力的持续提升。</w:t>
      </w:r>
    </w:p>
    <w:sectPr>
      <w:pgSz w:w="11906" w:h="16838"/>
      <w:pgMar w:top="1431" w:right="1746" w:bottom="1417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1774</Words>
  <Characters>1934</Characters>
  <Application>Microsoft Office Word</Application>
  <DocSecurity>0</DocSecurity>
  <Lines>0</Lines>
  <Paragraphs>0</Paragraphs>
  <ScaleCrop>false</ScaleCrop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2025-08-21T18:44:00Z</dcterms:created>
  <dcterms:modified xsi:type="dcterms:W3CDTF">2026-01-07T01:26:58Z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0C903783E5F34BE1B567F9BC6DC182FD_12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