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bidi w:val="0"/>
      </w:pPr>
      <w:bookmarkStart w:id="0" w:name="_Toc23114"/>
    </w:p>
    <w:p>
      <w:pPr>
        <w:pStyle w:val="a1"/>
        <w:bidi w:val="0"/>
      </w:pPr>
      <w:r>
        <w:t>运维服务改进制度</w:t>
      </w:r>
      <w:bookmarkEnd w:id="0"/>
    </w:p>
    <w:p>
      <w:pPr>
        <w:pStyle w:val="a2"/>
        <w:bidi w:val="0"/>
      </w:pPr>
      <w:bookmarkStart w:id="1" w:name="_Toc15890"/>
      <w:r>
        <w:t>江苏云储智能科技有限公司</w:t>
      </w:r>
      <w:bookmarkEnd w:id="1"/>
    </w:p>
    <w:p>
      <w:pPr>
        <w:pStyle w:val="BodyText"/>
        <w:spacing w:line="363" w:lineRule="auto"/>
        <w:ind w:left="0" w:right="0" w:firstLine="0" w:leftChars="0" w:rightChars="0" w:firstLineChars="0"/>
        <w:jc w:val="cente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t>2025年1月4日</w:t>
      </w:r>
    </w:p>
    <w:p>
      <w:pP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br w:type="page"/>
      </w:r>
    </w:p>
    <w:p>
      <w:pPr>
        <w:spacing w:before="91" w:line="220" w:lineRule="auto"/>
        <w:ind w:left="3710"/>
        <w:outlineLvl w:val="0"/>
        <w:rPr>
          <w:rFonts w:ascii="宋体" w:eastAsia="宋体" w:hAnsi="宋体" w:cs="宋体"/>
          <w:sz w:val="28"/>
          <w:szCs w:val="28"/>
        </w:rPr>
      </w:pPr>
      <w:bookmarkStart w:id="2" w:name="_Toc23109"/>
      <w:r>
        <w:rPr>
          <w:rFonts w:ascii="宋体" w:eastAsia="宋体" w:hAnsi="宋体" w:cs="宋体"/>
          <w:spacing w:val="-3"/>
          <w:sz w:val="28"/>
          <w:szCs w:val="28"/>
        </w:rPr>
        <w:t>文档信息</w:t>
      </w:r>
      <w:bookmarkEnd w:id="2"/>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spacing w:before="185" w:line="220" w:lineRule="auto"/>
              <w:ind w:left="207"/>
              <w:rPr>
                <w:rFonts w:ascii="宋体" w:eastAsia="宋体" w:hAnsi="宋体" w:cs="宋体"/>
                <w:sz w:val="24"/>
                <w:szCs w:val="24"/>
              </w:rPr>
            </w:pPr>
            <w:r>
              <w:rPr>
                <w:rFonts w:ascii="宋体" w:eastAsia="宋体" w:hAnsi="宋体" w:cs="宋体"/>
                <w:spacing w:val="-2"/>
                <w:sz w:val="24"/>
                <w:szCs w:val="24"/>
              </w:rPr>
              <w:t>文档名称编号</w:t>
            </w:r>
          </w:p>
        </w:tc>
        <w:tc>
          <w:tcPr>
            <w:tcW w:w="7226" w:type="dxa"/>
            <w:gridSpan w:val="4"/>
          </w:tcPr>
          <w:p>
            <w:pPr>
              <w:spacing w:before="185" w:line="218" w:lineRule="auto"/>
              <w:ind w:left="109"/>
              <w:rPr>
                <w:rFonts w:ascii="宋体" w:eastAsia="宋体" w:hAnsi="宋体" w:cs="宋体"/>
                <w:sz w:val="24"/>
                <w:szCs w:val="24"/>
              </w:rPr>
            </w:pPr>
            <w:r>
              <w:rPr>
                <w:rFonts w:ascii="宋体" w:eastAsia="宋体" w:hAnsi="宋体" w:cs="宋体"/>
                <w:spacing w:val="-1"/>
                <w:sz w:val="24"/>
                <w:szCs w:val="24"/>
              </w:rPr>
              <w:t>运维服务改进制度（JSYC-ITSS-YWFWGJ）</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2" w:line="220" w:lineRule="auto"/>
              <w:ind w:left="447"/>
              <w:rPr>
                <w:rFonts w:ascii="宋体" w:eastAsia="宋体" w:hAnsi="宋体" w:cs="宋体"/>
                <w:sz w:val="24"/>
                <w:szCs w:val="24"/>
              </w:rPr>
            </w:pPr>
            <w:r>
              <w:rPr>
                <w:rFonts w:ascii="宋体" w:eastAsia="宋体" w:hAnsi="宋体" w:cs="宋体"/>
                <w:spacing w:val="-3"/>
                <w:sz w:val="24"/>
                <w:szCs w:val="24"/>
              </w:rPr>
              <w:t>编制单位</w:t>
            </w:r>
          </w:p>
        </w:tc>
        <w:tc>
          <w:tcPr>
            <w:tcW w:w="7226" w:type="dxa"/>
            <w:gridSpan w:val="4"/>
          </w:tcPr>
          <w:p>
            <w:pPr>
              <w:spacing w:before="182" w:line="219" w:lineRule="auto"/>
              <w:ind w:left="109"/>
              <w:rPr>
                <w:rFonts w:ascii="宋体" w:eastAsia="宋体" w:hAnsi="宋体" w:cs="宋体"/>
                <w:sz w:val="24"/>
                <w:szCs w:val="24"/>
              </w:rPr>
            </w:pPr>
            <w:r>
              <w:rPr>
                <w:rFonts w:ascii="宋体" w:eastAsia="宋体" w:hAnsi="宋体" w:cs="宋体"/>
                <w:spacing w:val="-1"/>
                <w:sz w:val="24"/>
                <w:szCs w:val="24"/>
              </w:rPr>
              <w:t>江苏云储智能科技有限公司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3" w:line="219" w:lineRule="auto"/>
              <w:ind w:left="447"/>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spacing w:before="183" w:line="219" w:lineRule="auto"/>
              <w:ind w:left="229"/>
              <w:rPr>
                <w:rFonts w:ascii="宋体" w:eastAsia="宋体" w:hAnsi="宋体" w:cs="宋体"/>
                <w:sz w:val="24"/>
                <w:szCs w:val="24"/>
              </w:rPr>
            </w:pPr>
            <w:r>
              <w:rPr>
                <w:rFonts w:ascii="宋体" w:eastAsia="宋体" w:hAnsi="宋体" w:cs="宋体"/>
                <w:spacing w:val="-2"/>
                <w:sz w:val="24"/>
                <w:szCs w:val="24"/>
              </w:rPr>
              <w:t>版本日期</w:t>
            </w:r>
          </w:p>
        </w:tc>
        <w:tc>
          <w:tcPr>
            <w:tcW w:w="2303" w:type="dxa"/>
          </w:tcPr>
          <w:p>
            <w:pPr>
              <w:spacing w:before="183" w:line="219" w:lineRule="auto"/>
              <w:ind w:left="676"/>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spacing w:before="184" w:line="220" w:lineRule="auto"/>
              <w:ind w:left="545"/>
              <w:rPr>
                <w:rFonts w:ascii="宋体" w:eastAsia="宋体" w:hAnsi="宋体" w:cs="宋体"/>
                <w:sz w:val="24"/>
                <w:szCs w:val="24"/>
              </w:rPr>
            </w:pPr>
            <w:r>
              <w:rPr>
                <w:rFonts w:ascii="宋体" w:eastAsia="宋体" w:hAnsi="宋体" w:cs="宋体"/>
                <w:spacing w:val="-3"/>
                <w:sz w:val="24"/>
                <w:szCs w:val="24"/>
              </w:rPr>
              <w:t>作者</w:t>
            </w:r>
          </w:p>
        </w:tc>
        <w:tc>
          <w:tcPr>
            <w:tcW w:w="1953" w:type="dxa"/>
          </w:tcPr>
          <w:p>
            <w:pPr>
              <w:spacing w:before="184" w:line="220" w:lineRule="auto"/>
              <w:ind w:left="754"/>
              <w:rPr>
                <w:rFonts w:ascii="宋体" w:eastAsia="宋体" w:hAnsi="宋体" w:cs="宋体"/>
                <w:sz w:val="24"/>
                <w:szCs w:val="24"/>
              </w:rPr>
            </w:pPr>
            <w:r>
              <w:rPr>
                <w:rFonts w:ascii="宋体" w:eastAsia="宋体" w:hAnsi="宋体" w:cs="宋体"/>
                <w:spacing w:val="-6"/>
                <w:sz w:val="24"/>
                <w:szCs w:val="24"/>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spacing w:before="162" w:line="239" w:lineRule="auto"/>
              <w:ind w:left="709"/>
              <w:rPr>
                <w:rFonts w:ascii="宋体" w:eastAsia="宋体" w:hAnsi="宋体" w:cs="宋体"/>
                <w:sz w:val="21"/>
                <w:szCs w:val="21"/>
              </w:rPr>
            </w:pPr>
            <w:r>
              <w:rPr>
                <w:rFonts w:ascii="宋体" w:eastAsia="宋体" w:hAnsi="宋体" w:cs="宋体"/>
                <w:spacing w:val="-1"/>
                <w:sz w:val="21"/>
                <w:szCs w:val="21"/>
              </w:rPr>
              <w:t>V1.0</w:t>
            </w:r>
          </w:p>
        </w:tc>
        <w:tc>
          <w:tcPr>
            <w:tcW w:w="1413" w:type="dxa"/>
          </w:tcPr>
          <w:p>
            <w:pPr>
              <w:spacing w:before="162"/>
              <w:ind w:left="290"/>
              <w:rPr>
                <w:rFonts w:ascii="宋体" w:eastAsia="宋体" w:hAnsi="宋体" w:cs="宋体"/>
                <w:sz w:val="21"/>
                <w:szCs w:val="21"/>
              </w:rPr>
            </w:pPr>
            <w:r>
              <w:rPr>
                <w:rFonts w:ascii="宋体" w:eastAsia="宋体" w:hAnsi="宋体" w:cs="宋体"/>
                <w:spacing w:val="-2"/>
                <w:sz w:val="21"/>
                <w:szCs w:val="21"/>
              </w:rPr>
              <w:t>2025-1-4</w:t>
            </w:r>
          </w:p>
        </w:tc>
        <w:tc>
          <w:tcPr>
            <w:tcW w:w="2303" w:type="dxa"/>
          </w:tcPr>
          <w:p>
            <w:pPr>
              <w:spacing w:before="132" w:line="219" w:lineRule="auto"/>
              <w:ind w:left="738"/>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spacing w:before="132" w:line="220" w:lineRule="auto"/>
              <w:ind w:left="470"/>
              <w:rPr>
                <w:rFonts w:ascii="宋体" w:eastAsia="宋体" w:hAnsi="宋体" w:cs="宋体" w:hint="eastAsia"/>
                <w:sz w:val="21"/>
                <w:szCs w:val="21"/>
                <w:lang w:eastAsia="zh-CN"/>
              </w:rPr>
            </w:pPr>
            <w:r>
              <w:rPr>
                <w:rFonts w:ascii="宋体" w:eastAsia="宋体" w:hAnsi="宋体" w:cs="宋体" w:hint="eastAsia"/>
                <w:spacing w:val="-3"/>
                <w:sz w:val="21"/>
                <w:szCs w:val="21"/>
                <w:lang w:val="en-US" w:eastAsia="zh-CN"/>
              </w:rPr>
              <w:t>郑云</w:t>
            </w:r>
          </w:p>
        </w:tc>
        <w:tc>
          <w:tcPr>
            <w:tcW w:w="1953" w:type="dxa"/>
          </w:tcPr>
          <w:p>
            <w:pPr>
              <w:spacing w:before="133" w:line="220" w:lineRule="auto"/>
              <w:ind w:left="676"/>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史晓玲</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bl>
    <w:p>
      <w:pPr>
        <w:pStyle w:val="BodyText"/>
      </w:pPr>
    </w:p>
    <w:p>
      <w:pPr>
        <w:sectPr>
          <w:pgSz w:w="11906" w:h="16839"/>
          <w:pgMar w:top="1431" w:right="1127" w:bottom="0" w:left="1696" w:header="0" w:footer="0" w:gutter="0"/>
          <w:cols w:num="1" w:space="720"/>
        </w:sectPr>
      </w:pPr>
    </w:p>
    <w:sdt>
      <w:sdtPr>
        <w:rPr>
          <w:rFonts w:ascii="宋体" w:eastAsia="宋体" w:hAnsi="宋体" w:cs="Arial"/>
          <w:snapToGrid w:val="0"/>
          <w:color w:val="000000"/>
          <w:kern w:val="0"/>
          <w:sz w:val="21"/>
          <w:szCs w:val="21"/>
          <w:lang w:val="en-US" w:eastAsia="en-US" w:bidi="ar-SA"/>
        </w:rPr>
        <w:id w:val="147482807"/>
        <w:docPartObj>
          <w:docPartGallery w:val="Table of Contents"/>
          <w:docPartUnique/>
        </w:docPartObj>
      </w:sdtPr>
      <w:sdtEndPr>
        <w:rPr>
          <w:rFonts w:ascii="Microsoft JhengHei" w:eastAsia="Microsoft JhengHei" w:hAnsi="Microsoft JhengHei" w:cs="Microsoft JhengHei"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497"/>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_Toc23114 </w:instrText>
          </w:r>
          <w:r>
            <w:rPr>
              <w:rFonts w:ascii="Microsoft JhengHei" w:eastAsia="Microsoft JhengHei" w:hAnsi="Microsoft JhengHei" w:cs="Microsoft JhengHei" w:hint="eastAsia"/>
              <w:szCs w:val="24"/>
            </w:rPr>
            <w:fldChar w:fldCharType="separate"/>
          </w:r>
          <w:r>
            <w:t>运维服务改进制度</w:t>
          </w:r>
          <w:r>
            <w:tab/>
          </w:r>
          <w:r>
            <w:fldChar w:fldCharType="begin"/>
          </w:r>
          <w:r>
            <w:instrText xml:space="preserve"> PAGEREF _Toc23114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_Toc15890 </w:instrText>
          </w:r>
          <w:r>
            <w:rPr>
              <w:rFonts w:ascii="Microsoft JhengHei" w:eastAsia="Microsoft JhengHei" w:hAnsi="Microsoft JhengHei" w:cs="Microsoft JhengHei" w:hint="eastAsia"/>
              <w:szCs w:val="24"/>
            </w:rPr>
            <w:fldChar w:fldCharType="separate"/>
          </w:r>
          <w:r>
            <w:t>江苏云储智能科技有限公司</w:t>
          </w:r>
          <w:r>
            <w:tab/>
          </w:r>
          <w:r>
            <w:fldChar w:fldCharType="begin"/>
          </w:r>
          <w:r>
            <w:instrText xml:space="preserve"> PAGEREF _Toc15890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_Toc23109 </w:instrText>
          </w:r>
          <w:r>
            <w:rPr>
              <w:rFonts w:ascii="Microsoft JhengHei" w:eastAsia="Microsoft JhengHei" w:hAnsi="Microsoft JhengHei" w:cs="Microsoft JhengHei" w:hint="eastAsia"/>
              <w:szCs w:val="24"/>
            </w:rPr>
            <w:fldChar w:fldCharType="separate"/>
          </w:r>
          <w:r>
            <w:rPr>
              <w:rFonts w:ascii="宋体" w:eastAsia="宋体" w:hAnsi="宋体" w:cs="宋体"/>
              <w:spacing w:val="-3"/>
              <w:szCs w:val="28"/>
            </w:rPr>
            <w:t>文档信息</w:t>
          </w:r>
          <w:r>
            <w:tab/>
          </w:r>
          <w:r>
            <w:fldChar w:fldCharType="begin"/>
          </w:r>
          <w:r>
            <w:instrText xml:space="preserve"> PAGEREF _Toc23109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_Toc10294 </w:instrText>
          </w:r>
          <w:r>
            <w:rPr>
              <w:rFonts w:ascii="Microsoft JhengHei" w:eastAsia="Microsoft JhengHei" w:hAnsi="Microsoft JhengHei" w:cs="Microsoft JhengHei" w:hint="eastAsia"/>
              <w:szCs w:val="24"/>
            </w:rPr>
            <w:fldChar w:fldCharType="separate"/>
          </w:r>
          <w:r>
            <w:rPr>
              <w:rFonts w:hint="default"/>
            </w:rPr>
            <w:t xml:space="preserve">1. </w:t>
          </w:r>
          <w:r>
            <w:t>目的</w:t>
          </w:r>
          <w:r>
            <w:tab/>
          </w:r>
          <w:r>
            <w:fldChar w:fldCharType="begin"/>
          </w:r>
          <w:r>
            <w:instrText xml:space="preserve"> PAGEREF _Toc10294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_Toc11059 </w:instrText>
          </w:r>
          <w:r>
            <w:rPr>
              <w:rFonts w:ascii="Microsoft JhengHei" w:eastAsia="Microsoft JhengHei" w:hAnsi="Microsoft JhengHei" w:cs="Microsoft JhengHei" w:hint="eastAsia"/>
              <w:szCs w:val="24"/>
            </w:rPr>
            <w:fldChar w:fldCharType="separate"/>
          </w:r>
          <w:r>
            <w:rPr>
              <w:rFonts w:hint="default"/>
            </w:rPr>
            <w:t xml:space="preserve">2. </w:t>
          </w:r>
          <w:r>
            <w:t>适用范围</w:t>
          </w:r>
          <w:r>
            <w:tab/>
          </w:r>
          <w:r>
            <w:fldChar w:fldCharType="begin"/>
          </w:r>
          <w:r>
            <w:instrText xml:space="preserve"> PAGEREF _Toc11059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_Toc7801 </w:instrText>
          </w:r>
          <w:r>
            <w:rPr>
              <w:rFonts w:ascii="Microsoft JhengHei" w:eastAsia="Microsoft JhengHei" w:hAnsi="Microsoft JhengHei" w:cs="Microsoft JhengHei" w:hint="eastAsia"/>
              <w:szCs w:val="24"/>
            </w:rPr>
            <w:fldChar w:fldCharType="separate"/>
          </w:r>
          <w:r>
            <w:rPr>
              <w:rFonts w:hint="default"/>
            </w:rPr>
            <w:t xml:space="preserve">3. </w:t>
          </w:r>
          <w:r>
            <w:t>引用文件</w:t>
          </w:r>
          <w:r>
            <w:tab/>
          </w:r>
          <w:r>
            <w:fldChar w:fldCharType="begin"/>
          </w:r>
          <w:r>
            <w:instrText xml:space="preserve"> PAGEREF _Toc7801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_Toc18400 </w:instrText>
          </w:r>
          <w:r>
            <w:rPr>
              <w:rFonts w:ascii="Microsoft JhengHei" w:eastAsia="Microsoft JhengHei" w:hAnsi="Microsoft JhengHei" w:cs="Microsoft JhengHei" w:hint="eastAsia"/>
              <w:szCs w:val="24"/>
            </w:rPr>
            <w:fldChar w:fldCharType="separate"/>
          </w:r>
          <w:r>
            <w:rPr>
              <w:rFonts w:hint="default"/>
            </w:rPr>
            <w:t xml:space="preserve">4. </w:t>
          </w:r>
          <w:r>
            <w:t>术语与定义</w:t>
          </w:r>
          <w:r>
            <w:tab/>
          </w:r>
          <w:r>
            <w:fldChar w:fldCharType="begin"/>
          </w:r>
          <w:r>
            <w:instrText xml:space="preserve"> PAGEREF _Toc18400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_Toc6708 </w:instrText>
          </w:r>
          <w:r>
            <w:rPr>
              <w:rFonts w:ascii="Microsoft JhengHei" w:eastAsia="Microsoft JhengHei" w:hAnsi="Microsoft JhengHei" w:cs="Microsoft JhengHei" w:hint="eastAsia"/>
              <w:szCs w:val="24"/>
            </w:rPr>
            <w:fldChar w:fldCharType="separate"/>
          </w:r>
          <w:r>
            <w:rPr>
              <w:rFonts w:hint="default"/>
            </w:rPr>
            <w:t xml:space="preserve">5. </w:t>
          </w:r>
          <w:r>
            <w:t>角色与职责</w:t>
          </w:r>
          <w:r>
            <w:tab/>
          </w:r>
          <w:r>
            <w:fldChar w:fldCharType="begin"/>
          </w:r>
          <w:r>
            <w:instrText xml:space="preserve"> PAGEREF _Toc6708 \h </w:instrText>
          </w:r>
          <w:r>
            <w:fldChar w:fldCharType="separate"/>
          </w:r>
          <w:r>
            <w:t>4</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_Toc28434 </w:instrText>
          </w:r>
          <w:r>
            <w:rPr>
              <w:rFonts w:ascii="Microsoft JhengHei" w:eastAsia="Microsoft JhengHei" w:hAnsi="Microsoft JhengHei" w:cs="Microsoft JhengHei" w:hint="eastAsia"/>
              <w:szCs w:val="24"/>
            </w:rPr>
            <w:fldChar w:fldCharType="separate"/>
          </w:r>
          <w:r>
            <w:rPr>
              <w:rFonts w:hint="default"/>
            </w:rPr>
            <w:t xml:space="preserve">6. </w:t>
          </w:r>
          <w:r>
            <w:t>工作程序</w:t>
          </w:r>
          <w:r>
            <w:tab/>
          </w:r>
          <w:r>
            <w:fldChar w:fldCharType="begin"/>
          </w:r>
          <w:r>
            <w:instrText xml:space="preserve"> PAGEREF _Toc28434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_Toc9878 </w:instrText>
          </w:r>
          <w:r>
            <w:rPr>
              <w:rFonts w:ascii="Microsoft JhengHei" w:eastAsia="Microsoft JhengHei" w:hAnsi="Microsoft JhengHei" w:cs="Microsoft JhengHei" w:hint="eastAsia"/>
              <w:szCs w:val="24"/>
            </w:rPr>
            <w:fldChar w:fldCharType="separate"/>
          </w:r>
          <w:r>
            <w:rPr>
              <w:rFonts w:hint="default"/>
            </w:rPr>
            <w:t xml:space="preserve">6.1. </w:t>
          </w:r>
          <w:r>
            <w:t>识别、定义度量项</w:t>
          </w:r>
          <w:r>
            <w:tab/>
          </w:r>
          <w:r>
            <w:fldChar w:fldCharType="begin"/>
          </w:r>
          <w:r>
            <w:instrText xml:space="preserve"> PAGEREF _Toc9878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_Toc20635 </w:instrText>
          </w:r>
          <w:r>
            <w:rPr>
              <w:rFonts w:ascii="Microsoft JhengHei" w:eastAsia="Microsoft JhengHei" w:hAnsi="Microsoft JhengHei" w:cs="Microsoft JhengHei" w:hint="eastAsia"/>
              <w:szCs w:val="24"/>
            </w:rPr>
            <w:fldChar w:fldCharType="separate"/>
          </w:r>
          <w:r>
            <w:rPr>
              <w:rFonts w:hint="default"/>
            </w:rPr>
            <w:t xml:space="preserve">6.2. </w:t>
          </w:r>
          <w:r>
            <w:t>确定服务能力基准</w:t>
          </w:r>
          <w:r>
            <w:tab/>
          </w:r>
          <w:r>
            <w:fldChar w:fldCharType="begin"/>
          </w:r>
          <w:r>
            <w:instrText xml:space="preserve"> PAGEREF _Toc20635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_Toc18446 </w:instrText>
          </w:r>
          <w:r>
            <w:rPr>
              <w:rFonts w:ascii="Microsoft JhengHei" w:eastAsia="Microsoft JhengHei" w:hAnsi="Microsoft JhengHei" w:cs="Microsoft JhengHei" w:hint="eastAsia"/>
              <w:szCs w:val="24"/>
            </w:rPr>
            <w:fldChar w:fldCharType="separate"/>
          </w:r>
          <w:r>
            <w:rPr>
              <w:rFonts w:hint="default"/>
            </w:rPr>
            <w:t xml:space="preserve">6.3. </w:t>
          </w:r>
          <w:r>
            <w:t>设定目标</w:t>
          </w:r>
          <w:r>
            <w:tab/>
          </w:r>
          <w:r>
            <w:fldChar w:fldCharType="begin"/>
          </w:r>
          <w:r>
            <w:instrText xml:space="preserve"> PAGEREF _Toc18446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_Toc2981 </w:instrText>
          </w:r>
          <w:r>
            <w:rPr>
              <w:rFonts w:ascii="Microsoft JhengHei" w:eastAsia="Microsoft JhengHei" w:hAnsi="Microsoft JhengHei" w:cs="Microsoft JhengHei" w:hint="eastAsia"/>
              <w:szCs w:val="24"/>
            </w:rPr>
            <w:fldChar w:fldCharType="separate"/>
          </w:r>
          <w:r>
            <w:rPr>
              <w:rFonts w:hint="default"/>
            </w:rPr>
            <w:t xml:space="preserve">6.4. </w:t>
          </w:r>
          <w:r>
            <w:t>收集指标数据改进</w:t>
          </w:r>
          <w:r>
            <w:tab/>
          </w:r>
          <w:r>
            <w:fldChar w:fldCharType="begin"/>
          </w:r>
          <w:r>
            <w:instrText xml:space="preserve"> PAGEREF _Toc2981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_Toc25534 </w:instrText>
          </w:r>
          <w:r>
            <w:rPr>
              <w:rFonts w:ascii="Microsoft JhengHei" w:eastAsia="Microsoft JhengHei" w:hAnsi="Microsoft JhengHei" w:cs="Microsoft JhengHei" w:hint="eastAsia"/>
              <w:szCs w:val="24"/>
            </w:rPr>
            <w:fldChar w:fldCharType="separate"/>
          </w:r>
          <w:r>
            <w:rPr>
              <w:rFonts w:hint="default"/>
            </w:rPr>
            <w:t xml:space="preserve">6.5. </w:t>
          </w:r>
          <w:r>
            <w:t>分析能力数据</w:t>
          </w:r>
          <w:r>
            <w:tab/>
          </w:r>
          <w:r>
            <w:fldChar w:fldCharType="begin"/>
          </w:r>
          <w:r>
            <w:instrText xml:space="preserve"> PAGEREF _Toc25534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_Toc20679 </w:instrText>
          </w:r>
          <w:r>
            <w:rPr>
              <w:rFonts w:ascii="Microsoft JhengHei" w:eastAsia="Microsoft JhengHei" w:hAnsi="Microsoft JhengHei" w:cs="Microsoft JhengHei" w:hint="eastAsia"/>
              <w:szCs w:val="24"/>
            </w:rPr>
            <w:fldChar w:fldCharType="separate"/>
          </w:r>
          <w:r>
            <w:rPr>
              <w:rFonts w:hint="default"/>
            </w:rPr>
            <w:t xml:space="preserve">6.6. </w:t>
          </w:r>
          <w:r>
            <w:t>识别差距</w:t>
          </w:r>
          <w:r>
            <w:tab/>
          </w:r>
          <w:r>
            <w:fldChar w:fldCharType="begin"/>
          </w:r>
          <w:r>
            <w:instrText xml:space="preserve"> PAGEREF _Toc20679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_Toc20448 </w:instrText>
          </w:r>
          <w:r>
            <w:rPr>
              <w:rFonts w:ascii="Microsoft JhengHei" w:eastAsia="Microsoft JhengHei" w:hAnsi="Microsoft JhengHei" w:cs="Microsoft JhengHei" w:hint="eastAsia"/>
              <w:szCs w:val="24"/>
            </w:rPr>
            <w:fldChar w:fldCharType="separate"/>
          </w:r>
          <w:r>
            <w:rPr>
              <w:rFonts w:hint="default"/>
            </w:rPr>
            <w:t xml:space="preserve">6.7. </w:t>
          </w:r>
          <w:r>
            <w:t>确定服务改进措施</w:t>
          </w:r>
          <w:r>
            <w:tab/>
          </w:r>
          <w:r>
            <w:fldChar w:fldCharType="begin"/>
          </w:r>
          <w:r>
            <w:instrText xml:space="preserve"> PAGEREF _Toc20448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_Toc19817 </w:instrText>
          </w:r>
          <w:r>
            <w:rPr>
              <w:rFonts w:ascii="Microsoft JhengHei" w:eastAsia="Microsoft JhengHei" w:hAnsi="Microsoft JhengHei" w:cs="Microsoft JhengHei" w:hint="eastAsia"/>
              <w:szCs w:val="24"/>
            </w:rPr>
            <w:fldChar w:fldCharType="separate"/>
          </w:r>
          <w:r>
            <w:rPr>
              <w:rFonts w:hint="default"/>
            </w:rPr>
            <w:t xml:space="preserve">6.8. </w:t>
          </w:r>
          <w:r>
            <w:t>服务改进实施</w:t>
          </w:r>
          <w:r>
            <w:tab/>
          </w:r>
          <w:r>
            <w:fldChar w:fldCharType="begin"/>
          </w:r>
          <w:r>
            <w:instrText xml:space="preserve"> PAGEREF _Toc19817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_Toc15367 </w:instrText>
          </w:r>
          <w:r>
            <w:rPr>
              <w:rFonts w:ascii="Microsoft JhengHei" w:eastAsia="Microsoft JhengHei" w:hAnsi="Microsoft JhengHei" w:cs="Microsoft JhengHei" w:hint="eastAsia"/>
              <w:szCs w:val="24"/>
            </w:rPr>
            <w:fldChar w:fldCharType="separate"/>
          </w:r>
          <w:r>
            <w:rPr>
              <w:rFonts w:hint="default"/>
            </w:rPr>
            <w:t xml:space="preserve">6.9. </w:t>
          </w:r>
          <w:r>
            <w:t>服务监控</w:t>
          </w:r>
          <w:r>
            <w:tab/>
          </w:r>
          <w:r>
            <w:fldChar w:fldCharType="begin"/>
          </w:r>
          <w:r>
            <w:instrText xml:space="preserve"> PAGEREF _Toc15367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_Toc29552 </w:instrText>
          </w:r>
          <w:r>
            <w:rPr>
              <w:rFonts w:ascii="Microsoft JhengHei" w:eastAsia="Microsoft JhengHei" w:hAnsi="Microsoft JhengHei" w:cs="Microsoft JhengHei" w:hint="eastAsia"/>
              <w:szCs w:val="24"/>
            </w:rPr>
            <w:fldChar w:fldCharType="separate"/>
          </w:r>
          <w:r>
            <w:rPr>
              <w:rFonts w:hint="default"/>
            </w:rPr>
            <w:t xml:space="preserve">7. </w:t>
          </w:r>
          <w:r>
            <w:t>相关文件</w:t>
          </w:r>
          <w:r>
            <w:tab/>
          </w:r>
          <w:r>
            <w:fldChar w:fldCharType="begin"/>
          </w:r>
          <w:r>
            <w:instrText xml:space="preserve"> PAGEREF _Toc29552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1"/>
            <w:tabs>
              <w:tab w:val="right" w:leader="dot" w:pos="8497"/>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_Toc22681 </w:instrText>
          </w:r>
          <w:r>
            <w:rPr>
              <w:rFonts w:ascii="Microsoft JhengHei" w:eastAsia="Microsoft JhengHei" w:hAnsi="Microsoft JhengHei" w:cs="Microsoft JhengHei" w:hint="eastAsia"/>
              <w:szCs w:val="24"/>
            </w:rPr>
            <w:fldChar w:fldCharType="separate"/>
          </w:r>
          <w:r>
            <w:rPr>
              <w:rFonts w:hint="default"/>
            </w:rPr>
            <w:t xml:space="preserve">8. </w:t>
          </w:r>
          <w:r>
            <w:t>附  则</w:t>
          </w:r>
          <w:r>
            <w:tab/>
          </w:r>
          <w:r>
            <w:fldChar w:fldCharType="begin"/>
          </w:r>
          <w:r>
            <w:instrText xml:space="preserve"> PAGEREF _Toc22681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spacing w:line="219" w:lineRule="auto"/>
            <w:rPr>
              <w:rFonts w:ascii="Microsoft JhengHei" w:eastAsia="Microsoft JhengHei" w:hAnsi="Microsoft JhengHei" w:cs="Microsoft JhengHei" w:hint="eastAsia"/>
              <w:snapToGrid w:val="0"/>
              <w:color w:val="000000"/>
              <w:kern w:val="0"/>
              <w:sz w:val="24"/>
              <w:szCs w:val="24"/>
              <w:lang w:val="en-US" w:eastAsia="en-US" w:bidi="ar-SA"/>
            </w:rPr>
          </w:pPr>
          <w:r>
            <w:rPr>
              <w:rFonts w:ascii="Microsoft JhengHei" w:eastAsia="Microsoft JhengHei" w:hAnsi="Microsoft JhengHei" w:cs="Microsoft JhengHei" w:hint="eastAsia"/>
              <w:szCs w:val="24"/>
            </w:rPr>
            <w:fldChar w:fldCharType="end"/>
          </w:r>
        </w:p>
      </w:sdtContent>
    </w:sdt>
    <w:p>
      <w:pPr>
        <w:spacing w:line="219" w:lineRule="auto"/>
        <w:rPr>
          <w:rFonts w:ascii="Microsoft JhengHei" w:eastAsia="Microsoft JhengHei" w:hAnsi="Microsoft JhengHei" w:cs="Microsoft JhengHei" w:hint="eastAsia"/>
          <w:snapToGrid w:val="0"/>
          <w:color w:val="000000"/>
          <w:kern w:val="0"/>
          <w:sz w:val="24"/>
          <w:szCs w:val="24"/>
          <w:lang w:val="en-US" w:eastAsia="en-US" w:bidi="ar-SA"/>
        </w:rPr>
        <w:sectPr>
          <w:pgSz w:w="11906" w:h="16839"/>
          <w:pgMar w:top="1431" w:right="1700" w:bottom="0" w:left="1709" w:header="0" w:footer="0" w:gutter="0"/>
          <w:cols w:num="1" w:space="720"/>
        </w:sectPr>
      </w:pPr>
    </w:p>
    <w:p>
      <w:pPr>
        <w:pStyle w:val="1"/>
        <w:bidi w:val="0"/>
      </w:pPr>
      <w:bookmarkStart w:id="3" w:name="_Toc10294"/>
      <w:r>
        <w:t>目的</w:t>
      </w:r>
      <w:bookmarkEnd w:id="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为推进公司运维服务能力管理工作的持续改进，特建立本程序，主要目的归纳为以下几点：</w:t>
      </w:r>
    </w:p>
    <w:p>
      <w:pPr>
        <w:numPr>
          <w:ilvl w:val="0"/>
          <w:numId w:val="2"/>
        </w:numPr>
        <w:spacing w:before="1" w:line="289" w:lineRule="auto"/>
        <w:ind w:left="425" w:right="330" w:hanging="425" w:leftChars="0" w:firstLineChars="0"/>
        <w:rPr>
          <w:rFonts w:ascii="宋体" w:eastAsia="宋体" w:hAnsi="宋体" w:cs="宋体"/>
          <w:sz w:val="24"/>
          <w:szCs w:val="24"/>
        </w:rPr>
      </w:pPr>
      <w:r>
        <w:rPr>
          <w:rFonts w:ascii="宋体" w:eastAsia="宋体" w:hAnsi="宋体" w:cs="宋体"/>
          <w:spacing w:val="-1"/>
          <w:sz w:val="24"/>
          <w:szCs w:val="24"/>
        </w:rPr>
        <w:t>根据信息技术服务运行维护相应标准，识别公</w:t>
      </w:r>
      <w:r>
        <w:rPr>
          <w:rFonts w:ascii="宋体" w:eastAsia="宋体" w:hAnsi="宋体" w:cs="宋体"/>
          <w:spacing w:val="-2"/>
          <w:sz w:val="24"/>
          <w:szCs w:val="24"/>
        </w:rPr>
        <w:t>司运维服务能力管理差</w:t>
      </w:r>
      <w:r>
        <w:rPr>
          <w:rFonts w:ascii="宋体" w:eastAsia="宋体" w:hAnsi="宋体" w:cs="宋体"/>
          <w:spacing w:val="-10"/>
          <w:sz w:val="24"/>
          <w:szCs w:val="24"/>
        </w:rPr>
        <w:t>距</w:t>
      </w:r>
      <w:r>
        <w:rPr>
          <w:rFonts w:ascii="宋体" w:eastAsia="宋体" w:hAnsi="宋体" w:cs="宋体"/>
          <w:spacing w:val="16"/>
          <w:sz w:val="24"/>
          <w:szCs w:val="24"/>
        </w:rPr>
        <w:t xml:space="preserve"> </w:t>
      </w:r>
      <w:r>
        <w:rPr>
          <w:rFonts w:ascii="宋体" w:eastAsia="宋体" w:hAnsi="宋体" w:cs="宋体"/>
          <w:spacing w:val="-10"/>
          <w:sz w:val="24"/>
          <w:szCs w:val="24"/>
        </w:rPr>
        <w:t>并进行改进；</w:t>
      </w:r>
    </w:p>
    <w:p>
      <w:pPr>
        <w:numPr>
          <w:ilvl w:val="0"/>
          <w:numId w:val="2"/>
        </w:numPr>
        <w:spacing w:before="181" w:line="290" w:lineRule="auto"/>
        <w:ind w:left="425" w:right="326" w:hanging="425" w:leftChars="0" w:firstLineChars="0"/>
        <w:rPr>
          <w:rFonts w:ascii="宋体" w:eastAsia="宋体" w:hAnsi="宋体" w:cs="宋体"/>
          <w:sz w:val="24"/>
          <w:szCs w:val="24"/>
        </w:rPr>
      </w:pPr>
      <w:r>
        <w:rPr>
          <w:rFonts w:ascii="宋体" w:eastAsia="宋体" w:hAnsi="宋体" w:cs="宋体"/>
          <w:spacing w:val="-1"/>
          <w:sz w:val="24"/>
          <w:szCs w:val="24"/>
        </w:rPr>
        <w:t>在日常运维服务过程中，识别存在的问题或与同行之间的差距等，进</w:t>
      </w:r>
      <w:r>
        <w:rPr>
          <w:rFonts w:ascii="宋体" w:eastAsia="宋体" w:hAnsi="宋体" w:cs="宋体"/>
          <w:spacing w:val="-6"/>
          <w:sz w:val="24"/>
          <w:szCs w:val="24"/>
        </w:rPr>
        <w:t>行相应措施的落实与改进；</w:t>
      </w:r>
    </w:p>
    <w:p>
      <w:pPr>
        <w:numPr>
          <w:ilvl w:val="0"/>
          <w:numId w:val="2"/>
        </w:numPr>
        <w:spacing w:before="182" w:line="290" w:lineRule="auto"/>
        <w:ind w:left="425" w:right="196" w:hanging="425" w:leftChars="0" w:firstLineChars="0"/>
        <w:rPr>
          <w:rFonts w:ascii="宋体" w:eastAsia="宋体" w:hAnsi="宋体" w:cs="宋体"/>
          <w:sz w:val="24"/>
          <w:szCs w:val="24"/>
        </w:rPr>
      </w:pPr>
      <w:r>
        <w:rPr>
          <w:rFonts w:ascii="宋体" w:eastAsia="宋体" w:hAnsi="宋体" w:cs="宋体"/>
          <w:spacing w:val="-1"/>
          <w:sz w:val="24"/>
          <w:szCs w:val="24"/>
        </w:rPr>
        <w:t>通过一系列指标的收集分析以及目标管理，识别公司服务能力管理水平</w:t>
      </w:r>
      <w:r>
        <w:rPr>
          <w:rFonts w:ascii="宋体" w:eastAsia="宋体" w:hAnsi="宋体" w:cs="宋体"/>
          <w:spacing w:val="-3"/>
          <w:sz w:val="24"/>
          <w:szCs w:val="24"/>
        </w:rPr>
        <w:t>以及需要持续改进之处，并提出可改进的相应措施进行改进。</w:t>
      </w:r>
    </w:p>
    <w:p>
      <w:pPr>
        <w:pStyle w:val="1"/>
        <w:bidi w:val="0"/>
      </w:pPr>
      <w:bookmarkStart w:id="4" w:name="_Toc11059"/>
      <w:r>
        <w:t>适用范围</w:t>
      </w:r>
      <w:bookmarkEnd w:id="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涉及公司运维服务业务的部门，适用于运维服务过程中提供方与其他相关主体之间就服务质量所进行的协调活动。</w:t>
      </w:r>
    </w:p>
    <w:p>
      <w:pPr>
        <w:pStyle w:val="1"/>
        <w:bidi w:val="0"/>
      </w:pPr>
      <w:bookmarkStart w:id="5" w:name="_Toc7801"/>
      <w:r>
        <w:t>引用文件</w:t>
      </w:r>
      <w:bookmarkEnd w:id="5"/>
    </w:p>
    <w:p>
      <w:pPr>
        <w:numPr>
          <w:ilvl w:val="0"/>
          <w:numId w:val="3"/>
        </w:numPr>
        <w:spacing w:before="177" w:line="220" w:lineRule="auto"/>
        <w:ind w:left="425" w:hanging="425" w:leftChars="0" w:firstLineChars="0"/>
        <w:rPr>
          <w:rFonts w:ascii="宋体" w:eastAsia="宋体" w:hAnsi="宋体" w:cs="宋体"/>
          <w:sz w:val="24"/>
          <w:szCs w:val="24"/>
        </w:rPr>
      </w:pPr>
      <w:r>
        <w:rPr>
          <w:rFonts w:ascii="宋体" w:eastAsia="宋体" w:hAnsi="宋体" w:cs="宋体" w:hint="eastAsia"/>
          <w:spacing w:val="-2"/>
          <w:sz w:val="24"/>
          <w:szCs w:val="24"/>
        </w:rPr>
        <w:t>T/CESA 1299—2023</w:t>
      </w:r>
      <w:r>
        <w:rPr>
          <w:rFonts w:ascii="宋体" w:eastAsia="宋体" w:hAnsi="宋体" w:cs="宋体"/>
          <w:spacing w:val="-2"/>
          <w:sz w:val="24"/>
          <w:szCs w:val="24"/>
        </w:rPr>
        <w:t xml:space="preserve"> 《信息技术服务 运行维护服务能力成熟度模型》</w:t>
      </w:r>
    </w:p>
    <w:p>
      <w:pPr>
        <w:numPr>
          <w:ilvl w:val="0"/>
          <w:numId w:val="3"/>
        </w:numPr>
        <w:spacing w:before="182" w:line="220"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 xml:space="preserve">GB/T 28827.1-2022 </w:t>
      </w:r>
      <w:r>
        <w:rPr>
          <w:rFonts w:ascii="宋体" w:eastAsia="宋体" w:hAnsi="宋体" w:cs="宋体"/>
          <w:spacing w:val="-2"/>
          <w:sz w:val="24"/>
          <w:szCs w:val="24"/>
        </w:rPr>
        <w:t>《信息技术服务 运行维护 第</w:t>
      </w:r>
      <w:r>
        <w:rPr>
          <w:rFonts w:ascii="宋体" w:eastAsia="宋体" w:hAnsi="宋体" w:cs="宋体"/>
          <w:spacing w:val="-33"/>
          <w:sz w:val="24"/>
          <w:szCs w:val="24"/>
        </w:rPr>
        <w:t xml:space="preserve"> </w:t>
      </w:r>
      <w:r>
        <w:rPr>
          <w:rFonts w:ascii="宋体" w:eastAsia="宋体" w:hAnsi="宋体" w:cs="宋体"/>
          <w:spacing w:val="-2"/>
          <w:sz w:val="24"/>
          <w:szCs w:val="24"/>
        </w:rPr>
        <w:t>1</w:t>
      </w:r>
      <w:r>
        <w:rPr>
          <w:rFonts w:ascii="宋体" w:eastAsia="宋体" w:hAnsi="宋体" w:cs="宋体"/>
          <w:spacing w:val="-47"/>
          <w:sz w:val="24"/>
          <w:szCs w:val="24"/>
        </w:rPr>
        <w:t xml:space="preserve"> </w:t>
      </w:r>
      <w:r>
        <w:rPr>
          <w:rFonts w:ascii="宋体" w:eastAsia="宋体" w:hAnsi="宋体" w:cs="宋体"/>
          <w:spacing w:val="-2"/>
          <w:sz w:val="24"/>
          <w:szCs w:val="24"/>
        </w:rPr>
        <w:t>部分：通用要求》</w:t>
      </w:r>
    </w:p>
    <w:p>
      <w:pPr>
        <w:numPr>
          <w:ilvl w:val="0"/>
          <w:numId w:val="3"/>
        </w:numPr>
        <w:spacing w:before="190" w:line="220"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GB/T 28827.2-2012 《信息技术服务 运行维护</w:t>
      </w:r>
      <w:r>
        <w:rPr>
          <w:rFonts w:ascii="宋体" w:eastAsia="宋体" w:hAnsi="宋体" w:cs="宋体"/>
          <w:spacing w:val="-2"/>
          <w:sz w:val="24"/>
          <w:szCs w:val="24"/>
        </w:rPr>
        <w:t xml:space="preserve"> 第</w:t>
      </w:r>
      <w:r>
        <w:rPr>
          <w:rFonts w:ascii="宋体" w:eastAsia="宋体" w:hAnsi="宋体" w:cs="宋体"/>
          <w:spacing w:val="-47"/>
          <w:sz w:val="24"/>
          <w:szCs w:val="24"/>
        </w:rPr>
        <w:t xml:space="preserve"> </w:t>
      </w:r>
      <w:r>
        <w:rPr>
          <w:rFonts w:ascii="宋体" w:eastAsia="宋体" w:hAnsi="宋体" w:cs="宋体"/>
          <w:spacing w:val="-2"/>
          <w:sz w:val="24"/>
          <w:szCs w:val="24"/>
        </w:rPr>
        <w:t>2</w:t>
      </w:r>
      <w:r>
        <w:rPr>
          <w:rFonts w:ascii="宋体" w:eastAsia="宋体" w:hAnsi="宋体" w:cs="宋体"/>
          <w:spacing w:val="-48"/>
          <w:sz w:val="24"/>
          <w:szCs w:val="24"/>
        </w:rPr>
        <w:t xml:space="preserve"> </w:t>
      </w:r>
      <w:r>
        <w:rPr>
          <w:rFonts w:ascii="宋体" w:eastAsia="宋体" w:hAnsi="宋体" w:cs="宋体"/>
          <w:spacing w:val="-2"/>
          <w:sz w:val="24"/>
          <w:szCs w:val="24"/>
        </w:rPr>
        <w:t>部分:交付规范》</w:t>
      </w:r>
    </w:p>
    <w:p>
      <w:pPr>
        <w:numPr>
          <w:ilvl w:val="0"/>
          <w:numId w:val="3"/>
        </w:numPr>
        <w:spacing w:before="182" w:line="292" w:lineRule="auto"/>
        <w:ind w:left="425" w:right="170" w:hanging="425" w:leftChars="0" w:firstLineChars="0"/>
        <w:rPr>
          <w:rFonts w:ascii="宋体" w:eastAsia="宋体" w:hAnsi="宋体" w:cs="宋体"/>
          <w:sz w:val="24"/>
          <w:szCs w:val="24"/>
        </w:rPr>
      </w:pPr>
      <w:r>
        <w:rPr>
          <w:rFonts w:ascii="宋体" w:eastAsia="宋体" w:hAnsi="宋体" w:cs="宋体"/>
          <w:spacing w:val="-2"/>
          <w:sz w:val="24"/>
          <w:szCs w:val="24"/>
        </w:rPr>
        <w:t>GB/T</w:t>
      </w:r>
      <w:r>
        <w:rPr>
          <w:rFonts w:ascii="宋体" w:eastAsia="宋体" w:hAnsi="宋体" w:cs="宋体"/>
          <w:spacing w:val="34"/>
          <w:sz w:val="24"/>
          <w:szCs w:val="24"/>
        </w:rPr>
        <w:t xml:space="preserve"> </w:t>
      </w:r>
      <w:r>
        <w:rPr>
          <w:rFonts w:ascii="宋体" w:eastAsia="宋体" w:hAnsi="宋体" w:cs="宋体"/>
          <w:spacing w:val="-2"/>
          <w:sz w:val="24"/>
          <w:szCs w:val="24"/>
        </w:rPr>
        <w:t>28827.3-2012 《信息技术服务</w:t>
      </w:r>
      <w:r>
        <w:rPr>
          <w:rFonts w:ascii="宋体" w:eastAsia="宋体" w:hAnsi="宋体" w:cs="宋体"/>
          <w:spacing w:val="42"/>
          <w:sz w:val="24"/>
          <w:szCs w:val="24"/>
        </w:rPr>
        <w:t xml:space="preserve"> </w:t>
      </w:r>
      <w:r>
        <w:rPr>
          <w:rFonts w:ascii="宋体" w:eastAsia="宋体" w:hAnsi="宋体" w:cs="宋体"/>
          <w:spacing w:val="-2"/>
          <w:sz w:val="24"/>
          <w:szCs w:val="24"/>
        </w:rPr>
        <w:t>运行维护</w:t>
      </w:r>
      <w:r>
        <w:rPr>
          <w:rFonts w:ascii="宋体" w:eastAsia="宋体" w:hAnsi="宋体" w:cs="宋体"/>
          <w:spacing w:val="31"/>
          <w:sz w:val="24"/>
          <w:szCs w:val="24"/>
        </w:rPr>
        <w:t xml:space="preserve"> </w:t>
      </w:r>
      <w:r>
        <w:rPr>
          <w:rFonts w:ascii="宋体" w:eastAsia="宋体" w:hAnsi="宋体" w:cs="宋体"/>
          <w:spacing w:val="-2"/>
          <w:sz w:val="24"/>
          <w:szCs w:val="24"/>
        </w:rPr>
        <w:t>第</w:t>
      </w:r>
      <w:r>
        <w:rPr>
          <w:rFonts w:ascii="宋体" w:eastAsia="宋体" w:hAnsi="宋体" w:cs="宋体"/>
          <w:spacing w:val="-46"/>
          <w:sz w:val="24"/>
          <w:szCs w:val="24"/>
        </w:rPr>
        <w:t xml:space="preserve"> </w:t>
      </w:r>
      <w:r>
        <w:rPr>
          <w:rFonts w:ascii="宋体" w:eastAsia="宋体" w:hAnsi="宋体" w:cs="宋体"/>
          <w:spacing w:val="-2"/>
          <w:sz w:val="24"/>
          <w:szCs w:val="24"/>
        </w:rPr>
        <w:t>3</w:t>
      </w:r>
      <w:r>
        <w:rPr>
          <w:rFonts w:ascii="宋体" w:eastAsia="宋体" w:hAnsi="宋体" w:cs="宋体"/>
          <w:spacing w:val="-48"/>
          <w:sz w:val="24"/>
          <w:szCs w:val="24"/>
        </w:rPr>
        <w:t xml:space="preserve"> </w:t>
      </w:r>
      <w:r>
        <w:rPr>
          <w:rFonts w:ascii="宋体" w:eastAsia="宋体" w:hAnsi="宋体" w:cs="宋体"/>
          <w:spacing w:val="-2"/>
          <w:sz w:val="24"/>
          <w:szCs w:val="24"/>
        </w:rPr>
        <w:t>部分:应急响应规</w:t>
      </w:r>
      <w:r>
        <w:rPr>
          <w:rFonts w:ascii="宋体" w:eastAsia="宋体" w:hAnsi="宋体" w:cs="宋体"/>
          <w:spacing w:val="-7"/>
          <w:sz w:val="24"/>
          <w:szCs w:val="24"/>
        </w:rPr>
        <w:t>范》</w:t>
      </w:r>
    </w:p>
    <w:p>
      <w:pPr>
        <w:numPr>
          <w:ilvl w:val="0"/>
          <w:numId w:val="3"/>
        </w:numPr>
        <w:spacing w:before="177" w:line="220"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GB/T 29264-2012 《信息技术服务 分类与代码》</w:t>
      </w:r>
    </w:p>
    <w:p>
      <w:pPr>
        <w:numPr>
          <w:ilvl w:val="0"/>
          <w:numId w:val="3"/>
        </w:numPr>
        <w:spacing w:before="182" w:line="220" w:lineRule="auto"/>
        <w:ind w:left="425" w:hanging="425" w:leftChars="0" w:firstLineChars="0"/>
        <w:rPr>
          <w:rFonts w:ascii="宋体" w:eastAsia="宋体" w:hAnsi="宋体" w:cs="宋体"/>
          <w:sz w:val="24"/>
          <w:szCs w:val="24"/>
        </w:rPr>
      </w:pPr>
      <w:r>
        <w:rPr>
          <w:rFonts w:ascii="宋体" w:eastAsia="宋体" w:hAnsi="宋体" w:cs="宋体"/>
          <w:spacing w:val="-3"/>
          <w:sz w:val="24"/>
          <w:szCs w:val="24"/>
        </w:rPr>
        <w:t>国家有关法律、法规及行业标准</w:t>
      </w:r>
    </w:p>
    <w:p>
      <w:pPr>
        <w:pStyle w:val="1"/>
        <w:bidi w:val="0"/>
      </w:pPr>
      <w:bookmarkStart w:id="6" w:name="_Toc18400"/>
      <w:r>
        <w:t>术语与定义</w:t>
      </w:r>
      <w:bookmarkEnd w:id="6"/>
    </w:p>
    <w:p>
      <w:pPr>
        <w:spacing w:before="177" w:line="220" w:lineRule="auto"/>
        <w:ind w:left="614"/>
        <w:rPr>
          <w:rFonts w:ascii="宋体" w:eastAsia="宋体" w:hAnsi="宋体" w:cs="宋体"/>
          <w:sz w:val="24"/>
          <w:szCs w:val="24"/>
        </w:rPr>
      </w:pPr>
      <w:r>
        <w:rPr>
          <w:rFonts w:ascii="宋体" w:eastAsia="宋体" w:hAnsi="宋体" w:cs="宋体"/>
          <w:sz w:val="24"/>
          <w:szCs w:val="24"/>
        </w:rPr>
        <w:t>无</w:t>
      </w:r>
    </w:p>
    <w:p>
      <w:pPr>
        <w:pStyle w:val="1"/>
        <w:bidi w:val="0"/>
      </w:pPr>
      <w:bookmarkStart w:id="7" w:name="_Toc6708"/>
      <w:r>
        <w:t>角色与职责</w:t>
      </w:r>
      <w:bookmarkEnd w:id="7"/>
    </w:p>
    <w:p>
      <w:pPr>
        <w:spacing w:line="62" w:lineRule="exact"/>
      </w:pPr>
    </w:p>
    <w:tbl>
      <w:tblPr>
        <w:tblStyle w:val="TableNormal0"/>
        <w:tblW w:w="85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275"/>
        <w:gridCol w:w="2740"/>
        <w:gridCol w:w="3517"/>
      </w:tblGrid>
      <w:tr>
        <w:tblPrEx>
          <w:tblW w:w="85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20"/>
        </w:trPr>
        <w:tc>
          <w:tcPr>
            <w:tcW w:w="2275" w:type="dxa"/>
            <w:shd w:val="clear" w:color="auto" w:fill="BFBFBF"/>
          </w:tcPr>
          <w:p>
            <w:pPr>
              <w:spacing w:before="52" w:line="219" w:lineRule="auto"/>
              <w:ind w:left="939"/>
              <w:rPr>
                <w:rFonts w:ascii="宋体" w:eastAsia="宋体" w:hAnsi="宋体" w:cs="宋体"/>
                <w:sz w:val="21"/>
                <w:szCs w:val="21"/>
              </w:rPr>
            </w:pPr>
            <w:r>
              <w:rPr>
                <w:rFonts w:ascii="宋体" w:eastAsia="宋体" w:hAnsi="宋体" w:cs="宋体"/>
                <w:spacing w:val="-3"/>
                <w:sz w:val="21"/>
                <w:szCs w:val="21"/>
              </w:rPr>
              <w:t>角色</w:t>
            </w:r>
          </w:p>
        </w:tc>
        <w:tc>
          <w:tcPr>
            <w:tcW w:w="2740" w:type="dxa"/>
            <w:shd w:val="clear" w:color="auto" w:fill="BFBFBF"/>
          </w:tcPr>
          <w:p>
            <w:pPr>
              <w:spacing w:before="52" w:line="221" w:lineRule="auto"/>
              <w:ind w:left="1167"/>
              <w:rPr>
                <w:rFonts w:ascii="宋体" w:eastAsia="宋体" w:hAnsi="宋体" w:cs="宋体"/>
                <w:sz w:val="21"/>
                <w:szCs w:val="21"/>
              </w:rPr>
            </w:pPr>
            <w:r>
              <w:rPr>
                <w:rFonts w:ascii="宋体" w:eastAsia="宋体" w:hAnsi="宋体" w:cs="宋体"/>
                <w:spacing w:val="-3"/>
                <w:sz w:val="21"/>
                <w:szCs w:val="21"/>
              </w:rPr>
              <w:t>职责</w:t>
            </w:r>
          </w:p>
        </w:tc>
        <w:tc>
          <w:tcPr>
            <w:tcW w:w="3517" w:type="dxa"/>
            <w:shd w:val="clear" w:color="auto" w:fill="BFBFBF"/>
          </w:tcPr>
          <w:p>
            <w:pPr>
              <w:spacing w:before="52" w:line="219" w:lineRule="auto"/>
              <w:ind w:left="212"/>
              <w:rPr>
                <w:rFonts w:ascii="宋体" w:eastAsia="宋体" w:hAnsi="宋体" w:cs="宋体"/>
                <w:sz w:val="21"/>
                <w:szCs w:val="21"/>
              </w:rPr>
            </w:pPr>
            <w:r>
              <w:rPr>
                <w:rFonts w:ascii="宋体" w:eastAsia="宋体" w:hAnsi="宋体" w:cs="宋体"/>
                <w:spacing w:val="-3"/>
                <w:sz w:val="21"/>
                <w:szCs w:val="21"/>
              </w:rPr>
              <w:t>岗位（要以岗位职责说明书确定）</w:t>
            </w:r>
          </w:p>
        </w:tc>
      </w:tr>
      <w:tr>
        <w:tblPrEx>
          <w:tblW w:w="8532" w:type="dxa"/>
          <w:tblInd w:w="5" w:type="dxa"/>
          <w:tblLayout w:type="fixed"/>
          <w:tblCellMar>
            <w:top w:w="0" w:type="dxa"/>
            <w:left w:w="0" w:type="dxa"/>
            <w:bottom w:w="0" w:type="dxa"/>
            <w:right w:w="0" w:type="dxa"/>
          </w:tblCellMar>
        </w:tblPrEx>
        <w:trPr>
          <w:trHeight w:val="315"/>
        </w:trPr>
        <w:tc>
          <w:tcPr>
            <w:tcW w:w="2275" w:type="dxa"/>
            <w:tcBorders>
              <w:bottom w:val="single" w:sz="4" w:space="0" w:color="auto"/>
            </w:tcBorders>
          </w:tcPr>
          <w:p>
            <w:pPr>
              <w:spacing w:before="43" w:line="220" w:lineRule="auto"/>
              <w:ind w:left="620"/>
              <w:rPr>
                <w:rFonts w:ascii="宋体" w:eastAsia="宋体" w:hAnsi="宋体" w:cs="宋体"/>
                <w:sz w:val="21"/>
                <w:szCs w:val="21"/>
              </w:rPr>
            </w:pPr>
            <w:r>
              <w:rPr>
                <w:rFonts w:ascii="宋体" w:eastAsia="宋体" w:hAnsi="宋体" w:cs="宋体"/>
                <w:spacing w:val="-2"/>
                <w:sz w:val="21"/>
                <w:szCs w:val="21"/>
              </w:rPr>
              <w:t>程序起草人</w:t>
            </w:r>
          </w:p>
        </w:tc>
        <w:tc>
          <w:tcPr>
            <w:tcW w:w="2740" w:type="dxa"/>
            <w:tcBorders>
              <w:bottom w:val="single" w:sz="4" w:space="0" w:color="auto"/>
            </w:tcBorders>
          </w:tcPr>
          <w:p>
            <w:pPr>
              <w:spacing w:before="43" w:line="220" w:lineRule="auto"/>
              <w:ind w:left="334"/>
              <w:rPr>
                <w:rFonts w:ascii="宋体" w:eastAsia="宋体" w:hAnsi="宋体" w:cs="宋体"/>
                <w:sz w:val="21"/>
                <w:szCs w:val="21"/>
              </w:rPr>
            </w:pPr>
            <w:r>
              <w:rPr>
                <w:rFonts w:ascii="宋体" w:eastAsia="宋体" w:hAnsi="宋体" w:cs="宋体"/>
                <w:spacing w:val="-2"/>
                <w:sz w:val="21"/>
                <w:szCs w:val="21"/>
              </w:rPr>
              <w:t>负责制度的编写及完善</w:t>
            </w:r>
          </w:p>
        </w:tc>
        <w:tc>
          <w:tcPr>
            <w:tcW w:w="3517" w:type="dxa"/>
            <w:tcBorders>
              <w:bottom w:val="single" w:sz="4" w:space="0" w:color="auto"/>
            </w:tcBorders>
          </w:tcPr>
          <w:p>
            <w:pPr>
              <w:spacing w:before="43" w:line="220" w:lineRule="auto"/>
              <w:ind w:left="1135"/>
              <w:rPr>
                <w:rFonts w:ascii="宋体" w:eastAsia="宋体" w:hAnsi="宋体" w:cs="宋体"/>
                <w:sz w:val="21"/>
                <w:szCs w:val="21"/>
              </w:rPr>
            </w:pPr>
            <w:r>
              <w:rPr>
                <w:rFonts w:ascii="宋体" w:eastAsia="宋体" w:hAnsi="宋体" w:cs="宋体"/>
                <w:spacing w:val="-2"/>
                <w:sz w:val="21"/>
                <w:szCs w:val="21"/>
              </w:rPr>
              <w:t>质量管理专员</w:t>
            </w:r>
          </w:p>
        </w:tc>
      </w:tr>
      <w:tr>
        <w:tblPrEx>
          <w:tblW w:w="8532" w:type="dxa"/>
          <w:tblInd w:w="5" w:type="dxa"/>
          <w:tblLayout w:type="fixed"/>
          <w:tblCellMar>
            <w:top w:w="0" w:type="dxa"/>
            <w:left w:w="0" w:type="dxa"/>
            <w:bottom w:w="0" w:type="dxa"/>
            <w:right w:w="0" w:type="dxa"/>
          </w:tblCellMar>
        </w:tblPrEx>
        <w:trPr>
          <w:trHeight w:val="310"/>
        </w:trPr>
        <w:tc>
          <w:tcPr>
            <w:tcW w:w="2275" w:type="dxa"/>
            <w:tcBorders>
              <w:top w:val="single" w:sz="4" w:space="0" w:color="auto"/>
              <w:left w:val="single" w:sz="4" w:space="0" w:color="auto"/>
              <w:bottom w:val="single" w:sz="4" w:space="0" w:color="auto"/>
            </w:tcBorders>
          </w:tcPr>
          <w:p>
            <w:pPr>
              <w:spacing w:before="36" w:line="220" w:lineRule="auto"/>
              <w:ind w:left="550"/>
              <w:rPr>
                <w:rFonts w:ascii="宋体" w:eastAsia="宋体" w:hAnsi="宋体" w:cs="宋体"/>
                <w:sz w:val="21"/>
                <w:szCs w:val="21"/>
              </w:rPr>
            </w:pPr>
            <w:r>
              <w:rPr>
                <w:rFonts w:ascii="宋体" w:eastAsia="宋体" w:hAnsi="宋体" w:cs="宋体"/>
                <w:spacing w:val="-2"/>
                <w:sz w:val="21"/>
                <w:szCs w:val="21"/>
              </w:rPr>
              <w:t>程序审核人</w:t>
            </w:r>
          </w:p>
        </w:tc>
        <w:tc>
          <w:tcPr>
            <w:tcW w:w="2740" w:type="dxa"/>
            <w:tcBorders>
              <w:top w:val="single" w:sz="4" w:space="0" w:color="auto"/>
              <w:bottom w:val="single" w:sz="4" w:space="0" w:color="auto"/>
            </w:tcBorders>
          </w:tcPr>
          <w:p>
            <w:pPr>
              <w:spacing w:before="36" w:line="220" w:lineRule="auto"/>
              <w:ind w:left="782"/>
              <w:rPr>
                <w:rFonts w:ascii="宋体" w:eastAsia="宋体" w:hAnsi="宋体" w:cs="宋体"/>
                <w:sz w:val="21"/>
                <w:szCs w:val="21"/>
              </w:rPr>
            </w:pPr>
            <w:r>
              <w:rPr>
                <w:rFonts w:ascii="宋体" w:eastAsia="宋体" w:hAnsi="宋体" w:cs="宋体"/>
                <w:spacing w:val="-2"/>
                <w:sz w:val="21"/>
                <w:szCs w:val="21"/>
              </w:rPr>
              <w:t>制度的审核</w:t>
            </w:r>
          </w:p>
        </w:tc>
        <w:tc>
          <w:tcPr>
            <w:tcW w:w="3517" w:type="dxa"/>
            <w:tcBorders>
              <w:top w:val="single" w:sz="4" w:space="0" w:color="auto"/>
              <w:bottom w:val="single" w:sz="4" w:space="0" w:color="auto"/>
              <w:right w:val="single" w:sz="4" w:space="0" w:color="auto"/>
            </w:tcBorders>
          </w:tcPr>
          <w:p>
            <w:pPr>
              <w:spacing w:before="36" w:line="229" w:lineRule="auto"/>
              <w:ind w:left="1385"/>
              <w:rPr>
                <w:rFonts w:ascii="宋体" w:eastAsia="宋体" w:hAnsi="宋体" w:cs="宋体"/>
                <w:sz w:val="21"/>
                <w:szCs w:val="21"/>
              </w:rPr>
            </w:pPr>
            <w:r>
              <w:rPr>
                <w:rFonts w:ascii="宋体" w:eastAsia="宋体" w:hAnsi="宋体" w:cs="宋体"/>
                <w:spacing w:val="-4"/>
                <w:sz w:val="21"/>
                <w:szCs w:val="21"/>
              </w:rPr>
              <w:t>总经理</w:t>
            </w:r>
          </w:p>
        </w:tc>
      </w:tr>
    </w:tbl>
    <w:p>
      <w:pPr>
        <w:pStyle w:val="BodyText"/>
      </w:pPr>
    </w:p>
    <w:p>
      <w:pPr>
        <w:sectPr>
          <w:footerReference w:type="default" r:id="rId4"/>
          <w:pgSz w:w="11906" w:h="16839"/>
          <w:pgMar w:top="1431" w:right="1629" w:bottom="711" w:left="1734" w:header="0" w:footer="548" w:gutter="0"/>
          <w:cols w:num="1" w:space="720"/>
        </w:sectPr>
      </w:pPr>
    </w:p>
    <w:p>
      <w:pPr>
        <w:pStyle w:val="1"/>
        <w:bidi w:val="0"/>
      </w:pPr>
      <w:bookmarkStart w:id="8" w:name="_Toc28434"/>
      <w:r>
        <w:t>工作程序</w:t>
      </w:r>
      <w:bookmarkEnd w:id="8"/>
    </w:p>
    <w:p>
      <w:pPr>
        <w:pStyle w:val="2"/>
        <w:bidi w:val="0"/>
      </w:pPr>
      <w:bookmarkStart w:id="9" w:name="bookmark19"/>
      <w:bookmarkEnd w:id="9"/>
      <w:bookmarkStart w:id="10" w:name="_Toc9878"/>
      <w:r>
        <w:t>识别、定义度量项</w:t>
      </w:r>
      <w:bookmarkEnd w:id="10"/>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公司运维服务能力</w:t>
      </w:r>
      <w:r>
        <w:rPr>
          <w:rFonts w:ascii="宋体" w:eastAsia="宋体" w:hAnsi="宋体" w:cs="宋体" w:hint="eastAsia"/>
          <w:spacing w:val="-1"/>
          <w:sz w:val="24"/>
          <w:szCs w:val="24"/>
          <w:lang w:val="en-US" w:eastAsia="zh-CN"/>
        </w:rPr>
        <w:t>质</w:t>
      </w:r>
      <w:r>
        <w:rPr>
          <w:rFonts w:ascii="宋体" w:eastAsia="宋体" w:hAnsi="宋体" w:cs="宋体"/>
          <w:spacing w:val="-1"/>
          <w:sz w:val="24"/>
          <w:szCs w:val="24"/>
        </w:rPr>
        <w:t>量体系由运维部负责维护，每年年初需要根据年度实施情况做调整，主要工作：识别新的度量项、去除不合理的度量项，根据本年度运维服务能力量化目标识别本年度需要测量的指标，并对以上指标进行规范定义、发布以及培训指导。</w:t>
      </w:r>
    </w:p>
    <w:p>
      <w:pPr>
        <w:pStyle w:val="2"/>
        <w:bidi w:val="0"/>
      </w:pPr>
      <w:bookmarkStart w:id="11" w:name="_Toc20635"/>
      <w:r>
        <w:t>确定服务能力基准</w:t>
      </w:r>
      <w:bookmarkEnd w:id="1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运维部需根据上年度运维部能力指标实施情况，收集整理相关指标数据，并建立关键能力指标基线，衡量公司现有服务能力水平。</w:t>
      </w:r>
    </w:p>
    <w:p>
      <w:pPr>
        <w:pStyle w:val="2"/>
        <w:bidi w:val="0"/>
      </w:pPr>
      <w:bookmarkStart w:id="12" w:name="_Toc18446"/>
      <w:r>
        <w:t>设定目标</w:t>
      </w:r>
      <w:bookmarkEnd w:id="1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根据公司最新服务能力指标以及客户要求，运维部需要召集相关领导和其他干系人讨论年度运维服务能力目标的合理性问题，最终确定一个合理的目标数据。</w:t>
      </w:r>
    </w:p>
    <w:p>
      <w:pPr>
        <w:pStyle w:val="2"/>
        <w:bidi w:val="0"/>
      </w:pPr>
      <w:bookmarkStart w:id="13" w:name="_Toc2981"/>
      <w:r>
        <w:t>收集指标数据改进</w:t>
      </w:r>
      <w:bookmarkEnd w:id="1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质量部根据在监督执行过程改进工作的同时，需要收集相关过程指标数据或一些改进建议信息，供运维部分析使用，过程中发现阶段目标偏离或者其他问题，需及时与运维部进行反应。</w:t>
      </w:r>
    </w:p>
    <w:p>
      <w:pPr>
        <w:pStyle w:val="2"/>
        <w:bidi w:val="0"/>
      </w:pPr>
      <w:bookmarkStart w:id="14" w:name="_Toc25534"/>
      <w:r>
        <w:t>分析能力数据</w:t>
      </w:r>
      <w:bookmarkEnd w:id="1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根据质量部收集的过程数据，并依据计划开展过程能力分析活动，依据年初发布的过程能力水平，在过程中需要加强异常指标的管控，按照基线修改判异规则触发条件，及时发现问题进行分析，在一定的管控监控点，运维部还应与设定的目标进行对比，以判定目标设定是否合理，必要时，对设定目标进行调整。</w:t>
      </w:r>
    </w:p>
    <w:p>
      <w:pPr>
        <w:pStyle w:val="2"/>
        <w:bidi w:val="0"/>
      </w:pPr>
      <w:bookmarkStart w:id="15" w:name="_Toc20679"/>
      <w:r>
        <w:t>识别差距</w:t>
      </w:r>
      <w:bookmarkEnd w:id="15"/>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在项目日常执行过程中，运维部需要定期收集运维方面的改进建议，主要来源客户反馈、运维部发现以及组织监控中发现的问题等，运维部需要不定期进行相关讨论，识别真正需要改进的差距或提升项。另外运维部针对指标基线以及指标执行数据，分析本年度服务能力水平趋势，识别异常点进行重点分析管控。</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运维部需要根据识别的差距严重程度，有选择性地强化某些方面的能力提升，应给予相关人员一定的培训。</w:t>
      </w:r>
    </w:p>
    <w:p>
      <w:pPr>
        <w:pStyle w:val="2"/>
        <w:bidi w:val="0"/>
      </w:pPr>
      <w:bookmarkStart w:id="16" w:name="bookmark1"/>
      <w:bookmarkEnd w:id="16"/>
      <w:bookmarkStart w:id="17" w:name="_Toc20448"/>
      <w:r>
        <w:t>确定服务改进措施</w:t>
      </w:r>
      <w:bookmarkEnd w:id="17"/>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运维部根据收集分析获得的改进项以及发现改进的问题项，进行针对性的提出服务改进解决方案，并通报给相关领导和改进参与人。</w:t>
      </w:r>
    </w:p>
    <w:p>
      <w:pPr>
        <w:pStyle w:val="2"/>
        <w:bidi w:val="0"/>
      </w:pPr>
      <w:bookmarkStart w:id="18" w:name="_Toc19817"/>
      <w:r>
        <w:t>服务改进实施</w:t>
      </w:r>
      <w:bookmarkEnd w:id="18"/>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根据改进解决方案，针对性进行改进工作规划与实施，运维部</w:t>
      </w:r>
      <w:bookmarkStart w:id="19" w:name="_GoBack"/>
      <w:bookmarkEnd w:id="19"/>
      <w:r>
        <w:rPr>
          <w:rFonts w:ascii="宋体" w:eastAsia="宋体" w:hAnsi="宋体" w:cs="宋体"/>
          <w:spacing w:val="-1"/>
          <w:sz w:val="24"/>
          <w:szCs w:val="24"/>
        </w:rPr>
        <w:t>根据改进措施的实施情况，将效果比较好的有效措施固化到流程中，不断优化公司服务能力体系。</w:t>
      </w:r>
    </w:p>
    <w:p>
      <w:pPr>
        <w:pStyle w:val="2"/>
        <w:bidi w:val="0"/>
      </w:pPr>
      <w:bookmarkStart w:id="20" w:name="_Toc15367"/>
      <w:r>
        <w:t>服务监控</w:t>
      </w:r>
      <w:bookmarkEnd w:id="20"/>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质量部跟踪服务改进方案实施进行情况，发现措施实施有效问题时，及时通知运维部，商议调整改进方案事项，使改进达到最佳效果。</w:t>
      </w:r>
    </w:p>
    <w:p>
      <w:pPr>
        <w:pStyle w:val="1"/>
        <w:bidi w:val="0"/>
      </w:pPr>
      <w:bookmarkStart w:id="21" w:name="_Toc29552"/>
      <w:r>
        <w:t>相关文件</w:t>
      </w:r>
      <w:bookmarkEnd w:id="21"/>
    </w:p>
    <w:p>
      <w:pPr>
        <w:spacing w:before="44" w:line="220" w:lineRule="auto"/>
        <w:ind w:left="505"/>
        <w:rPr>
          <w:rFonts w:ascii="宋体" w:eastAsia="宋体" w:hAnsi="宋体" w:cs="宋体"/>
          <w:sz w:val="24"/>
          <w:szCs w:val="24"/>
        </w:rPr>
      </w:pPr>
      <w:r>
        <w:rPr>
          <w:rFonts w:ascii="宋体" w:eastAsia="宋体" w:hAnsi="宋体" w:cs="宋体"/>
          <w:sz w:val="24"/>
          <w:szCs w:val="24"/>
        </w:rPr>
        <w:t>无</w:t>
      </w:r>
    </w:p>
    <w:p>
      <w:pPr>
        <w:pStyle w:val="1"/>
        <w:bidi w:val="0"/>
      </w:pPr>
      <w:bookmarkStart w:id="22" w:name="_Toc22681"/>
      <w:r>
        <w:t>附  则</w:t>
      </w:r>
      <w:bookmarkEnd w:id="22"/>
    </w:p>
    <w:p>
      <w:pPr>
        <w:spacing w:before="178" w:line="219" w:lineRule="auto"/>
        <w:ind w:left="461"/>
        <w:rPr>
          <w:rFonts w:ascii="宋体" w:eastAsia="宋体" w:hAnsi="宋体" w:cs="宋体"/>
          <w:sz w:val="24"/>
          <w:szCs w:val="24"/>
        </w:rPr>
      </w:pPr>
      <w:r>
        <w:rPr>
          <w:rFonts w:ascii="宋体" w:eastAsia="宋体" w:hAnsi="宋体" w:cs="宋体"/>
          <w:spacing w:val="-2"/>
          <w:sz w:val="24"/>
          <w:szCs w:val="24"/>
        </w:rPr>
        <w:t>1.</w:t>
      </w:r>
      <w:r>
        <w:rPr>
          <w:rFonts w:ascii="宋体" w:eastAsia="宋体" w:hAnsi="宋体" w:cs="宋体"/>
          <w:spacing w:val="70"/>
          <w:sz w:val="24"/>
          <w:szCs w:val="24"/>
        </w:rPr>
        <w:t xml:space="preserve"> </w:t>
      </w:r>
      <w:r>
        <w:rPr>
          <w:rFonts w:ascii="宋体" w:eastAsia="宋体" w:hAnsi="宋体" w:cs="宋体"/>
          <w:spacing w:val="-2"/>
          <w:sz w:val="24"/>
          <w:szCs w:val="24"/>
        </w:rPr>
        <w:t>本制度由公司质量部拟定，自公司总经理</w:t>
      </w:r>
      <w:r>
        <w:rPr>
          <w:rFonts w:ascii="宋体" w:eastAsia="宋体" w:hAnsi="宋体" w:cs="宋体"/>
          <w:spacing w:val="-3"/>
          <w:sz w:val="24"/>
          <w:szCs w:val="24"/>
        </w:rPr>
        <w:t>批准颁布之日起施行。</w:t>
      </w:r>
    </w:p>
    <w:sectPr>
      <w:headerReference w:type="default" r:id="rId5"/>
      <w:footerReference w:type="default" r:id="rId6"/>
      <w:pgSz w:w="11906" w:h="16839"/>
      <w:pgMar w:top="1240" w:right="1785" w:bottom="1375"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45"/>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0"/>
      <w:rPr>
        <w:rFonts w:ascii="Calibri" w:eastAsia="Calibri" w:hAnsi="Calibri" w:cs="Calibri"/>
        <w:sz w:val="18"/>
        <w:szCs w:val="18"/>
      </w:rPr>
    </w:pPr>
    <w:r>
      <w:rPr>
        <w:rFonts w:ascii="Calibri" w:eastAsia="Calibri" w:hAnsi="Calibri" w:cs="Calibri"/>
        <w:sz w:val="18"/>
        <w:szCs w:val="18"/>
      </w:rPr>
      <w:t>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2C39084"/>
    <w:multiLevelType w:val="singleLevel"/>
    <w:tmpl w:val="F2C39084"/>
    <w:lvl w:ilvl="0">
      <w:start w:val="1"/>
      <w:numFmt w:val="decimal"/>
      <w:lvlText w:val="%1."/>
      <w:lvlJc w:val="left"/>
      <w:pPr>
        <w:ind w:left="425" w:hanging="425"/>
      </w:pPr>
      <w:rPr>
        <w:rFonts w:hint="default"/>
      </w:rPr>
    </w:lvl>
  </w:abstractNum>
  <w:abstractNum w:abstractNumId="2">
    <w:nsid w:val="0E9F921B"/>
    <w:multiLevelType w:val="singleLevel"/>
    <w:tmpl w:val="0E9F921B"/>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6</Pages>
  <Words>1594</Words>
  <Characters>1723</Characters>
  <Application>Microsoft Office Word</Application>
  <DocSecurity>0</DocSecurity>
  <Lines>0</Lines>
  <Paragraphs>0</Paragraphs>
  <ScaleCrop>false</ScaleCrop>
  <Company/>
  <LinksUpToDate>false</LinksUpToDate>
  <CharactersWithSpaces>1831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chenlei</dc:creator>
  <cp:lastModifiedBy>nancy杨茜</cp:lastModifiedBy>
  <cp:revision>0</cp:revision>
  <dcterms:created xsi:type="dcterms:W3CDTF">2025-08-19T19:09:00Z</dcterms:created>
  <dcterms:modified xsi:type="dcterms:W3CDTF">2026-01-07T21:54:20Z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2025-08-20T16:11:11Z</vt:filetime>
  </property>
  <property fmtid="{D5CDD505-2E9C-101B-9397-08002B2CF9AE}" pid="3" name="CRO">
    <vt:lpwstr>wqlLaW5nc29mdCBQREYgdG8gV1BTIDExNQ</vt:lpwstr>
  </property>
  <property fmtid="{D5CDD505-2E9C-101B-9397-08002B2CF9AE}" pid="4" name="ICV">
    <vt:lpwstr>6F81604A16B843C3BEE61252C9D979B7_12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