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bidi w:val="0"/>
      </w:pPr>
      <w:bookmarkStart w:id="0" w:name="_Toc32686"/>
    </w:p>
    <w:p>
      <w:pPr>
        <w:pStyle w:val="a1"/>
        <w:bidi w:val="0"/>
      </w:pPr>
      <w:r>
        <w:t>运维服务质量管</w:t>
      </w:r>
      <w:bookmarkStart w:id="1" w:name="_GoBack"/>
      <w:bookmarkEnd w:id="1"/>
      <w:r>
        <w:t>理制度</w:t>
      </w:r>
      <w:bookmarkEnd w:id="0"/>
    </w:p>
    <w:p>
      <w:pPr>
        <w:pStyle w:val="a2"/>
        <w:bidi w:val="0"/>
      </w:pPr>
      <w:bookmarkStart w:id="2" w:name="_Toc15877"/>
      <w:r>
        <w:t>江苏云储智能科技有限公司</w:t>
      </w:r>
      <w:bookmarkEnd w:id="2"/>
    </w:p>
    <w:p>
      <w:pPr>
        <w:spacing w:before="224" w:line="220" w:lineRule="auto"/>
        <w:ind w:left="2925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spacing w:val="-11"/>
          <w:sz w:val="36"/>
          <w:szCs w:val="36"/>
        </w:rPr>
        <w:t>2025年1月4日</w:t>
      </w:r>
    </w:p>
    <w:p>
      <w:pPr>
        <w:spacing w:line="220" w:lineRule="auto"/>
        <w:rPr>
          <w:rFonts w:ascii="宋体" w:eastAsia="宋体" w:hAnsi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num="1" w:space="720"/>
        </w:sectPr>
      </w:pPr>
    </w:p>
    <w:p>
      <w:pPr>
        <w:spacing w:before="91" w:line="220" w:lineRule="auto"/>
        <w:ind w:left="3620"/>
        <w:outlineLvl w:val="0"/>
        <w:rPr>
          <w:rFonts w:ascii="宋体" w:eastAsia="宋体" w:hAnsi="宋体" w:cs="宋体"/>
          <w:sz w:val="28"/>
          <w:szCs w:val="28"/>
        </w:rPr>
      </w:pPr>
      <w:bookmarkStart w:id="3" w:name="_Toc3915"/>
      <w:r>
        <w:rPr>
          <w:rFonts w:ascii="宋体" w:eastAsia="宋体" w:hAnsi="宋体" w:cs="宋体"/>
          <w:spacing w:val="-3"/>
          <w:sz w:val="28"/>
          <w:szCs w:val="28"/>
        </w:rPr>
        <w:t>文档信息</w:t>
      </w:r>
      <w:bookmarkEnd w:id="3"/>
    </w:p>
    <w:tbl>
      <w:tblPr>
        <w:tblStyle w:val="TableNormal0"/>
        <w:tblW w:w="8646" w:type="dxa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8"/>
        <w:gridCol w:w="2123"/>
        <w:gridCol w:w="1699"/>
        <w:gridCol w:w="1562"/>
      </w:tblGrid>
      <w:tr>
        <w:tblPrEx>
          <w:tblW w:w="8646" w:type="dxa"/>
          <w:tblInd w:w="2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704" w:type="dxa"/>
          </w:tcPr>
          <w:p>
            <w:pPr>
              <w:spacing w:before="125" w:line="220" w:lineRule="auto"/>
              <w:ind w:left="13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文档名称编号</w:t>
            </w:r>
          </w:p>
        </w:tc>
        <w:tc>
          <w:tcPr>
            <w:tcW w:w="6942" w:type="dxa"/>
            <w:gridSpan w:val="4"/>
          </w:tcPr>
          <w:p>
            <w:pPr>
              <w:spacing w:before="125" w:line="218" w:lineRule="auto"/>
              <w:ind w:left="10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运维服务质量管理制度（FWFWZLGL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-ITSS-ZJBG）</w:t>
            </w:r>
          </w:p>
        </w:tc>
      </w:tr>
      <w:tr>
        <w:tblPrEx>
          <w:tblW w:w="8646" w:type="dxa"/>
          <w:tblInd w:w="2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704" w:type="dxa"/>
          </w:tcPr>
          <w:p>
            <w:pPr>
              <w:spacing w:before="122" w:line="220" w:lineRule="auto"/>
              <w:ind w:left="37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编制单位</w:t>
            </w:r>
          </w:p>
        </w:tc>
        <w:tc>
          <w:tcPr>
            <w:tcW w:w="6942" w:type="dxa"/>
            <w:gridSpan w:val="4"/>
          </w:tcPr>
          <w:p>
            <w:pPr>
              <w:spacing w:before="122" w:line="219" w:lineRule="auto"/>
              <w:ind w:left="10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江苏云储智能科技有限公司</w:t>
            </w:r>
          </w:p>
        </w:tc>
      </w:tr>
      <w:tr>
        <w:tblPrEx>
          <w:tblW w:w="8646" w:type="dxa"/>
          <w:tblInd w:w="2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704" w:type="dxa"/>
          </w:tcPr>
          <w:p>
            <w:pPr>
              <w:spacing w:before="124" w:line="220" w:lineRule="auto"/>
              <w:ind w:left="37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文档密级</w:t>
            </w:r>
          </w:p>
        </w:tc>
        <w:tc>
          <w:tcPr>
            <w:tcW w:w="6942" w:type="dxa"/>
            <w:gridSpan w:val="4"/>
          </w:tcPr>
          <w:p>
            <w:pPr>
              <w:spacing w:before="124" w:line="220" w:lineRule="auto"/>
              <w:ind w:left="10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秘密</w:t>
            </w:r>
          </w:p>
        </w:tc>
      </w:tr>
      <w:tr>
        <w:tblPrEx>
          <w:tblW w:w="8646" w:type="dxa"/>
          <w:tblInd w:w="2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704" w:type="dxa"/>
          </w:tcPr>
          <w:p>
            <w:pPr>
              <w:spacing w:before="125" w:line="219" w:lineRule="auto"/>
              <w:ind w:left="37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文档版本</w:t>
            </w:r>
          </w:p>
        </w:tc>
        <w:tc>
          <w:tcPr>
            <w:tcW w:w="1558" w:type="dxa"/>
          </w:tcPr>
          <w:p>
            <w:pPr>
              <w:spacing w:before="125" w:line="219" w:lineRule="auto"/>
              <w:ind w:left="3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版本日期</w:t>
            </w:r>
          </w:p>
        </w:tc>
        <w:tc>
          <w:tcPr>
            <w:tcW w:w="2123" w:type="dxa"/>
          </w:tcPr>
          <w:p>
            <w:pPr>
              <w:spacing w:before="125" w:line="219" w:lineRule="auto"/>
              <w:ind w:left="58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版本说明</w:t>
            </w:r>
          </w:p>
        </w:tc>
        <w:tc>
          <w:tcPr>
            <w:tcW w:w="1699" w:type="dxa"/>
          </w:tcPr>
          <w:p>
            <w:pPr>
              <w:spacing w:before="126" w:line="220" w:lineRule="auto"/>
              <w:ind w:left="55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作</w:t>
            </w:r>
            <w:r>
              <w:rPr>
                <w:rFonts w:ascii="宋体" w:eastAsia="宋体" w:hAnsi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者</w:t>
            </w:r>
          </w:p>
        </w:tc>
        <w:tc>
          <w:tcPr>
            <w:tcW w:w="1562" w:type="dxa"/>
          </w:tcPr>
          <w:p>
            <w:pPr>
              <w:spacing w:before="126" w:line="220" w:lineRule="auto"/>
              <w:ind w:left="56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审核</w:t>
            </w:r>
          </w:p>
        </w:tc>
      </w:tr>
      <w:tr>
        <w:tblPrEx>
          <w:tblW w:w="8646" w:type="dxa"/>
          <w:tblInd w:w="2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spacing w:before="104" w:line="239" w:lineRule="auto"/>
              <w:ind w:left="63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558" w:type="dxa"/>
          </w:tcPr>
          <w:p>
            <w:pPr>
              <w:spacing w:before="104"/>
              <w:ind w:left="36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123" w:type="dxa"/>
          </w:tcPr>
          <w:p>
            <w:pPr>
              <w:spacing w:before="74" w:line="219" w:lineRule="auto"/>
              <w:ind w:left="64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699" w:type="dxa"/>
          </w:tcPr>
          <w:p>
            <w:pPr>
              <w:spacing w:before="74" w:line="220" w:lineRule="auto"/>
              <w:ind w:left="542"/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郑云</w:t>
            </w:r>
          </w:p>
        </w:tc>
        <w:tc>
          <w:tcPr>
            <w:tcW w:w="1562" w:type="dxa"/>
          </w:tcPr>
          <w:p>
            <w:pPr>
              <w:spacing w:before="75" w:line="220" w:lineRule="auto"/>
              <w:ind w:left="482"/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史晓玲</w:t>
            </w:r>
          </w:p>
        </w:tc>
      </w:tr>
      <w:tr>
        <w:tblPrEx>
          <w:tblW w:w="8646" w:type="dxa"/>
          <w:tblInd w:w="2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</w:pPr>
          </w:p>
        </w:tc>
        <w:tc>
          <w:tcPr>
            <w:tcW w:w="1558" w:type="dxa"/>
          </w:tcPr>
          <w:p>
            <w:pPr>
              <w:pStyle w:val="TableText"/>
            </w:pPr>
          </w:p>
        </w:tc>
        <w:tc>
          <w:tcPr>
            <w:tcW w:w="2123" w:type="dxa"/>
          </w:tcPr>
          <w:p>
            <w:pPr>
              <w:pStyle w:val="TableText"/>
            </w:pPr>
          </w:p>
        </w:tc>
        <w:tc>
          <w:tcPr>
            <w:tcW w:w="1699" w:type="dxa"/>
          </w:tcPr>
          <w:p>
            <w:pPr>
              <w:pStyle w:val="TableText"/>
            </w:pPr>
          </w:p>
        </w:tc>
        <w:tc>
          <w:tcPr>
            <w:tcW w:w="1562" w:type="dxa"/>
          </w:tcPr>
          <w:p>
            <w:pPr>
              <w:pStyle w:val="TableText"/>
            </w:pPr>
          </w:p>
        </w:tc>
      </w:tr>
      <w:tr>
        <w:tblPrEx>
          <w:tblW w:w="8646" w:type="dxa"/>
          <w:tblInd w:w="2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</w:pPr>
          </w:p>
        </w:tc>
        <w:tc>
          <w:tcPr>
            <w:tcW w:w="1558" w:type="dxa"/>
          </w:tcPr>
          <w:p>
            <w:pPr>
              <w:pStyle w:val="TableText"/>
            </w:pPr>
          </w:p>
        </w:tc>
        <w:tc>
          <w:tcPr>
            <w:tcW w:w="2123" w:type="dxa"/>
          </w:tcPr>
          <w:p>
            <w:pPr>
              <w:pStyle w:val="TableText"/>
            </w:pPr>
          </w:p>
        </w:tc>
        <w:tc>
          <w:tcPr>
            <w:tcW w:w="1699" w:type="dxa"/>
          </w:tcPr>
          <w:p>
            <w:pPr>
              <w:pStyle w:val="TableText"/>
            </w:pPr>
          </w:p>
        </w:tc>
        <w:tc>
          <w:tcPr>
            <w:tcW w:w="1562" w:type="dxa"/>
          </w:tcPr>
          <w:p>
            <w:pPr>
              <w:pStyle w:val="TableText"/>
            </w:pPr>
          </w:p>
        </w:tc>
      </w:tr>
      <w:tr>
        <w:tblPrEx>
          <w:tblW w:w="8646" w:type="dxa"/>
          <w:tblInd w:w="2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</w:trPr>
        <w:tc>
          <w:tcPr>
            <w:tcW w:w="1704" w:type="dxa"/>
          </w:tcPr>
          <w:p>
            <w:pPr>
              <w:pStyle w:val="TableText"/>
            </w:pPr>
          </w:p>
        </w:tc>
        <w:tc>
          <w:tcPr>
            <w:tcW w:w="1558" w:type="dxa"/>
          </w:tcPr>
          <w:p>
            <w:pPr>
              <w:pStyle w:val="TableText"/>
            </w:pPr>
          </w:p>
        </w:tc>
        <w:tc>
          <w:tcPr>
            <w:tcW w:w="2123" w:type="dxa"/>
          </w:tcPr>
          <w:p>
            <w:pPr>
              <w:pStyle w:val="TableText"/>
            </w:pPr>
          </w:p>
        </w:tc>
        <w:tc>
          <w:tcPr>
            <w:tcW w:w="1699" w:type="dxa"/>
          </w:tcPr>
          <w:p>
            <w:pPr>
              <w:pStyle w:val="TableText"/>
            </w:pPr>
          </w:p>
        </w:tc>
        <w:tc>
          <w:tcPr>
            <w:tcW w:w="1562" w:type="dxa"/>
          </w:tcPr>
          <w:p>
            <w:pPr>
              <w:pStyle w:val="TableText"/>
            </w:pPr>
          </w:p>
        </w:tc>
      </w:tr>
      <w:tr>
        <w:tblPrEx>
          <w:tblW w:w="8646" w:type="dxa"/>
          <w:tblInd w:w="2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704" w:type="dxa"/>
          </w:tcPr>
          <w:p>
            <w:pPr>
              <w:pStyle w:val="TableText"/>
            </w:pPr>
          </w:p>
        </w:tc>
        <w:tc>
          <w:tcPr>
            <w:tcW w:w="1558" w:type="dxa"/>
          </w:tcPr>
          <w:p>
            <w:pPr>
              <w:pStyle w:val="TableText"/>
            </w:pPr>
          </w:p>
        </w:tc>
        <w:tc>
          <w:tcPr>
            <w:tcW w:w="2123" w:type="dxa"/>
          </w:tcPr>
          <w:p>
            <w:pPr>
              <w:pStyle w:val="TableText"/>
            </w:pPr>
          </w:p>
        </w:tc>
        <w:tc>
          <w:tcPr>
            <w:tcW w:w="1699" w:type="dxa"/>
          </w:tcPr>
          <w:p>
            <w:pPr>
              <w:pStyle w:val="TableText"/>
            </w:pPr>
          </w:p>
        </w:tc>
        <w:tc>
          <w:tcPr>
            <w:tcW w:w="1562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pgSz w:w="11906" w:h="16839"/>
          <w:pgMar w:top="1431" w:right="1440" w:bottom="0" w:left="1785" w:header="0" w:footer="0" w:gutter="0"/>
          <w:cols w:num="1" w:space="720"/>
        </w:sectPr>
      </w:pP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7262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 w:val="24"/>
              <w:szCs w:val="24"/>
            </w:rPr>
            <w:fldChar w:fldCharType="begin"/>
          </w:r>
          <w:r>
            <w:rPr>
              <w:rFonts w:ascii="Calibri" w:eastAsia="Calibri" w:hAnsi="Calibri" w:cs="Calibri"/>
              <w:sz w:val="24"/>
              <w:szCs w:val="24"/>
            </w:rPr>
            <w:instrText xml:space="preserve">TOC \o "1-3" \h \u </w:instrText>
          </w:r>
          <w:r>
            <w:rPr>
              <w:rFonts w:ascii="Calibri" w:eastAsia="Calibri" w:hAnsi="Calibri" w:cs="Calibri"/>
              <w:sz w:val="24"/>
              <w:szCs w:val="24"/>
            </w:rPr>
            <w:fldChar w:fldCharType="separate"/>
          </w: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_Toc32686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t>运维服务质量管理制度</w:t>
          </w:r>
          <w:r>
            <w:tab/>
          </w:r>
          <w:r>
            <w:fldChar w:fldCharType="begin"/>
          </w:r>
          <w:r>
            <w:instrText xml:space="preserve"> PAGEREF _Toc32686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_Toc15877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_Toc15877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_Toc3915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宋体" w:eastAsia="宋体" w:hAnsi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_Toc3915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_Toc23239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_Toc23239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_Toc19928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_Toc19928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_Toc31174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引用文件</w:t>
          </w:r>
          <w:r>
            <w:tab/>
          </w:r>
          <w:r>
            <w:fldChar w:fldCharType="begin"/>
          </w:r>
          <w:r>
            <w:instrText xml:space="preserve"> PAGEREF _Toc31174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_Toc5519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术语与定义</w:t>
          </w:r>
          <w:r>
            <w:tab/>
          </w:r>
          <w:r>
            <w:fldChar w:fldCharType="begin"/>
          </w:r>
          <w:r>
            <w:instrText xml:space="preserve"> PAGEREF _Toc5519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_Toc5801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角色与职责</w:t>
          </w:r>
          <w:r>
            <w:tab/>
          </w:r>
          <w:r>
            <w:fldChar w:fldCharType="begin"/>
          </w:r>
          <w:r>
            <w:instrText xml:space="preserve"> PAGEREF _Toc5801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_Toc15462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宋体" w:eastAsia="宋体" w:hAnsi="宋体" w:cs="宋体"/>
              <w:spacing w:val="-2"/>
              <w:szCs w:val="24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_Toc15462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_Toc7357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部门岗位</w:t>
          </w:r>
          <w:r>
            <w:tab/>
          </w:r>
          <w:r>
            <w:fldChar w:fldCharType="begin"/>
          </w:r>
          <w:r>
            <w:instrText xml:space="preserve"> PAGEREF _Toc7357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_Toc24833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公司高层</w:t>
          </w:r>
          <w:r>
            <w:tab/>
          </w:r>
          <w:r>
            <w:fldChar w:fldCharType="begin"/>
          </w:r>
          <w:r>
            <w:instrText xml:space="preserve"> PAGEREF _Toc24833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_Toc5776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质量部</w:t>
          </w:r>
          <w:r>
            <w:tab/>
          </w:r>
          <w:r>
            <w:fldChar w:fldCharType="begin"/>
          </w:r>
          <w:r>
            <w:instrText xml:space="preserve"> PAGEREF _Toc5776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_Toc6209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运维部</w:t>
          </w:r>
          <w:r>
            <w:tab/>
          </w:r>
          <w:r>
            <w:fldChar w:fldCharType="begin"/>
          </w:r>
          <w:r>
            <w:instrText xml:space="preserve"> PAGEREF _Toc6209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_Toc28614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6.4. </w:t>
          </w:r>
          <w:r>
            <w:t>服务台</w:t>
          </w:r>
          <w:r>
            <w:tab/>
          </w:r>
          <w:r>
            <w:fldChar w:fldCharType="begin"/>
          </w:r>
          <w:r>
            <w:instrText xml:space="preserve"> PAGEREF _Toc28614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_Toc18524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6.5. </w:t>
          </w:r>
          <w:r>
            <w:t>运维服务人员</w:t>
          </w:r>
          <w:r>
            <w:tab/>
          </w:r>
          <w:r>
            <w:fldChar w:fldCharType="begin"/>
          </w:r>
          <w:r>
            <w:instrText xml:space="preserve"> PAGEREF _Toc18524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_Toc599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质量管理内容</w:t>
          </w:r>
          <w:r>
            <w:tab/>
          </w:r>
          <w:r>
            <w:fldChar w:fldCharType="begin"/>
          </w:r>
          <w:r>
            <w:instrText xml:space="preserve"> PAGEREF _Toc599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_Toc9632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t>高层的质量管理活动</w:t>
          </w:r>
          <w:r>
            <w:tab/>
          </w:r>
          <w:r>
            <w:fldChar w:fldCharType="begin"/>
          </w:r>
          <w:r>
            <w:instrText xml:space="preserve"> PAGEREF _Toc9632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_Toc12997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t>质量部的质量管理活动</w:t>
          </w:r>
          <w:r>
            <w:tab/>
          </w:r>
          <w:r>
            <w:fldChar w:fldCharType="begin"/>
          </w:r>
          <w:r>
            <w:instrText xml:space="preserve"> PAGEREF _Toc12997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_Toc9801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7.3. </w:t>
          </w:r>
          <w:r>
            <w:t>运维部的质量管理活动</w:t>
          </w:r>
          <w:r>
            <w:tab/>
          </w:r>
          <w:r>
            <w:fldChar w:fldCharType="begin"/>
          </w:r>
          <w:r>
            <w:instrText xml:space="preserve"> PAGEREF _Toc9801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_Toc15125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运维服务质量管理要求</w:t>
          </w:r>
          <w:r>
            <w:tab/>
          </w:r>
          <w:r>
            <w:fldChar w:fldCharType="begin"/>
          </w:r>
          <w:r>
            <w:instrText xml:space="preserve"> PAGEREF _Toc15125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_Toc11798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8.1. </w:t>
          </w:r>
          <w:r>
            <w:t>客户满意度调查要求</w:t>
          </w:r>
          <w:r>
            <w:tab/>
          </w:r>
          <w:r>
            <w:fldChar w:fldCharType="begin"/>
          </w:r>
          <w:r>
            <w:instrText xml:space="preserve"> PAGEREF _Toc11798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_Toc661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8.2. </w:t>
          </w:r>
          <w:r>
            <w:t>项目的质量管理要求</w:t>
          </w:r>
          <w:r>
            <w:tab/>
          </w:r>
          <w:r>
            <w:fldChar w:fldCharType="begin"/>
          </w:r>
          <w:r>
            <w:instrText xml:space="preserve"> PAGEREF _Toc661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_Toc30595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8.3. </w:t>
          </w:r>
          <w:r>
            <w:t>体系的质量管理要求</w:t>
          </w:r>
          <w:r>
            <w:tab/>
          </w:r>
          <w:r>
            <w:fldChar w:fldCharType="begin"/>
          </w:r>
          <w:r>
            <w:instrText xml:space="preserve"> PAGEREF _Toc30595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_Toc4266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8.3.1. </w:t>
          </w:r>
          <w:r>
            <w:t>内审要求</w:t>
          </w:r>
          <w:r>
            <w:tab/>
          </w:r>
          <w:r>
            <w:fldChar w:fldCharType="begin"/>
          </w:r>
          <w:r>
            <w:instrText xml:space="preserve"> PAGEREF _Toc4266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92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_Toc12239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8.3.2. </w:t>
          </w:r>
          <w:r>
            <w:t>管理评审要求</w:t>
          </w:r>
          <w:r>
            <w:tab/>
          </w:r>
          <w:r>
            <w:fldChar w:fldCharType="begin"/>
          </w:r>
          <w:r>
            <w:instrText xml:space="preserve"> PAGEREF _Toc12239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spacing w:line="327" w:lineRule="exact"/>
            <w:rPr>
              <w:rFonts w:ascii="Calibri" w:eastAsia="Calibri" w:hAnsi="Calibri" w:cs="Calibri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Calibri" w:eastAsia="Calibri" w:hAnsi="Calibri" w:cs="Calibri"/>
              <w:szCs w:val="24"/>
            </w:rPr>
            <w:fldChar w:fldCharType="end"/>
          </w:r>
        </w:p>
      </w:sdtContent>
    </w:sdt>
    <w:p>
      <w:pPr>
        <w:spacing w:line="327" w:lineRule="exact"/>
        <w:rPr>
          <w:rFonts w:ascii="Calibri" w:eastAsia="Calibri" w:hAnsi="Calibri" w:cs="Calibri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10" w:bottom="0" w:left="1704" w:header="0" w:footer="0" w:gutter="0"/>
          <w:cols w:num="1" w:space="720"/>
        </w:sectPr>
      </w:pPr>
    </w:p>
    <w:p>
      <w:pPr>
        <w:pStyle w:val="1"/>
        <w:bidi w:val="0"/>
      </w:pPr>
      <w:bookmarkStart w:id="4" w:name="_Toc23239"/>
      <w:r>
        <w:t>目的</w:t>
      </w:r>
      <w:bookmarkEnd w:id="4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jc w:val="both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为确保公司提供的运维服务满足客户所需的服务质量，寻找公司服务实施</w:t>
      </w:r>
      <w:r>
        <w:rPr>
          <w:rFonts w:ascii="宋体" w:eastAsia="宋体" w:hAnsi="宋体" w:cs="宋体"/>
          <w:sz w:val="24"/>
          <w:szCs w:val="24"/>
        </w:rPr>
        <w:t>过程中存在的问题和缺陷，为服务改进活动的有效</w:t>
      </w:r>
      <w:r>
        <w:rPr>
          <w:rFonts w:ascii="宋体" w:eastAsia="宋体" w:hAnsi="宋体" w:cs="宋体"/>
          <w:spacing w:val="-1"/>
          <w:sz w:val="24"/>
          <w:szCs w:val="24"/>
        </w:rPr>
        <w:t>实施提供目标和方向，保证</w:t>
      </w:r>
      <w:r>
        <w:rPr>
          <w:rFonts w:ascii="宋体" w:eastAsia="宋体" w:hAnsi="宋体" w:cs="宋体"/>
          <w:spacing w:val="-2"/>
          <w:sz w:val="24"/>
          <w:szCs w:val="24"/>
        </w:rPr>
        <w:t>组织的服务质量稳定可控并持续提升，特制订本制度。</w:t>
      </w:r>
    </w:p>
    <w:p>
      <w:pPr>
        <w:pStyle w:val="1"/>
        <w:bidi w:val="0"/>
      </w:pPr>
      <w:bookmarkStart w:id="5" w:name="_Toc19928"/>
      <w:r>
        <w:t>适用范围</w:t>
      </w:r>
      <w:bookmarkEnd w:id="5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jc w:val="both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本程序适用于江苏云储智能科技有限公司运维服务业务，用于服务实施全过程的检查与审计。</w:t>
      </w:r>
    </w:p>
    <w:p>
      <w:pPr>
        <w:pStyle w:val="1"/>
        <w:bidi w:val="0"/>
      </w:pPr>
      <w:bookmarkStart w:id="6" w:name="_Toc31174"/>
      <w:r>
        <w:t>引用文件</w:t>
      </w:r>
      <w:bookmarkEnd w:id="6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hint="eastAsia"/>
          <w:spacing w:val="-1"/>
          <w:position w:val="1"/>
          <w:sz w:val="24"/>
          <w:szCs w:val="24"/>
        </w:rPr>
        <w:t>T/CESA 1299—2023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position w:val="1"/>
          <w:sz w:val="24"/>
          <w:szCs w:val="24"/>
        </w:rPr>
        <w:t xml:space="preserve">《信息技术服务 </w:t>
      </w:r>
      <w:r>
        <w:rPr>
          <w:rFonts w:ascii="宋体" w:eastAsia="宋体" w:hAnsi="宋体" w:cs="宋体"/>
          <w:spacing w:val="-2"/>
          <w:position w:val="1"/>
          <w:sz w:val="24"/>
          <w:szCs w:val="24"/>
        </w:rPr>
        <w:t>运行维护服务能力成熟度模型》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jc w:val="both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spacing w:val="-1"/>
          <w:position w:val="1"/>
          <w:sz w:val="24"/>
          <w:szCs w:val="24"/>
        </w:rPr>
        <w:t xml:space="preserve">GB/T 28827.1-2022 </w:t>
      </w:r>
      <w:r>
        <w:rPr>
          <w:rFonts w:ascii="宋体" w:eastAsia="宋体" w:hAnsi="宋体" w:cs="宋体"/>
          <w:spacing w:val="-1"/>
          <w:position w:val="1"/>
          <w:sz w:val="24"/>
          <w:szCs w:val="24"/>
        </w:rPr>
        <w:t>《信息技术服务</w:t>
      </w:r>
      <w:r>
        <w:rPr>
          <w:rFonts w:ascii="宋体" w:eastAsia="宋体" w:hAnsi="宋体" w:cs="宋体"/>
          <w:spacing w:val="-2"/>
          <w:position w:val="1"/>
          <w:sz w:val="24"/>
          <w:szCs w:val="24"/>
        </w:rPr>
        <w:t xml:space="preserve"> 运行维护 第</w:t>
      </w:r>
      <w:r>
        <w:rPr>
          <w:rFonts w:ascii="宋体" w:eastAsia="宋体" w:hAnsi="宋体" w:cs="宋体"/>
          <w:spacing w:val="-34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 xml:space="preserve">1 </w:t>
      </w:r>
      <w:r>
        <w:rPr>
          <w:rFonts w:ascii="宋体" w:eastAsia="宋体" w:hAnsi="宋体" w:cs="宋体"/>
          <w:spacing w:val="-2"/>
          <w:position w:val="1"/>
          <w:sz w:val="24"/>
          <w:szCs w:val="24"/>
        </w:rPr>
        <w:t>部分：通用要求》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spacing w:val="-1"/>
          <w:position w:val="1"/>
          <w:sz w:val="24"/>
          <w:szCs w:val="24"/>
        </w:rPr>
        <w:t xml:space="preserve">GB/T 29264-2012 </w:t>
      </w:r>
      <w:r>
        <w:rPr>
          <w:rFonts w:ascii="宋体" w:eastAsia="宋体" w:hAnsi="宋体" w:cs="宋体"/>
          <w:spacing w:val="-1"/>
          <w:position w:val="1"/>
          <w:sz w:val="24"/>
          <w:szCs w:val="24"/>
        </w:rPr>
        <w:t>《信息技术服务 分类与代码》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spacing w:val="-1"/>
          <w:position w:val="1"/>
          <w:sz w:val="24"/>
          <w:szCs w:val="24"/>
        </w:rPr>
        <w:t xml:space="preserve">GB/T 28827.2-2012 </w:t>
      </w:r>
      <w:r>
        <w:rPr>
          <w:rFonts w:ascii="宋体" w:eastAsia="宋体" w:hAnsi="宋体" w:cs="宋体"/>
          <w:spacing w:val="-1"/>
          <w:position w:val="1"/>
          <w:sz w:val="24"/>
          <w:szCs w:val="24"/>
        </w:rPr>
        <w:t>《信息技术服务 运行维护 第</w:t>
      </w:r>
      <w:r>
        <w:rPr>
          <w:rFonts w:ascii="宋体" w:eastAsia="宋体" w:hAnsi="宋体" w:cs="宋体"/>
          <w:spacing w:val="-53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 xml:space="preserve">2 </w:t>
      </w:r>
      <w:r>
        <w:rPr>
          <w:rFonts w:ascii="宋体" w:eastAsia="宋体" w:hAnsi="宋体" w:cs="宋体"/>
          <w:spacing w:val="-1"/>
          <w:position w:val="1"/>
          <w:sz w:val="24"/>
          <w:szCs w:val="24"/>
        </w:rPr>
        <w:t>部分</w:t>
      </w:r>
      <w:r>
        <w:rPr>
          <w:spacing w:val="-1"/>
          <w:position w:val="1"/>
          <w:sz w:val="24"/>
          <w:szCs w:val="24"/>
        </w:rPr>
        <w:t>:</w:t>
      </w:r>
      <w:r>
        <w:rPr>
          <w:rFonts w:ascii="宋体" w:eastAsia="宋体" w:hAnsi="宋体" w:cs="宋体"/>
          <w:spacing w:val="-1"/>
          <w:position w:val="1"/>
          <w:sz w:val="24"/>
          <w:szCs w:val="24"/>
        </w:rPr>
        <w:t>交付规范》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spacing w:val="-2"/>
          <w:sz w:val="24"/>
          <w:szCs w:val="24"/>
        </w:rPr>
        <w:t>GB/T</w:t>
      </w:r>
      <w:r>
        <w:rPr>
          <w:spacing w:val="5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28827.3-2012</w:t>
      </w:r>
      <w:r>
        <w:rPr>
          <w:spacing w:val="43"/>
          <w:w w:val="10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《信息技术服务</w:t>
      </w:r>
      <w:r>
        <w:rPr>
          <w:rFonts w:ascii="宋体" w:eastAsia="宋体" w:hAnsi="宋体" w:cs="宋体"/>
          <w:spacing w:val="6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运行维护</w:t>
      </w:r>
      <w:r>
        <w:rPr>
          <w:rFonts w:ascii="宋体" w:eastAsia="宋体" w:hAnsi="宋体" w:cs="宋体"/>
          <w:spacing w:val="5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第</w:t>
      </w:r>
      <w:r>
        <w:rPr>
          <w:rFonts w:ascii="宋体" w:eastAsia="宋体" w:hAnsi="宋体" w:cs="宋体"/>
          <w:spacing w:val="-5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3 </w:t>
      </w:r>
      <w:r>
        <w:rPr>
          <w:rFonts w:ascii="宋体" w:eastAsia="宋体" w:hAnsi="宋体" w:cs="宋体"/>
          <w:spacing w:val="-2"/>
          <w:sz w:val="24"/>
          <w:szCs w:val="24"/>
        </w:rPr>
        <w:t>部分</w:t>
      </w:r>
      <w:r>
        <w:rPr>
          <w:spacing w:val="-2"/>
          <w:sz w:val="24"/>
          <w:szCs w:val="24"/>
        </w:rPr>
        <w:t>:</w:t>
      </w:r>
      <w:r>
        <w:rPr>
          <w:rFonts w:ascii="宋体" w:eastAsia="宋体" w:hAnsi="宋体" w:cs="宋体"/>
          <w:spacing w:val="-2"/>
          <w:sz w:val="24"/>
          <w:szCs w:val="24"/>
        </w:rPr>
        <w:t>应急响应规</w:t>
      </w:r>
      <w:r>
        <w:rPr>
          <w:rFonts w:ascii="宋体" w:eastAsia="宋体" w:hAnsi="宋体" w:cs="宋体"/>
          <w:spacing w:val="-7"/>
          <w:sz w:val="24"/>
          <w:szCs w:val="24"/>
        </w:rPr>
        <w:t>范》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国家有关法律、法规及行业标准</w:t>
      </w:r>
    </w:p>
    <w:p>
      <w:pPr>
        <w:pStyle w:val="1"/>
        <w:bidi w:val="0"/>
      </w:pPr>
      <w:bookmarkStart w:id="7" w:name="_Toc5519"/>
      <w:r>
        <w:t>术语与定义</w:t>
      </w:r>
      <w:bookmarkEnd w:id="7"/>
    </w:p>
    <w:p>
      <w:pPr>
        <w:spacing w:before="172" w:line="220" w:lineRule="auto"/>
        <w:ind w:left="50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无</w:t>
      </w:r>
    </w:p>
    <w:p>
      <w:pPr>
        <w:pStyle w:val="1"/>
        <w:bidi w:val="0"/>
      </w:pPr>
      <w:bookmarkStart w:id="8" w:name="_Toc5801"/>
      <w:r>
        <w:t>角色与职责</w:t>
      </w:r>
      <w:bookmarkEnd w:id="8"/>
    </w:p>
    <w:p>
      <w:pPr>
        <w:spacing w:before="128"/>
      </w:pPr>
    </w:p>
    <w:tbl>
      <w:tblPr>
        <w:tblStyle w:val="TableNormal0"/>
        <w:tblW w:w="7655" w:type="dxa"/>
        <w:tblInd w:w="5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4"/>
        <w:gridCol w:w="6301"/>
      </w:tblGrid>
      <w:tr>
        <w:tblPrEx>
          <w:tblW w:w="7655" w:type="dxa"/>
          <w:tblInd w:w="55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/>
        </w:trPr>
        <w:tc>
          <w:tcPr>
            <w:tcW w:w="1354" w:type="dxa"/>
            <w:shd w:val="clear" w:color="auto" w:fill="F2F2F2"/>
          </w:tcPr>
          <w:p>
            <w:pPr>
              <w:spacing w:before="60" w:line="219" w:lineRule="auto"/>
              <w:ind w:left="4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角色</w:t>
            </w:r>
          </w:p>
        </w:tc>
        <w:tc>
          <w:tcPr>
            <w:tcW w:w="6301" w:type="dxa"/>
            <w:shd w:val="clear" w:color="auto" w:fill="F2F2F2"/>
          </w:tcPr>
          <w:p>
            <w:pPr>
              <w:spacing w:before="61" w:line="221" w:lineRule="auto"/>
              <w:ind w:left="29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职责</w:t>
            </w:r>
          </w:p>
        </w:tc>
      </w:tr>
      <w:tr>
        <w:tblPrEx>
          <w:tblW w:w="7655" w:type="dxa"/>
          <w:tblInd w:w="55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2"/>
        </w:trPr>
        <w:tc>
          <w:tcPr>
            <w:tcW w:w="1354" w:type="dxa"/>
          </w:tcPr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spacing w:before="78" w:line="220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管理层</w:t>
            </w:r>
          </w:p>
        </w:tc>
        <w:tc>
          <w:tcPr>
            <w:tcW w:w="6301" w:type="dxa"/>
          </w:tcPr>
          <w:p>
            <w:pPr>
              <w:spacing w:before="64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2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负责审批年度服务能力管理计划。</w:t>
            </w:r>
          </w:p>
          <w:p>
            <w:pPr>
              <w:spacing w:before="105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5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定期对服务实施过程和服务实施过程的改进进行监控管理。</w:t>
            </w:r>
          </w:p>
          <w:p>
            <w:pPr>
              <w:spacing w:before="105" w:line="271" w:lineRule="auto"/>
              <w:ind w:left="567" w:right="270" w:hanging="415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6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负责公司运维服务体系的管理评审，以确保运维服务能力的</w:t>
            </w: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适应性和有效性。</w:t>
            </w:r>
          </w:p>
        </w:tc>
      </w:tr>
      <w:tr>
        <w:tblPrEx>
          <w:tblW w:w="7655" w:type="dxa"/>
          <w:tblInd w:w="55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2"/>
        </w:trPr>
        <w:tc>
          <w:tcPr>
            <w:tcW w:w="1354" w:type="dxa"/>
            <w:shd w:val="clear" w:color="auto" w:fill="auto"/>
          </w:tcPr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spacing w:before="78" w:line="220" w:lineRule="auto"/>
              <w:ind w:left="113" w:leftChars="0"/>
              <w:outlineLvl w:val="1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bookmarkStart w:id="9" w:name="_Toc15462"/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质量部</w:t>
            </w:r>
            <w:bookmarkEnd w:id="9"/>
          </w:p>
        </w:tc>
        <w:tc>
          <w:tcPr>
            <w:tcW w:w="6301" w:type="dxa"/>
            <w:shd w:val="clear" w:color="auto" w:fill="auto"/>
          </w:tcPr>
          <w:p>
            <w:pPr>
              <w:spacing w:before="67" w:line="272" w:lineRule="auto"/>
              <w:ind w:left="567" w:right="270" w:hanging="415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41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 10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6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负责运维服务的公司级质量保证，制定总体的服务质量管理</w:t>
            </w:r>
            <w:r>
              <w:rPr>
                <w:rFonts w:ascii="宋体" w:eastAsia="宋体" w:hAnsi="宋体" w:cs="宋体"/>
                <w:spacing w:val="-9"/>
                <w:sz w:val="21"/>
                <w:szCs w:val="21"/>
              </w:rPr>
              <w:t>计划。</w:t>
            </w:r>
          </w:p>
          <w:p>
            <w:pPr>
              <w:spacing w:before="100" w:line="270" w:lineRule="auto"/>
              <w:ind w:left="569" w:right="101" w:hanging="417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43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 12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0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监控运维服务质量,</w:t>
            </w:r>
            <w:r>
              <w:rPr>
                <w:rFonts w:ascii="宋体" w:eastAsia="宋体" w:hAnsi="宋体" w:cs="宋体"/>
                <w:spacing w:val="38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定期组织质量分析会议，对运维业务开</w:t>
            </w: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展情况进行评估。</w:t>
            </w:r>
          </w:p>
          <w:p>
            <w:pPr>
              <w:spacing w:before="102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45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 14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5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对公司运维服务业务的质量进行监控。</w:t>
            </w:r>
          </w:p>
          <w:p>
            <w:pPr>
              <w:spacing w:before="105" w:line="271" w:lineRule="auto"/>
              <w:ind w:left="584" w:right="270" w:hanging="43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47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 16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6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负责公司运维服务体系的定期内部评审，对内审中不符合项</w:t>
            </w:r>
            <w:r>
              <w:rPr>
                <w:rFonts w:ascii="宋体" w:eastAsia="宋体" w:hAnsi="宋体" w:cs="宋体"/>
                <w:spacing w:val="-6"/>
                <w:sz w:val="21"/>
                <w:szCs w:val="21"/>
              </w:rPr>
              <w:t>的处理进行跟踪记录。</w:t>
            </w:r>
          </w:p>
          <w:p>
            <w:pPr>
              <w:spacing w:before="100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49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 18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6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负责改进措施的监督及检查。</w:t>
            </w:r>
          </w:p>
          <w:p>
            <w:pPr>
              <w:spacing w:before="105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5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20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27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对重大投诉进行原因分析、处理和回访。</w:t>
            </w:r>
          </w:p>
          <w:p>
            <w:pPr>
              <w:spacing w:before="105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3810"/>
                  <wp:docPr id="51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 22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0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对每年运维服务报告进行审查。</w:t>
            </w:r>
          </w:p>
          <w:p>
            <w:pPr>
              <w:spacing w:before="105" w:line="223" w:lineRule="auto"/>
              <w:ind w:left="15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52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24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5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负责客户满意度调查。</w:t>
            </w:r>
          </w:p>
        </w:tc>
      </w:tr>
      <w:tr>
        <w:tblPrEx>
          <w:tblW w:w="7655" w:type="dxa"/>
          <w:tblInd w:w="55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2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spacing w:before="78" w:line="278" w:lineRule="auto"/>
              <w:ind w:left="114" w:right="280" w:hanging="2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运维部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66" w:line="271" w:lineRule="auto"/>
              <w:ind w:left="569" w:right="165" w:hanging="417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53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 26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7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负责对所运维业务进行质量控制,对质量部和服务台提供的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客户服务质量调查结果进行分析和处理。</w:t>
            </w:r>
          </w:p>
          <w:p>
            <w:pPr>
              <w:spacing w:before="101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54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28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4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定期组织召开质量分析会。</w:t>
            </w:r>
          </w:p>
          <w:p>
            <w:pPr>
              <w:spacing w:before="105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55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 30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27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跟踪客户投诉的处理过程。</w:t>
            </w:r>
          </w:p>
          <w:p>
            <w:pPr>
              <w:spacing w:before="105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56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32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4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定期编写总结报告，持续改进完善维护服务能力和质量。</w:t>
            </w:r>
          </w:p>
          <w:p>
            <w:pPr>
              <w:spacing w:before="105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57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 34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4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负责监控服务的处理过程。</w:t>
            </w:r>
          </w:p>
          <w:p>
            <w:pPr>
              <w:spacing w:before="105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3810"/>
                  <wp:docPr id="58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36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0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对每个处理事件进行客户回访。</w:t>
            </w:r>
          </w:p>
          <w:p>
            <w:pPr>
              <w:spacing w:before="105" w:line="271" w:lineRule="auto"/>
              <w:ind w:left="570" w:right="270" w:hanging="41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59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 38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6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接收和处理客户投诉，重要的客户投诉信息及时反馈给相关</w:t>
            </w:r>
            <w:r>
              <w:rPr>
                <w:rFonts w:ascii="宋体" w:eastAsia="宋体" w:hAnsi="宋体" w:cs="宋体"/>
                <w:spacing w:val="-7"/>
                <w:sz w:val="21"/>
                <w:szCs w:val="21"/>
              </w:rPr>
              <w:t>部门处理。</w:t>
            </w:r>
          </w:p>
          <w:p>
            <w:pPr>
              <w:spacing w:before="100" w:line="286" w:lineRule="auto"/>
              <w:ind w:left="571" w:right="270" w:hanging="41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6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40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6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包括运维项目经理、技术支持工程师、网络工程师等相关人员，按照运维岗位职责的要求、工作流程及质量要求，实施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具体运维服务任务，并将过程形成记录。</w:t>
            </w:r>
          </w:p>
        </w:tc>
      </w:tr>
      <w:tr>
        <w:tblPrEx>
          <w:tblW w:w="7655" w:type="dxa"/>
          <w:tblInd w:w="55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2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spacing w:before="78" w:line="220" w:lineRule="auto"/>
              <w:ind w:left="11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其他部门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71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61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 42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1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参与能力管理计划的制定；</w:t>
            </w:r>
          </w:p>
          <w:p>
            <w:pPr>
              <w:spacing w:before="105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62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44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29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按照能力管理计划实施；</w:t>
            </w:r>
          </w:p>
          <w:p>
            <w:pPr>
              <w:spacing w:before="105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3810"/>
                  <wp:docPr id="63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 46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28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接受质量部的监督和检查，并定期汇报计划的实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施情况；</w:t>
            </w:r>
          </w:p>
          <w:p>
            <w:pPr>
              <w:spacing w:before="105" w:line="223" w:lineRule="auto"/>
              <w:ind w:left="15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64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48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1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针对实施过程中发现的问题采取有效的改进措施。</w:t>
            </w:r>
          </w:p>
        </w:tc>
      </w:tr>
    </w:tbl>
    <w:p>
      <w:pPr>
        <w:spacing w:line="91" w:lineRule="auto"/>
        <w:rPr>
          <w:rFonts w:ascii="Arial"/>
          <w:sz w:val="2"/>
        </w:rPr>
      </w:pPr>
    </w:p>
    <w:p>
      <w:pPr>
        <w:pStyle w:val="BodyText"/>
        <w:spacing w:line="328" w:lineRule="auto"/>
      </w:pPr>
    </w:p>
    <w:p>
      <w:pPr>
        <w:pStyle w:val="1"/>
        <w:bidi w:val="0"/>
      </w:pPr>
      <w:bookmarkStart w:id="10" w:name="_Toc7357"/>
      <w:r>
        <w:t>部门岗位</w:t>
      </w:r>
      <w:bookmarkEnd w:id="10"/>
    </w:p>
    <w:p>
      <w:pPr>
        <w:pStyle w:val="2"/>
        <w:bidi w:val="0"/>
      </w:pPr>
      <w:bookmarkStart w:id="11" w:name="bookmark23"/>
      <w:bookmarkEnd w:id="11"/>
      <w:bookmarkStart w:id="12" w:name="_Toc24833"/>
      <w:r>
        <w:t>公司高层</w:t>
      </w:r>
      <w:bookmarkEnd w:id="12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负责审批年度服务管理计划。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定期对服务实施过程进行监控和管理，对服务实施过程的改进进行审批。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负责公司运维服务体系的管理评审，以确保运维服务能力的适应性和有效性</w:t>
      </w:r>
    </w:p>
    <w:p>
      <w:pPr>
        <w:pStyle w:val="2"/>
        <w:bidi w:val="0"/>
      </w:pPr>
      <w:bookmarkStart w:id="13" w:name="_Toc5776"/>
      <w:r>
        <w:t>质量部</w:t>
      </w:r>
      <w:bookmarkEnd w:id="13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负责公司运维服务体系的定期内部评审，对内审中不达标项的处理进行跟踪记录。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负责运维服务的组织级质量保证。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对公司运维服务业务的质量进行监控。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负责组织级客户满意度的调查。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负责改进措施的监督及检查。</w:t>
      </w:r>
    </w:p>
    <w:p>
      <w:pPr>
        <w:pStyle w:val="2"/>
        <w:bidi w:val="0"/>
      </w:pPr>
      <w:bookmarkStart w:id="14" w:name="_Toc6209"/>
      <w:r>
        <w:t>运维部</w:t>
      </w:r>
      <w:bookmarkEnd w:id="14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负责对所管辖的业务质量计划的制定。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负责对所管辖的业务进行质量控制,对质量部和服务台提供的客户服务质量调查结果进行分析和处理。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定期组织召开质量分析会。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跟踪客户投诉的处理过程。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定期编写总结报告，持续改进完善维护服务能力和质量。</w:t>
      </w:r>
    </w:p>
    <w:p>
      <w:pPr>
        <w:pStyle w:val="2"/>
        <w:bidi w:val="0"/>
      </w:pPr>
      <w:bookmarkStart w:id="15" w:name="_Toc28614"/>
      <w:r>
        <w:t>服务台</w:t>
      </w:r>
      <w:bookmarkEnd w:id="15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负责监控服务的处理过程。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接收和处理客户投诉，重要的客户投诉信息及时反馈给相关部门处理。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负责服务数据的统计，并报送给相关部门。</w:t>
      </w:r>
    </w:p>
    <w:p>
      <w:pPr>
        <w:pStyle w:val="2"/>
        <w:bidi w:val="0"/>
      </w:pPr>
      <w:bookmarkStart w:id="16" w:name="_Toc18524"/>
      <w:r>
        <w:t>运维服务人员</w:t>
      </w:r>
      <w:bookmarkEnd w:id="16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jc w:val="both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包括技术支持工程师、网络工程师等人员，按照运维岗位职责的要求、工作流程及质量要求，实施具体运维服务任务，并将过程形成记录。</w:t>
      </w:r>
    </w:p>
    <w:p>
      <w:pPr>
        <w:pStyle w:val="1"/>
        <w:bidi w:val="0"/>
      </w:pPr>
      <w:bookmarkStart w:id="17" w:name="_Toc599"/>
      <w:r>
        <w:t>质量管理内容</w:t>
      </w:r>
      <w:bookmarkEnd w:id="17"/>
    </w:p>
    <w:p>
      <w:pPr>
        <w:pStyle w:val="2"/>
        <w:bidi w:val="0"/>
      </w:pPr>
      <w:bookmarkStart w:id="18" w:name="bookmark24"/>
      <w:bookmarkEnd w:id="18"/>
      <w:bookmarkStart w:id="19" w:name="_Toc9632"/>
      <w:r>
        <w:t>高层的质量管理活动</w:t>
      </w:r>
      <w:bookmarkEnd w:id="19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制定管控指标:根据市场情况、技术发展和公司自身变化，制定并周期性的评审公司运维业务的方针策略和目标，评审服务目录、管控目标，评审组织结构和管理制度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管理评审:管理评审的目的是通过对公司服务体系运行的适宜性、充分性和有效性进行评价，确定公司服务体系的改进方向。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服务改进规划：根据市场情况、技术发展和公司自身变化，周期性的评审服务工作中存在的问题，并评估批准整改措施；评审现有流程执行的差距和改进措施，更好地适应服务需求；通过服务改进管理，提高运维服务工作的适应性和管理水平。</w:t>
      </w:r>
    </w:p>
    <w:p>
      <w:pPr>
        <w:pStyle w:val="2"/>
        <w:bidi w:val="0"/>
      </w:pPr>
      <w:bookmarkStart w:id="20" w:name="_Toc12997"/>
      <w:r>
        <w:t>质量部的质量管理活动</w:t>
      </w:r>
      <w:bookmarkEnd w:id="20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内审和管理评审：公司质量部负责组织每年一次的内审和每年一次的管理评审，来评价公司的运维服务能力的适应性和有效性。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客户满意度调查：公司质量部负责</w:t>
      </w:r>
      <w:r>
        <w:rPr>
          <w:rFonts w:ascii="宋体" w:eastAsia="宋体" w:hAnsi="宋体" w:cs="宋体" w:hint="eastAsia"/>
          <w:spacing w:val="-5"/>
          <w:position w:val="1"/>
          <w:sz w:val="24"/>
          <w:szCs w:val="24"/>
          <w:lang w:val="en-US" w:eastAsia="zh-CN"/>
        </w:rPr>
        <w:t>每年至少进行一次</w:t>
      </w:r>
      <w:r>
        <w:rPr>
          <w:rFonts w:ascii="宋体" w:eastAsia="宋体" w:hAnsi="宋体" w:cs="宋体"/>
          <w:spacing w:val="-5"/>
          <w:position w:val="1"/>
          <w:sz w:val="24"/>
          <w:szCs w:val="24"/>
        </w:rPr>
        <w:t>，并对调查结果进行分析和总结，对相关的调查结果进行分析，及时反馈给相关部门和责任人，对重大质量问题进行跟踪和督促。</w:t>
      </w:r>
    </w:p>
    <w:p>
      <w:pPr>
        <w:pStyle w:val="2"/>
        <w:bidi w:val="0"/>
      </w:pPr>
      <w:bookmarkStart w:id="21" w:name="_Toc9801"/>
      <w:r>
        <w:t>运维部的质量管理活动</w:t>
      </w:r>
      <w:bookmarkEnd w:id="21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签订服务协议：运维部门经理协助销售部门与客户签订服务级别协议SLA（SLA服务合同）。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质量计划：运维部经理或</w:t>
      </w:r>
      <w:r>
        <w:rPr>
          <w:rFonts w:ascii="宋体" w:eastAsia="宋体" w:hAnsi="宋体" w:cs="宋体" w:hint="eastAsia"/>
          <w:spacing w:val="-5"/>
          <w:position w:val="1"/>
          <w:sz w:val="24"/>
          <w:szCs w:val="24"/>
          <w:lang w:val="en-US" w:eastAsia="zh-CN"/>
        </w:rPr>
        <w:t>运维</w:t>
      </w:r>
      <w:r>
        <w:rPr>
          <w:rFonts w:ascii="宋体" w:eastAsia="宋体" w:hAnsi="宋体" w:cs="宋体"/>
          <w:spacing w:val="-5"/>
          <w:position w:val="1"/>
          <w:sz w:val="24"/>
          <w:szCs w:val="24"/>
        </w:rPr>
        <w:t>项目经理制定服务项目的质量保证计划，以确保服务目标的实现，服务风险的降低。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服务执行：从项目开始实施至结束，</w:t>
      </w:r>
      <w:r>
        <w:rPr>
          <w:rFonts w:ascii="宋体" w:eastAsia="宋体" w:hAnsi="宋体" w:cs="宋体" w:hint="eastAsia"/>
          <w:spacing w:val="-5"/>
          <w:position w:val="1"/>
          <w:sz w:val="24"/>
          <w:szCs w:val="24"/>
          <w:lang w:val="en-US" w:eastAsia="zh-CN"/>
        </w:rPr>
        <w:t>运维</w:t>
      </w:r>
      <w:r>
        <w:rPr>
          <w:rFonts w:ascii="宋体" w:eastAsia="宋体" w:hAnsi="宋体" w:cs="宋体"/>
          <w:spacing w:val="-5"/>
          <w:position w:val="1"/>
          <w:sz w:val="24"/>
          <w:szCs w:val="24"/>
        </w:rPr>
        <w:t>项目经理监督、控制服务过程中的每一个环节，包括事件、</w:t>
      </w:r>
      <w:r>
        <w:rPr>
          <w:rFonts w:ascii="宋体" w:eastAsia="宋体" w:hAnsi="宋体" w:cs="宋体" w:hint="eastAsia"/>
          <w:spacing w:val="-5"/>
          <w:position w:val="1"/>
          <w:sz w:val="24"/>
          <w:szCs w:val="24"/>
          <w:lang w:val="en-US" w:eastAsia="zh-CN"/>
        </w:rPr>
        <w:t>问题、</w:t>
      </w:r>
      <w:r>
        <w:rPr>
          <w:rFonts w:ascii="宋体" w:eastAsia="宋体" w:hAnsi="宋体" w:cs="宋体"/>
          <w:spacing w:val="-5"/>
          <w:position w:val="1"/>
          <w:sz w:val="24"/>
          <w:szCs w:val="24"/>
        </w:rPr>
        <w:t>配置、变更、发布、信息安全、容量、过程框架、可用性、业务连续性，按合同要求形成服务报告，在报告中详细列明 SLA 达成情况。服务台管理员及时回访客户，调查服务满意度。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质量分析：运维部门经理对本部门的各项目质量进行管理，包括数据统计、分析、预警、跟踪。检查各项运维服务指标达成情况，并与 SLA 的要求进行对比，对未达标项提出改进措施，形成项目质量分析报告。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质量改进：由质量部经理组织相关人员，通过阶段性（季度）</w:t>
      </w:r>
      <w:r>
        <w:rPr>
          <w:rFonts w:ascii="宋体" w:eastAsia="宋体" w:hAnsi="宋体" w:cs="宋体"/>
          <w:spacing w:val="-2"/>
          <w:sz w:val="24"/>
          <w:szCs w:val="24"/>
        </w:rPr>
        <w:t>的运维服务工作总结，对公司服务业务发展过</w:t>
      </w:r>
      <w:r>
        <w:rPr>
          <w:rFonts w:ascii="宋体" w:eastAsia="宋体" w:hAnsi="宋体" w:cs="宋体"/>
          <w:spacing w:val="-3"/>
          <w:sz w:val="24"/>
          <w:szCs w:val="24"/>
        </w:rPr>
        <w:t>程的问题和偏差做出有效评估，</w:t>
      </w: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并进行调整和优化，及时了解客户的需求，并根据客户的意见或建议进行改进，保证年度运维服务目标的实现。</w:t>
      </w:r>
    </w:p>
    <w:p>
      <w:pPr>
        <w:pStyle w:val="1"/>
        <w:bidi w:val="0"/>
      </w:pPr>
      <w:bookmarkStart w:id="22" w:name="_Toc15125"/>
      <w:r>
        <w:t>运维服务质量管理要求</w:t>
      </w:r>
      <w:bookmarkEnd w:id="22"/>
    </w:p>
    <w:p>
      <w:pPr>
        <w:pStyle w:val="2"/>
        <w:bidi w:val="0"/>
      </w:pPr>
      <w:bookmarkStart w:id="23" w:name="bookmark25"/>
      <w:bookmarkEnd w:id="23"/>
      <w:bookmarkStart w:id="24" w:name="_Toc11798"/>
      <w:r>
        <w:t>客户满意度调查要求</w:t>
      </w:r>
      <w:bookmarkEnd w:id="24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客户满意度调查工作由公司质量部负责，服务台配合完成，分为事件回访和公司级客户满意度调查。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事件回访是对已解决的事件在解决后的 24 小时内进行一次电话回访，了解客户对处理结果的满意度。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公司级客户满意度调查应每年最少进行一次，采用问卷填写，客户满意度调查内容应注意调查样本的比例及覆盖范围，以降低抽样的风险。</w:t>
      </w:r>
    </w:p>
    <w:p>
      <w:pPr>
        <w:pStyle w:val="2"/>
        <w:bidi w:val="0"/>
      </w:pPr>
      <w:bookmarkStart w:id="25" w:name="_Toc661"/>
      <w:r>
        <w:t>项目的质量管理要求</w:t>
      </w:r>
      <w:bookmarkEnd w:id="25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 w:hint="eastAsia"/>
          <w:spacing w:val="-5"/>
          <w:position w:val="1"/>
          <w:sz w:val="24"/>
          <w:szCs w:val="24"/>
          <w:lang w:val="en-US" w:eastAsia="zh-CN"/>
        </w:rPr>
        <w:t>运维</w:t>
      </w:r>
      <w:r>
        <w:rPr>
          <w:rFonts w:ascii="宋体" w:eastAsia="宋体" w:hAnsi="宋体" w:cs="宋体"/>
          <w:spacing w:val="-5"/>
          <w:position w:val="1"/>
          <w:sz w:val="24"/>
          <w:szCs w:val="24"/>
        </w:rPr>
        <w:t>项目经理必须严格按照 SLA（或服务合同）的要求，为客户提供运维服务。同时及时监控服务过程，以确保达到 SLA 的要求。并定期向客户和部门经理提交服务报告。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服务台管理人员及时对已完成的项目进行客户回访，以获取客户的满意度评价。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服务台管理人员根据 SLA（或服务合同）制定指标体系，按月进行指标统计，形成质量报告，报送给相关部门及</w:t>
      </w:r>
      <w:r>
        <w:rPr>
          <w:rFonts w:ascii="宋体" w:eastAsia="宋体" w:hAnsi="宋体" w:cs="宋体" w:hint="eastAsia"/>
          <w:spacing w:val="-5"/>
          <w:position w:val="1"/>
          <w:sz w:val="24"/>
          <w:szCs w:val="24"/>
          <w:lang w:val="en-US" w:eastAsia="zh-CN"/>
        </w:rPr>
        <w:t>运维</w:t>
      </w:r>
      <w:r>
        <w:rPr>
          <w:rFonts w:ascii="宋体" w:eastAsia="宋体" w:hAnsi="宋体" w:cs="宋体"/>
          <w:spacing w:val="-5"/>
          <w:position w:val="1"/>
          <w:sz w:val="24"/>
          <w:szCs w:val="24"/>
        </w:rPr>
        <w:t>项目经理。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运维部门经理每季度须召开一次质量分析会，回顾和总结月度质量计划完成情况，提出下阶段的改进措施，并对相关人员进行指标考</w:t>
      </w:r>
      <w:r>
        <w:rPr>
          <w:rFonts w:ascii="宋体" w:eastAsia="宋体" w:hAnsi="宋体" w:cs="宋体"/>
          <w:spacing w:val="-2"/>
          <w:sz w:val="24"/>
          <w:szCs w:val="24"/>
        </w:rPr>
        <w:t>核。</w:t>
      </w:r>
    </w:p>
    <w:p>
      <w:pPr>
        <w:pStyle w:val="2"/>
        <w:bidi w:val="0"/>
      </w:pPr>
      <w:bookmarkStart w:id="26" w:name="_Toc30595"/>
      <w:r>
        <w:t>体系的质量管理要求</w:t>
      </w:r>
      <w:bookmarkEnd w:id="26"/>
    </w:p>
    <w:p>
      <w:pPr>
        <w:pStyle w:val="3"/>
        <w:bidi w:val="0"/>
      </w:pPr>
      <w:bookmarkStart w:id="27" w:name="bookmark26"/>
      <w:bookmarkEnd w:id="27"/>
      <w:bookmarkStart w:id="28" w:name="_Toc4266"/>
      <w:r>
        <w:t>内审要求</w:t>
      </w:r>
      <w:bookmarkEnd w:id="28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内审要求每年度执行一次，可根据公司实际情况策划审核频次。由质量部来负责组织内审计划、实施和报告，但必须得到质量部经理的批准。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内审的范围是运维服务涉及的所有部门，包括运维服务的主要实施部门和支持部门。内审要对 GB/T 28827.1-2022 《信息技术服务 运行维护 第 1 部分：通用要求》、GB/T 28827.2-2012 《信息技术服务 运行维护 第 2 部分:交付规范》、GB/T 28827.3-2012 《信息技术服务 运行维护 第 3 部分:应急响应规范》中人员、资源、技术、过程、交付、应急响应都进行审核。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内审需要制订内审计划、</w:t>
      </w:r>
      <w:r>
        <w:rPr>
          <w:rFonts w:ascii="宋体" w:eastAsia="宋体" w:hAnsi="宋体" w:cs="宋体" w:hint="eastAsia"/>
          <w:spacing w:val="-5"/>
          <w:position w:val="1"/>
          <w:sz w:val="24"/>
          <w:szCs w:val="24"/>
          <w:lang w:val="en-US" w:eastAsia="zh-CN"/>
        </w:rPr>
        <w:t>内审</w:t>
      </w:r>
      <w:r>
        <w:rPr>
          <w:rFonts w:ascii="宋体" w:eastAsia="宋体" w:hAnsi="宋体" w:cs="宋体"/>
          <w:spacing w:val="-5"/>
          <w:position w:val="1"/>
          <w:sz w:val="24"/>
          <w:szCs w:val="24"/>
        </w:rPr>
        <w:t>检查表，内审员在审核过程中要详细记录审核内容；审核完成后需要对不合格项进行整改；编写内审报告。</w:t>
      </w:r>
    </w:p>
    <w:p>
      <w:pPr>
        <w:pStyle w:val="3"/>
        <w:bidi w:val="0"/>
      </w:pPr>
      <w:bookmarkStart w:id="29" w:name="_Toc12239"/>
      <w:r>
        <w:t>管理评审要求</w:t>
      </w:r>
      <w:bookmarkEnd w:id="29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管理评审要求每年必须执行一次，由管理者代表组织实施。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管理评审的参加人员要包括：公司领导、管理者代表、运维部负责人、质量部负责人、综合管理部负责人、研发部负责人等。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管理评审的主要内容为：年度能力管理计划的实施情况汇报、各项KPI的完成情况、客户满意度调查汇报、各运维部门的工作汇报、运维服务管理体系内审报告、客户投诉报告、持续改进情况等。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 w:hint="eastAsia"/>
          <w:spacing w:val="-5"/>
          <w:position w:val="1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注：管理评审需要先制定管理评审计划，收集相关材料，根据管理评审结果制定管理评审报告，如果在管理评审上发现问题，需要对问题进行跟踪</w:t>
      </w:r>
      <w:r>
        <w:rPr>
          <w:rFonts w:ascii="宋体" w:eastAsia="宋体" w:hAnsi="宋体" w:cs="宋体" w:hint="eastAsia"/>
          <w:spacing w:val="-5"/>
          <w:position w:val="1"/>
          <w:sz w:val="24"/>
          <w:szCs w:val="24"/>
          <w:lang w:eastAsia="zh-CN"/>
        </w:rPr>
        <w:t>。</w:t>
      </w:r>
    </w:p>
    <w:sectPr>
      <w:footerReference w:type="default" r:id="rId7"/>
      <w:pgSz w:w="11906" w:h="16839"/>
      <w:pgMar w:top="1431" w:right="1785" w:bottom="1375" w:left="1785" w:header="0" w:footer="1211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7" w:lineRule="auto"/>
      <w:ind w:left="413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6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A48F062"/>
    <w:multiLevelType w:val="singleLevel"/>
    <w:tmpl w:val="8A48F06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12EA3C9"/>
    <w:multiLevelType w:val="singleLevel"/>
    <w:tmpl w:val="912EA3C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9FD0515E"/>
    <w:multiLevelType w:val="singleLevel"/>
    <w:tmpl w:val="9FD0515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A9A088B4"/>
    <w:multiLevelType w:val="singleLevel"/>
    <w:tmpl w:val="A9A088B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C1FFCD38"/>
    <w:multiLevelType w:val="singleLevel"/>
    <w:tmpl w:val="C1FFCD38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C89D55F4"/>
    <w:multiLevelType w:val="singleLevel"/>
    <w:tmpl w:val="C89D55F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CC099921"/>
    <w:multiLevelType w:val="singleLevel"/>
    <w:tmpl w:val="CC09992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D56F7E7D"/>
    <w:multiLevelType w:val="singleLevel"/>
    <w:tmpl w:val="D56F7E7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DDF2EF48"/>
    <w:multiLevelType w:val="singleLevel"/>
    <w:tmpl w:val="DDF2EF48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1D21193E"/>
    <w:multiLevelType w:val="singleLevel"/>
    <w:tmpl w:val="1D21193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411E9FD4"/>
    <w:multiLevelType w:val="singleLevel"/>
    <w:tmpl w:val="411E9FD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647020B3"/>
    <w:multiLevelType w:val="singleLevel"/>
    <w:tmpl w:val="647020B3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11"/>
  </w:num>
  <w:num w:numId="3">
    <w:abstractNumId w:val="3"/>
  </w:num>
  <w:num w:numId="4">
    <w:abstractNumId w:val="2"/>
  </w:num>
  <w:num w:numId="5">
    <w:abstractNumId w:val="12"/>
  </w:num>
  <w:num w:numId="6">
    <w:abstractNumId w:val="7"/>
  </w:num>
  <w:num w:numId="7">
    <w:abstractNumId w:val="8"/>
  </w:num>
  <w:num w:numId="8">
    <w:abstractNumId w:val="5"/>
  </w:num>
  <w:num w:numId="9">
    <w:abstractNumId w:val="4"/>
  </w:num>
  <w:num w:numId="10">
    <w:abstractNumId w:val="0"/>
  </w:num>
  <w:num w:numId="11">
    <w:abstractNumId w:val="10"/>
  </w:num>
  <w:num w:numId="12">
    <w:abstractNumId w:val="6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9</Pages>
  <Words>3295</Words>
  <Characters>3502</Characters>
  <Application>Microsoft Office Word</Application>
  <DocSecurity>0</DocSecurity>
  <Lines>0</Lines>
  <Paragraphs>0</Paragraphs>
  <ScaleCrop>false</ScaleCrop>
  <Company/>
  <LinksUpToDate>false</LinksUpToDate>
  <CharactersWithSpaces>3700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谢永刚</dc:creator>
  <cp:lastModifiedBy>nancy杨茜</cp:lastModifiedBy>
  <cp:revision>0</cp:revision>
  <dcterms:created xsi:type="dcterms:W3CDTF">2025-08-18T17:56:00Z</dcterms:created>
  <dcterms:modified xsi:type="dcterms:W3CDTF">2026-01-07T21:25:02Z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2025-08-20T23:54:01Z</vt:filetime>
  </property>
  <property fmtid="{D5CDD505-2E9C-101B-9397-08002B2CF9AE}" pid="3" name="CRO">
    <vt:lpwstr>wqlLaW5nc29mdCBQREYgdG8gV1BTIDExNQ</vt:lpwstr>
  </property>
  <property fmtid="{D5CDD505-2E9C-101B-9397-08002B2CF9AE}" pid="4" name="ICV">
    <vt:lpwstr>F06448E82D154202B687D38C6E206337_12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