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bidi w:val="0"/>
      </w:pPr>
      <w:bookmarkStart w:id="0" w:name="_Toc16225"/>
    </w:p>
    <w:p>
      <w:pPr>
        <w:pStyle w:val="a1"/>
        <w:bidi w:val="0"/>
      </w:pPr>
      <w:r>
        <w:t>运维服务改进制度</w:t>
      </w:r>
      <w:bookmarkEnd w:id="0"/>
    </w:p>
    <w:p>
      <w:pPr>
        <w:pStyle w:val="a2"/>
        <w:bidi w:val="0"/>
      </w:pPr>
      <w:bookmarkStart w:id="1" w:name="_Toc32004"/>
      <w:r>
        <w:t>江苏云储智能科技有限公司</w:t>
      </w:r>
      <w:bookmarkEnd w:id="1"/>
    </w:p>
    <w:p>
      <w:pPr>
        <w:pStyle w:val="BodyText"/>
        <w:spacing w:line="363" w:lineRule="auto"/>
        <w:ind w:left="0" w:right="0" w:firstLine="0" w:leftChars="0" w:rightChars="0" w:firstLineChars="0"/>
        <w:jc w:val="cente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t>2025年1月4日</w:t>
      </w:r>
    </w:p>
    <w:p>
      <w:pP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br w:type="page"/>
      </w:r>
    </w:p>
    <w:p>
      <w:pPr>
        <w:spacing w:before="91" w:line="220" w:lineRule="auto"/>
        <w:ind w:left="3710"/>
        <w:outlineLvl w:val="0"/>
        <w:rPr>
          <w:rFonts w:ascii="宋体" w:eastAsia="宋体" w:hAnsi="宋体" w:cs="宋体"/>
          <w:sz w:val="28"/>
          <w:szCs w:val="28"/>
        </w:rPr>
      </w:pPr>
      <w:bookmarkStart w:id="2" w:name="_Toc24401"/>
      <w:r>
        <w:rPr>
          <w:rFonts w:ascii="宋体" w:eastAsia="宋体" w:hAnsi="宋体" w:cs="宋体"/>
          <w:spacing w:val="-3"/>
          <w:sz w:val="28"/>
          <w:szCs w:val="28"/>
        </w:rPr>
        <w:t>文档信息</w:t>
      </w:r>
      <w:bookmarkEnd w:id="2"/>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spacing w:before="185" w:line="220" w:lineRule="auto"/>
              <w:ind w:left="207"/>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spacing w:before="185" w:line="218" w:lineRule="auto"/>
              <w:ind w:left="109"/>
              <w:rPr>
                <w:rFonts w:ascii="宋体" w:eastAsia="宋体" w:hAnsi="宋体" w:cs="宋体"/>
                <w:sz w:val="24"/>
                <w:szCs w:val="24"/>
              </w:rPr>
            </w:pPr>
            <w:r>
              <w:rPr>
                <w:rFonts w:ascii="宋体" w:eastAsia="宋体" w:hAnsi="宋体" w:cs="宋体"/>
                <w:spacing w:val="-1"/>
                <w:sz w:val="24"/>
                <w:szCs w:val="24"/>
              </w:rPr>
              <w:t>运维服务改进制度（JSYC-ITSS-YWFWGJ）</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2" w:line="220" w:lineRule="auto"/>
              <w:ind w:left="447"/>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spacing w:before="182" w:line="219" w:lineRule="auto"/>
              <w:ind w:left="109"/>
              <w:rPr>
                <w:rFonts w:ascii="宋体" w:eastAsia="宋体" w:hAnsi="宋体" w:cs="宋体"/>
                <w:sz w:val="24"/>
                <w:szCs w:val="24"/>
              </w:rPr>
            </w:pPr>
            <w:r>
              <w:rPr>
                <w:rFonts w:ascii="宋体" w:eastAsia="宋体" w:hAnsi="宋体" w:cs="宋体"/>
                <w:spacing w:val="-1"/>
                <w:sz w:val="24"/>
                <w:szCs w:val="24"/>
              </w:rPr>
              <w:t>江苏云储智能科技有限公司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3" w:line="219" w:lineRule="auto"/>
              <w:ind w:left="447"/>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spacing w:before="183" w:line="219" w:lineRule="auto"/>
              <w:ind w:left="229"/>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spacing w:before="183" w:line="219" w:lineRule="auto"/>
              <w:ind w:left="676"/>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spacing w:before="184" w:line="220" w:lineRule="auto"/>
              <w:ind w:left="545"/>
              <w:rPr>
                <w:rFonts w:ascii="宋体" w:eastAsia="宋体" w:hAnsi="宋体" w:cs="宋体"/>
                <w:sz w:val="24"/>
                <w:szCs w:val="24"/>
              </w:rPr>
            </w:pPr>
            <w:r>
              <w:rPr>
                <w:rFonts w:ascii="宋体" w:eastAsia="宋体" w:hAnsi="宋体" w:cs="宋体"/>
                <w:spacing w:val="-3"/>
                <w:sz w:val="24"/>
                <w:szCs w:val="24"/>
              </w:rPr>
              <w:t>作者</w:t>
            </w:r>
          </w:p>
        </w:tc>
        <w:tc>
          <w:tcPr>
            <w:tcW w:w="1953" w:type="dxa"/>
          </w:tcPr>
          <w:p>
            <w:pPr>
              <w:spacing w:before="184" w:line="220" w:lineRule="auto"/>
              <w:ind w:left="754"/>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spacing w:before="162"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413" w:type="dxa"/>
          </w:tcPr>
          <w:p>
            <w:pPr>
              <w:spacing w:before="162"/>
              <w:ind w:left="290"/>
              <w:rPr>
                <w:rFonts w:ascii="宋体" w:eastAsia="宋体" w:hAnsi="宋体" w:cs="宋体"/>
                <w:sz w:val="21"/>
                <w:szCs w:val="21"/>
              </w:rPr>
            </w:pPr>
            <w:r>
              <w:rPr>
                <w:rFonts w:ascii="宋体" w:eastAsia="宋体" w:hAnsi="宋体" w:cs="宋体"/>
                <w:spacing w:val="-2"/>
                <w:sz w:val="21"/>
                <w:szCs w:val="21"/>
              </w:rPr>
              <w:t>2025-1-4</w:t>
            </w:r>
          </w:p>
        </w:tc>
        <w:tc>
          <w:tcPr>
            <w:tcW w:w="2303" w:type="dxa"/>
          </w:tcPr>
          <w:p>
            <w:pPr>
              <w:spacing w:before="132" w:line="219" w:lineRule="auto"/>
              <w:ind w:left="738"/>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spacing w:before="132" w:line="220" w:lineRule="auto"/>
              <w:ind w:left="47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郑云</w:t>
            </w:r>
          </w:p>
        </w:tc>
        <w:tc>
          <w:tcPr>
            <w:tcW w:w="1953" w:type="dxa"/>
          </w:tcPr>
          <w:p>
            <w:pPr>
              <w:spacing w:before="133" w:line="220" w:lineRule="auto"/>
              <w:ind w:left="676"/>
              <w:rPr>
                <w:rFonts w:ascii="宋体" w:eastAsia="宋体" w:hAnsi="宋体" w:cs="宋体" w:hint="eastAsia"/>
                <w:sz w:val="21"/>
                <w:szCs w:val="21"/>
                <w:lang w:eastAsia="zh-CN"/>
              </w:rPr>
            </w:pPr>
            <w:r>
              <w:rPr>
                <w:rFonts w:ascii="宋体" w:eastAsia="宋体" w:hAnsi="宋体" w:cs="宋体" w:hint="eastAsia"/>
                <w:spacing w:val="-5"/>
                <w:sz w:val="21"/>
                <w:szCs w:val="21"/>
                <w:lang w:val="en-US" w:eastAsia="zh-CN"/>
              </w:rPr>
              <w:t>史晓玲</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bl>
    <w:p>
      <w:pPr>
        <w:pStyle w:val="BodyText"/>
      </w:pPr>
    </w:p>
    <w:p>
      <w:pPr>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58839"/>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497"/>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_Toc16225 </w:instrText>
          </w:r>
          <w:r>
            <w:rPr>
              <w:rFonts w:ascii="Times New Roman" w:eastAsia="Times New Roman" w:hAnsi="Times New Roman" w:cs="Times New Roman"/>
              <w:szCs w:val="24"/>
            </w:rPr>
            <w:fldChar w:fldCharType="separate"/>
          </w:r>
          <w:r>
            <w:t>运维服务改进制度</w:t>
          </w:r>
          <w:r>
            <w:tab/>
          </w:r>
          <w:r>
            <w:fldChar w:fldCharType="begin"/>
          </w:r>
          <w:r>
            <w:instrText xml:space="preserve"> PAGEREF _Toc16225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_Toc32004 </w:instrText>
          </w:r>
          <w:r>
            <w:rPr>
              <w:rFonts w:ascii="Times New Roman" w:eastAsia="Times New Roman" w:hAnsi="Times New Roman" w:cs="Times New Roman"/>
              <w:szCs w:val="24"/>
            </w:rPr>
            <w:fldChar w:fldCharType="separate"/>
          </w:r>
          <w:r>
            <w:t>江苏云储智能科技有限公司</w:t>
          </w:r>
          <w:r>
            <w:tab/>
          </w:r>
          <w:r>
            <w:fldChar w:fldCharType="begin"/>
          </w:r>
          <w:r>
            <w:instrText xml:space="preserve"> PAGEREF _Toc32004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_Toc24401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_Toc24401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_Toc28093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_Toc28093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_Toc19892 </w:instrText>
          </w:r>
          <w:r>
            <w:rPr>
              <w:rFonts w:ascii="Times New Roman" w:eastAsia="Times New Roman" w:hAnsi="Times New Roman" w:cs="Times New Roman"/>
              <w:szCs w:val="24"/>
            </w:rPr>
            <w:fldChar w:fldCharType="separate"/>
          </w:r>
          <w:r>
            <w:rPr>
              <w:rFonts w:hint="default"/>
            </w:rPr>
            <w:t xml:space="preserve">2. </w:t>
          </w:r>
          <w:r>
            <w:t>适用范围</w:t>
          </w:r>
          <w:r>
            <w:tab/>
          </w:r>
          <w:r>
            <w:fldChar w:fldCharType="begin"/>
          </w:r>
          <w:r>
            <w:instrText xml:space="preserve"> PAGEREF _Toc19892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_Toc19080 </w:instrText>
          </w:r>
          <w:r>
            <w:rPr>
              <w:rFonts w:ascii="Times New Roman" w:eastAsia="Times New Roman" w:hAnsi="Times New Roman" w:cs="Times New Roman"/>
              <w:szCs w:val="24"/>
            </w:rPr>
            <w:fldChar w:fldCharType="separate"/>
          </w:r>
          <w:r>
            <w:rPr>
              <w:rFonts w:hint="default"/>
            </w:rPr>
            <w:t xml:space="preserve">3. </w:t>
          </w:r>
          <w:r>
            <w:t>引用文件</w:t>
          </w:r>
          <w:r>
            <w:tab/>
          </w:r>
          <w:r>
            <w:fldChar w:fldCharType="begin"/>
          </w:r>
          <w:r>
            <w:instrText xml:space="preserve"> PAGEREF _Toc19080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_Toc656 </w:instrText>
          </w:r>
          <w:r>
            <w:rPr>
              <w:rFonts w:ascii="Times New Roman" w:eastAsia="Times New Roman" w:hAnsi="Times New Roman" w:cs="Times New Roman"/>
              <w:szCs w:val="24"/>
            </w:rPr>
            <w:fldChar w:fldCharType="separate"/>
          </w:r>
          <w:r>
            <w:rPr>
              <w:rFonts w:hint="default"/>
            </w:rPr>
            <w:t xml:space="preserve">4. </w:t>
          </w:r>
          <w:r>
            <w:t>术语与定义</w:t>
          </w:r>
          <w:r>
            <w:tab/>
          </w:r>
          <w:r>
            <w:fldChar w:fldCharType="begin"/>
          </w:r>
          <w:r>
            <w:instrText xml:space="preserve"> PAGEREF _Toc656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_Toc221 </w:instrText>
          </w:r>
          <w:r>
            <w:rPr>
              <w:rFonts w:ascii="Times New Roman" w:eastAsia="Times New Roman" w:hAnsi="Times New Roman" w:cs="Times New Roman"/>
              <w:szCs w:val="24"/>
            </w:rPr>
            <w:fldChar w:fldCharType="separate"/>
          </w:r>
          <w:r>
            <w:rPr>
              <w:rFonts w:hint="default"/>
            </w:rPr>
            <w:t xml:space="preserve">5. </w:t>
          </w:r>
          <w:r>
            <w:t>角色与职责</w:t>
          </w:r>
          <w:r>
            <w:tab/>
          </w:r>
          <w:r>
            <w:fldChar w:fldCharType="begin"/>
          </w:r>
          <w:r>
            <w:instrText xml:space="preserve"> PAGEREF _Toc221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_Toc15607 </w:instrText>
          </w:r>
          <w:r>
            <w:rPr>
              <w:rFonts w:ascii="Times New Roman" w:eastAsia="Times New Roman" w:hAnsi="Times New Roman" w:cs="Times New Roman"/>
              <w:szCs w:val="24"/>
            </w:rPr>
            <w:fldChar w:fldCharType="separate"/>
          </w:r>
          <w:r>
            <w:rPr>
              <w:rFonts w:hint="default"/>
            </w:rPr>
            <w:t xml:space="preserve">6. </w:t>
          </w:r>
          <w:r>
            <w:rPr>
              <w:rFonts w:hint="eastAsia"/>
              <w:lang w:val="en-US" w:eastAsia="zh-CN"/>
            </w:rPr>
            <w:t>工</w:t>
          </w:r>
          <w:r>
            <w:t>作程序</w:t>
          </w:r>
          <w:r>
            <w:tab/>
          </w:r>
          <w:r>
            <w:fldChar w:fldCharType="begin"/>
          </w:r>
          <w:r>
            <w:instrText xml:space="preserve"> PAGEREF _Toc15607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_Toc9493 </w:instrText>
          </w:r>
          <w:r>
            <w:rPr>
              <w:rFonts w:ascii="Times New Roman" w:eastAsia="Times New Roman" w:hAnsi="Times New Roman" w:cs="Times New Roman"/>
              <w:szCs w:val="24"/>
            </w:rPr>
            <w:fldChar w:fldCharType="separate"/>
          </w:r>
          <w:r>
            <w:rPr>
              <w:rFonts w:hint="default"/>
            </w:rPr>
            <w:t xml:space="preserve">6.1. </w:t>
          </w:r>
          <w:r>
            <w:t>识别、定义度量项</w:t>
          </w:r>
          <w:r>
            <w:tab/>
          </w:r>
          <w:r>
            <w:fldChar w:fldCharType="begin"/>
          </w:r>
          <w:r>
            <w:instrText xml:space="preserve"> PAGEREF _Toc9493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_Toc4907 </w:instrText>
          </w:r>
          <w:r>
            <w:rPr>
              <w:rFonts w:ascii="Times New Roman" w:eastAsia="Times New Roman" w:hAnsi="Times New Roman" w:cs="Times New Roman"/>
              <w:szCs w:val="24"/>
            </w:rPr>
            <w:fldChar w:fldCharType="separate"/>
          </w:r>
          <w:r>
            <w:rPr>
              <w:rFonts w:hint="default"/>
            </w:rPr>
            <w:t xml:space="preserve">6.2. </w:t>
          </w:r>
          <w:r>
            <w:t>确定服务能力基准</w:t>
          </w:r>
          <w:r>
            <w:tab/>
          </w:r>
          <w:r>
            <w:fldChar w:fldCharType="begin"/>
          </w:r>
          <w:r>
            <w:instrText xml:space="preserve"> PAGEREF _Toc4907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_Toc8845 </w:instrText>
          </w:r>
          <w:r>
            <w:rPr>
              <w:rFonts w:ascii="Times New Roman" w:eastAsia="Times New Roman" w:hAnsi="Times New Roman" w:cs="Times New Roman"/>
              <w:szCs w:val="24"/>
            </w:rPr>
            <w:fldChar w:fldCharType="separate"/>
          </w:r>
          <w:r>
            <w:rPr>
              <w:rFonts w:hint="default"/>
            </w:rPr>
            <w:t xml:space="preserve">6.3. </w:t>
          </w:r>
          <w:r>
            <w:t>设定目标</w:t>
          </w:r>
          <w:r>
            <w:tab/>
          </w:r>
          <w:r>
            <w:fldChar w:fldCharType="begin"/>
          </w:r>
          <w:r>
            <w:instrText xml:space="preserve"> PAGEREF _Toc8845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_Toc16553 </w:instrText>
          </w:r>
          <w:r>
            <w:rPr>
              <w:rFonts w:ascii="Times New Roman" w:eastAsia="Times New Roman" w:hAnsi="Times New Roman" w:cs="Times New Roman"/>
              <w:szCs w:val="24"/>
            </w:rPr>
            <w:fldChar w:fldCharType="separate"/>
          </w:r>
          <w:r>
            <w:rPr>
              <w:rFonts w:hint="default"/>
            </w:rPr>
            <w:t xml:space="preserve">6.4. </w:t>
          </w:r>
          <w:r>
            <w:t>收集指标数据改进</w:t>
          </w:r>
          <w:r>
            <w:tab/>
          </w:r>
          <w:r>
            <w:fldChar w:fldCharType="begin"/>
          </w:r>
          <w:r>
            <w:instrText xml:space="preserve"> PAGEREF _Toc16553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_Toc13822 </w:instrText>
          </w:r>
          <w:r>
            <w:rPr>
              <w:rFonts w:ascii="Times New Roman" w:eastAsia="Times New Roman" w:hAnsi="Times New Roman" w:cs="Times New Roman"/>
              <w:szCs w:val="24"/>
            </w:rPr>
            <w:fldChar w:fldCharType="separate"/>
          </w:r>
          <w:r>
            <w:rPr>
              <w:rFonts w:hint="default"/>
            </w:rPr>
            <w:t xml:space="preserve">6.5. </w:t>
          </w:r>
          <w:r>
            <w:t>分析能力数据</w:t>
          </w:r>
          <w:r>
            <w:tab/>
          </w:r>
          <w:r>
            <w:fldChar w:fldCharType="begin"/>
          </w:r>
          <w:r>
            <w:instrText xml:space="preserve"> PAGEREF _Toc13822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_Toc2485 </w:instrText>
          </w:r>
          <w:r>
            <w:rPr>
              <w:rFonts w:ascii="Times New Roman" w:eastAsia="Times New Roman" w:hAnsi="Times New Roman" w:cs="Times New Roman"/>
              <w:szCs w:val="24"/>
            </w:rPr>
            <w:fldChar w:fldCharType="separate"/>
          </w:r>
          <w:r>
            <w:rPr>
              <w:rFonts w:hint="default"/>
            </w:rPr>
            <w:t xml:space="preserve">6.6. </w:t>
          </w:r>
          <w:r>
            <w:t>识别差距</w:t>
          </w:r>
          <w:r>
            <w:tab/>
          </w:r>
          <w:r>
            <w:fldChar w:fldCharType="begin"/>
          </w:r>
          <w:r>
            <w:instrText xml:space="preserve"> PAGEREF _Toc2485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_Toc19295 </w:instrText>
          </w:r>
          <w:r>
            <w:rPr>
              <w:rFonts w:ascii="Times New Roman" w:eastAsia="Times New Roman" w:hAnsi="Times New Roman" w:cs="Times New Roman"/>
              <w:szCs w:val="24"/>
            </w:rPr>
            <w:fldChar w:fldCharType="separate"/>
          </w:r>
          <w:r>
            <w:rPr>
              <w:rFonts w:hint="default"/>
            </w:rPr>
            <w:t xml:space="preserve">6.7. </w:t>
          </w:r>
          <w:r>
            <w:t>确定服务改进措施</w:t>
          </w:r>
          <w:r>
            <w:tab/>
          </w:r>
          <w:r>
            <w:fldChar w:fldCharType="begin"/>
          </w:r>
          <w:r>
            <w:instrText xml:space="preserve"> PAGEREF _Toc19295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_Toc2081 </w:instrText>
          </w:r>
          <w:r>
            <w:rPr>
              <w:rFonts w:ascii="Times New Roman" w:eastAsia="Times New Roman" w:hAnsi="Times New Roman" w:cs="Times New Roman"/>
              <w:szCs w:val="24"/>
            </w:rPr>
            <w:fldChar w:fldCharType="separate"/>
          </w:r>
          <w:r>
            <w:rPr>
              <w:rFonts w:hint="default"/>
            </w:rPr>
            <w:t xml:space="preserve">6.8. </w:t>
          </w:r>
          <w:r>
            <w:t>服务改进实施</w:t>
          </w:r>
          <w:r>
            <w:tab/>
          </w:r>
          <w:r>
            <w:fldChar w:fldCharType="begin"/>
          </w:r>
          <w:r>
            <w:instrText xml:space="preserve"> PAGEREF _Toc2081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_Toc25614 </w:instrText>
          </w:r>
          <w:r>
            <w:rPr>
              <w:rFonts w:ascii="Times New Roman" w:eastAsia="Times New Roman" w:hAnsi="Times New Roman" w:cs="Times New Roman"/>
              <w:szCs w:val="24"/>
            </w:rPr>
            <w:fldChar w:fldCharType="separate"/>
          </w:r>
          <w:r>
            <w:rPr>
              <w:rFonts w:hint="default"/>
            </w:rPr>
            <w:t xml:space="preserve">6.9. </w:t>
          </w:r>
          <w:r>
            <w:t>服务监控</w:t>
          </w:r>
          <w:r>
            <w:tab/>
          </w:r>
          <w:r>
            <w:fldChar w:fldCharType="begin"/>
          </w:r>
          <w:r>
            <w:instrText xml:space="preserve"> PAGEREF _Toc25614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_Toc4957 </w:instrText>
          </w:r>
          <w:r>
            <w:rPr>
              <w:rFonts w:ascii="Times New Roman" w:eastAsia="Times New Roman" w:hAnsi="Times New Roman" w:cs="Times New Roman"/>
              <w:szCs w:val="24"/>
            </w:rPr>
            <w:fldChar w:fldCharType="separate"/>
          </w:r>
          <w:r>
            <w:rPr>
              <w:rFonts w:hint="default"/>
            </w:rPr>
            <w:t xml:space="preserve">7. </w:t>
          </w:r>
          <w:r>
            <w:t>相关文件</w:t>
          </w:r>
          <w:r>
            <w:tab/>
          </w:r>
          <w:r>
            <w:fldChar w:fldCharType="begin"/>
          </w:r>
          <w:r>
            <w:instrText xml:space="preserve"> PAGEREF _Toc4957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_Toc3864 </w:instrText>
          </w:r>
          <w:r>
            <w:rPr>
              <w:rFonts w:ascii="Times New Roman" w:eastAsia="Times New Roman" w:hAnsi="Times New Roman" w:cs="Times New Roman"/>
              <w:szCs w:val="24"/>
            </w:rPr>
            <w:fldChar w:fldCharType="separate"/>
          </w:r>
          <w:r>
            <w:rPr>
              <w:rFonts w:hint="default"/>
            </w:rPr>
            <w:t xml:space="preserve">8. </w:t>
          </w:r>
          <w:r>
            <w:t>附  则</w:t>
          </w:r>
          <w:r>
            <w:tab/>
          </w:r>
          <w:r>
            <w:fldChar w:fldCharType="begin"/>
          </w:r>
          <w:r>
            <w:instrText xml:space="preserve"> PAGEREF _Toc3864 \h </w:instrText>
          </w:r>
          <w:r>
            <w:fldChar w:fldCharType="separate"/>
          </w:r>
          <w:r>
            <w:t>6</w:t>
          </w:r>
          <w:r>
            <w:fldChar w:fldCharType="end"/>
          </w:r>
          <w:r>
            <w:rPr>
              <w:rFonts w:ascii="Times New Roman" w:eastAsia="Times New Roman" w:hAnsi="Times New Roman" w:cs="Times New Roman"/>
              <w:szCs w:val="24"/>
            </w:rPr>
            <w:fldChar w:fldCharType="end"/>
          </w:r>
        </w:p>
        <w:p>
          <w:pPr>
            <w:spacing w:line="219" w:lineRule="auto"/>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spacing w:line="219" w:lineRule="auto"/>
        <w:rPr>
          <w:rFonts w:ascii="Times New Roman" w:eastAsia="Times New Roman" w:hAnsi="Times New Roman" w:cs="Times New Roman"/>
          <w:snapToGrid w:val="0"/>
          <w:color w:val="000000"/>
          <w:kern w:val="0"/>
          <w:sz w:val="21"/>
          <w:szCs w:val="24"/>
          <w:lang w:val="en-US" w:eastAsia="en-US" w:bidi="ar-SA"/>
        </w:rPr>
        <w:sectPr>
          <w:pgSz w:w="11906" w:h="16839"/>
          <w:pgMar w:top="1431" w:right="1700" w:bottom="0" w:left="1709" w:header="0" w:footer="0" w:gutter="0"/>
          <w:cols w:num="1" w:space="720"/>
        </w:sectPr>
      </w:pPr>
    </w:p>
    <w:p>
      <w:pPr>
        <w:pStyle w:val="1"/>
        <w:bidi w:val="0"/>
      </w:pPr>
      <w:bookmarkStart w:id="3" w:name="_Toc28093"/>
      <w:r>
        <w:t>目的</w:t>
      </w:r>
      <w:bookmarkEnd w:id="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为推进公司运维服务能力管理工作的持续改进，特建立本程序，主要目的</w:t>
      </w:r>
      <w:r>
        <w:rPr>
          <w:rFonts w:ascii="宋体" w:eastAsia="宋体" w:hAnsi="宋体" w:cs="宋体"/>
          <w:spacing w:val="-9"/>
          <w:sz w:val="24"/>
          <w:szCs w:val="24"/>
        </w:rPr>
        <w:t>归纳为以下几点：</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根据信息技术服务运行维护相应标准，识别公</w:t>
      </w:r>
      <w:r>
        <w:rPr>
          <w:rFonts w:ascii="宋体" w:eastAsia="宋体" w:hAnsi="宋体" w:cs="宋体"/>
          <w:spacing w:val="-2"/>
          <w:sz w:val="24"/>
          <w:szCs w:val="24"/>
        </w:rPr>
        <w:t>司运维服务能力管理差</w:t>
      </w:r>
      <w:r>
        <w:rPr>
          <w:rFonts w:ascii="宋体" w:eastAsia="宋体" w:hAnsi="宋体" w:cs="宋体"/>
          <w:spacing w:val="-10"/>
          <w:sz w:val="24"/>
          <w:szCs w:val="24"/>
        </w:rPr>
        <w:t>距并进行改进；</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在日常运维服务过程中，识别存在的问题或与同行之间的差距等，进</w:t>
      </w:r>
      <w:r>
        <w:rPr>
          <w:rFonts w:ascii="宋体" w:eastAsia="宋体" w:hAnsi="宋体" w:cs="宋体"/>
          <w:spacing w:val="-6"/>
          <w:sz w:val="24"/>
          <w:szCs w:val="24"/>
        </w:rPr>
        <w:t>行相应措施的落实与改进；</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通过一系列指标的收集分析以及目标管理，识别公司服务能力管理水平</w:t>
      </w:r>
      <w:r>
        <w:rPr>
          <w:rFonts w:ascii="宋体" w:eastAsia="宋体" w:hAnsi="宋体" w:cs="宋体"/>
          <w:spacing w:val="-3"/>
          <w:sz w:val="24"/>
          <w:szCs w:val="24"/>
        </w:rPr>
        <w:t>以及需要持续改进之处，并提出可改进的相应措施进行改进。</w:t>
      </w:r>
    </w:p>
    <w:p>
      <w:pPr>
        <w:pStyle w:val="1"/>
        <w:bidi w:val="0"/>
      </w:pPr>
      <w:bookmarkStart w:id="4" w:name="_Toc19892"/>
      <w:r>
        <w:t>适用范围</w:t>
      </w:r>
      <w:bookmarkEnd w:id="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涉及公司运维服务业务的部门，适用于运维服务过程中提供方与其他相关主体之间就服务质量所进行的协调活动。</w:t>
      </w:r>
    </w:p>
    <w:p>
      <w:pPr>
        <w:pStyle w:val="1"/>
        <w:bidi w:val="0"/>
      </w:pPr>
      <w:bookmarkStart w:id="5" w:name="_Toc19080"/>
      <w:r>
        <w:t>引用文件</w:t>
      </w:r>
      <w:bookmarkEnd w:id="5"/>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hint="eastAsia"/>
          <w:spacing w:val="-1"/>
          <w:sz w:val="24"/>
          <w:szCs w:val="24"/>
        </w:rPr>
        <w:t>T/CESA 1299—2023</w:t>
      </w:r>
      <w:r>
        <w:rPr>
          <w:rFonts w:ascii="宋体" w:eastAsia="宋体" w:hAnsi="宋体" w:cs="宋体"/>
          <w:spacing w:val="-1"/>
          <w:sz w:val="24"/>
          <w:szCs w:val="24"/>
        </w:rPr>
        <w:t xml:space="preserve"> 《信息技术服务 运行维护服务能力成熟度模型》</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28827.1-2022 《信息技术服务 运行维护 第 1 部分：通用要求》</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28827.2-2012 《信息技术服务 运行维护 第 2 部分:交付规范》</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28827.3-2012 《信息技术服务 运行维护 第 3 部分:应急响应规范》</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29264-2012 《信息技术服务 分类与代码》</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国家有关法律、法规及行业标准</w:t>
      </w:r>
    </w:p>
    <w:p>
      <w:pPr>
        <w:pStyle w:val="1"/>
        <w:bidi w:val="0"/>
      </w:pPr>
      <w:bookmarkStart w:id="6" w:name="_Toc656"/>
      <w:r>
        <w:t>术语与定义</w:t>
      </w:r>
      <w:bookmarkEnd w:id="6"/>
    </w:p>
    <w:p>
      <w:pPr>
        <w:spacing w:before="178" w:line="220" w:lineRule="auto"/>
        <w:ind w:left="604"/>
      </w:pPr>
      <w:r>
        <w:rPr>
          <w:rFonts w:ascii="宋体" w:eastAsia="宋体" w:hAnsi="宋体" w:cs="宋体"/>
          <w:sz w:val="24"/>
          <w:szCs w:val="24"/>
        </w:rPr>
        <w:t>无</w:t>
      </w:r>
    </w:p>
    <w:p>
      <w:pPr>
        <w:pStyle w:val="1"/>
        <w:bidi w:val="0"/>
      </w:pPr>
      <w:bookmarkStart w:id="7" w:name="_Toc221"/>
      <w:r>
        <w:t>角色与职责</w:t>
      </w:r>
      <w:bookmarkEnd w:id="7"/>
    </w:p>
    <w:p>
      <w:pPr>
        <w:spacing w:line="62" w:lineRule="exact"/>
      </w:pPr>
    </w:p>
    <w:tbl>
      <w:tblPr>
        <w:tblStyle w:val="TableNormal0"/>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268"/>
        <w:gridCol w:w="2742"/>
        <w:gridCol w:w="3512"/>
      </w:tblGrid>
      <w:tr>
        <w:tblPrEx>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12"/>
        </w:trPr>
        <w:tc>
          <w:tcPr>
            <w:tcW w:w="2268" w:type="dxa"/>
            <w:shd w:val="clear" w:color="auto" w:fill="BFBFBF"/>
          </w:tcPr>
          <w:p>
            <w:pPr>
              <w:spacing w:before="52" w:line="219" w:lineRule="auto"/>
              <w:ind w:left="929"/>
              <w:rPr>
                <w:rFonts w:ascii="宋体" w:eastAsia="宋体" w:hAnsi="宋体" w:cs="宋体"/>
                <w:sz w:val="21"/>
                <w:szCs w:val="21"/>
              </w:rPr>
            </w:pPr>
            <w:r>
              <w:rPr>
                <w:rFonts w:ascii="宋体" w:eastAsia="宋体" w:hAnsi="宋体" w:cs="宋体"/>
                <w:spacing w:val="-3"/>
                <w:sz w:val="21"/>
                <w:szCs w:val="21"/>
              </w:rPr>
              <w:t>角色</w:t>
            </w:r>
          </w:p>
        </w:tc>
        <w:tc>
          <w:tcPr>
            <w:tcW w:w="2742" w:type="dxa"/>
            <w:shd w:val="clear" w:color="auto" w:fill="BFBFBF"/>
          </w:tcPr>
          <w:p>
            <w:pPr>
              <w:spacing w:before="52" w:line="219" w:lineRule="auto"/>
              <w:ind w:left="1164"/>
              <w:rPr>
                <w:rFonts w:ascii="宋体" w:eastAsia="宋体" w:hAnsi="宋体" w:cs="宋体"/>
                <w:sz w:val="21"/>
                <w:szCs w:val="21"/>
              </w:rPr>
            </w:pPr>
            <w:r>
              <w:rPr>
                <w:rFonts w:ascii="宋体" w:eastAsia="宋体" w:hAnsi="宋体" w:cs="宋体"/>
                <w:spacing w:val="-3"/>
                <w:sz w:val="21"/>
                <w:szCs w:val="21"/>
              </w:rPr>
              <w:t>职责</w:t>
            </w:r>
          </w:p>
        </w:tc>
        <w:tc>
          <w:tcPr>
            <w:tcW w:w="3512" w:type="dxa"/>
            <w:shd w:val="clear" w:color="auto" w:fill="BFBFBF"/>
          </w:tcPr>
          <w:p>
            <w:pPr>
              <w:spacing w:before="52" w:line="219" w:lineRule="auto"/>
              <w:ind w:left="207"/>
              <w:rPr>
                <w:rFonts w:ascii="宋体" w:eastAsia="宋体" w:hAnsi="宋体" w:cs="宋体"/>
                <w:sz w:val="21"/>
                <w:szCs w:val="21"/>
              </w:rPr>
            </w:pPr>
            <w:r>
              <w:rPr>
                <w:rFonts w:ascii="宋体" w:eastAsia="宋体" w:hAnsi="宋体" w:cs="宋体"/>
                <w:spacing w:val="-3"/>
                <w:sz w:val="21"/>
                <w:szCs w:val="21"/>
              </w:rPr>
              <w:t>岗位（要以岗位职责说明书确定）</w:t>
            </w:r>
          </w:p>
        </w:tc>
      </w:tr>
      <w:tr>
        <w:tblPrEx>
          <w:tblW w:w="8522" w:type="dxa"/>
          <w:tblInd w:w="5" w:type="dxa"/>
          <w:tblLayout w:type="fixed"/>
          <w:tblCellMar>
            <w:top w:w="0" w:type="dxa"/>
            <w:left w:w="0" w:type="dxa"/>
            <w:bottom w:w="0" w:type="dxa"/>
            <w:right w:w="0" w:type="dxa"/>
          </w:tblCellMar>
        </w:tblPrEx>
        <w:trPr>
          <w:trHeight w:val="312"/>
        </w:trPr>
        <w:tc>
          <w:tcPr>
            <w:tcW w:w="2268" w:type="dxa"/>
          </w:tcPr>
          <w:p>
            <w:pPr>
              <w:spacing w:before="52" w:line="219" w:lineRule="auto"/>
              <w:ind w:left="610"/>
              <w:rPr>
                <w:rFonts w:ascii="宋体" w:eastAsia="宋体" w:hAnsi="宋体" w:cs="宋体"/>
                <w:sz w:val="21"/>
                <w:szCs w:val="21"/>
              </w:rPr>
            </w:pPr>
            <w:r>
              <w:rPr>
                <w:rFonts w:ascii="宋体" w:eastAsia="宋体" w:hAnsi="宋体" w:cs="宋体"/>
                <w:spacing w:val="-2"/>
                <w:sz w:val="21"/>
                <w:szCs w:val="21"/>
              </w:rPr>
              <w:t>程序起草人</w:t>
            </w:r>
          </w:p>
        </w:tc>
        <w:tc>
          <w:tcPr>
            <w:tcW w:w="2742" w:type="dxa"/>
          </w:tcPr>
          <w:p>
            <w:pPr>
              <w:spacing w:before="52" w:line="219" w:lineRule="auto"/>
              <w:ind w:left="331"/>
              <w:rPr>
                <w:rFonts w:ascii="宋体" w:eastAsia="宋体" w:hAnsi="宋体" w:cs="宋体"/>
                <w:sz w:val="21"/>
                <w:szCs w:val="21"/>
              </w:rPr>
            </w:pPr>
            <w:r>
              <w:rPr>
                <w:rFonts w:ascii="宋体" w:eastAsia="宋体" w:hAnsi="宋体" w:cs="宋体"/>
                <w:spacing w:val="-2"/>
                <w:sz w:val="21"/>
                <w:szCs w:val="21"/>
              </w:rPr>
              <w:t>负责制度的编写及完善</w:t>
            </w:r>
          </w:p>
        </w:tc>
        <w:tc>
          <w:tcPr>
            <w:tcW w:w="3512" w:type="dxa"/>
          </w:tcPr>
          <w:p>
            <w:pPr>
              <w:spacing w:before="52" w:line="219" w:lineRule="auto"/>
              <w:ind w:left="1130"/>
              <w:rPr>
                <w:rFonts w:ascii="宋体" w:eastAsia="宋体" w:hAnsi="宋体" w:cs="宋体"/>
                <w:sz w:val="21"/>
                <w:szCs w:val="21"/>
              </w:rPr>
            </w:pPr>
            <w:r>
              <w:rPr>
                <w:rFonts w:ascii="宋体" w:eastAsia="宋体" w:hAnsi="宋体" w:cs="宋体"/>
                <w:spacing w:val="-2"/>
                <w:sz w:val="21"/>
                <w:szCs w:val="21"/>
              </w:rPr>
              <w:t>质量管理专员</w:t>
            </w:r>
          </w:p>
        </w:tc>
      </w:tr>
      <w:tr>
        <w:tblPrEx>
          <w:tblW w:w="8522" w:type="dxa"/>
          <w:tblInd w:w="5" w:type="dxa"/>
          <w:tblLayout w:type="fixed"/>
          <w:tblCellMar>
            <w:top w:w="0" w:type="dxa"/>
            <w:left w:w="0" w:type="dxa"/>
            <w:bottom w:w="0" w:type="dxa"/>
            <w:right w:w="0" w:type="dxa"/>
          </w:tblCellMar>
        </w:tblPrEx>
        <w:trPr>
          <w:trHeight w:val="312"/>
        </w:trPr>
        <w:tc>
          <w:tcPr>
            <w:tcW w:w="2268" w:type="dxa"/>
            <w:shd w:val="clear" w:color="auto" w:fill="auto"/>
          </w:tcPr>
          <w:p>
            <w:pPr>
              <w:spacing w:before="53" w:line="218" w:lineRule="auto"/>
              <w:ind w:left="610"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程序审核人</w:t>
            </w:r>
          </w:p>
        </w:tc>
        <w:tc>
          <w:tcPr>
            <w:tcW w:w="2742" w:type="dxa"/>
            <w:shd w:val="clear" w:color="auto" w:fill="auto"/>
          </w:tcPr>
          <w:p>
            <w:pPr>
              <w:spacing w:before="53" w:line="218" w:lineRule="auto"/>
              <w:ind w:left="849"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制度的审核</w:t>
            </w:r>
          </w:p>
        </w:tc>
        <w:tc>
          <w:tcPr>
            <w:tcW w:w="3512" w:type="dxa"/>
            <w:shd w:val="clear" w:color="auto" w:fill="auto"/>
          </w:tcPr>
          <w:p>
            <w:pPr>
              <w:spacing w:before="53" w:line="218" w:lineRule="auto"/>
              <w:ind w:left="1450"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4"/>
                <w:sz w:val="21"/>
                <w:szCs w:val="21"/>
              </w:rPr>
              <w:t>总经理</w:t>
            </w:r>
          </w:p>
        </w:tc>
      </w:tr>
    </w:tbl>
    <w:p>
      <w:pPr>
        <w:pStyle w:val="BodyText"/>
        <w:spacing w:line="100" w:lineRule="exact"/>
        <w:rPr>
          <w:sz w:val="8"/>
        </w:rPr>
      </w:pPr>
    </w:p>
    <w:p>
      <w:pPr>
        <w:spacing w:line="100" w:lineRule="exact"/>
        <w:rPr>
          <w:sz w:val="8"/>
          <w:szCs w:val="8"/>
        </w:rPr>
        <w:sectPr>
          <w:footerReference w:type="default" r:id="rId4"/>
          <w:pgSz w:w="11906" w:h="16839"/>
          <w:pgMar w:top="1431" w:right="1686" w:bottom="1374" w:left="1686" w:header="0" w:footer="1211" w:gutter="0"/>
          <w:cols w:num="1" w:space="720"/>
        </w:sectPr>
      </w:pPr>
    </w:p>
    <w:p>
      <w:pPr>
        <w:spacing w:line="91" w:lineRule="auto"/>
        <w:rPr>
          <w:rFonts w:ascii="Arial"/>
          <w:sz w:val="2"/>
        </w:rPr>
      </w:pPr>
    </w:p>
    <w:p>
      <w:pPr>
        <w:pStyle w:val="1"/>
        <w:bidi w:val="0"/>
      </w:pPr>
      <w:bookmarkStart w:id="8" w:name="_Toc15607"/>
      <w:r>
        <w:rPr>
          <w:rFonts w:hint="eastAsia"/>
          <w:lang w:val="en-US" w:eastAsia="zh-CN"/>
        </w:rPr>
        <w:t>工</w:t>
      </w:r>
      <w:r>
        <w:t>作程序</w:t>
      </w:r>
      <w:bookmarkEnd w:id="8"/>
    </w:p>
    <w:p>
      <w:pPr>
        <w:pStyle w:val="2"/>
        <w:bidi w:val="0"/>
      </w:pPr>
      <w:bookmarkStart w:id="9" w:name="bookmark19"/>
      <w:bookmarkEnd w:id="9"/>
      <w:bookmarkStart w:id="10" w:name="_Toc9493"/>
      <w:r>
        <w:t>识别、定义度量项</w:t>
      </w:r>
      <w:bookmarkEnd w:id="1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公司运维部能力度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pPr>
        <w:pStyle w:val="2"/>
        <w:bidi w:val="0"/>
      </w:pPr>
      <w:bookmarkStart w:id="11" w:name="_Toc4907"/>
      <w:r>
        <w:t>确定服务能力基准</w:t>
      </w:r>
      <w:bookmarkEnd w:id="1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运维部需根据上年度运维部能力指标实施情况，收集整理相关指标数据，并建立关键能力指标基线，衡量公司现有服务能力水平。</w:t>
      </w:r>
    </w:p>
    <w:p>
      <w:pPr>
        <w:pStyle w:val="2"/>
        <w:bidi w:val="0"/>
      </w:pPr>
      <w:bookmarkStart w:id="12" w:name="_Toc8845"/>
      <w:r>
        <w:t>设定目标</w:t>
      </w:r>
      <w:bookmarkEnd w:id="1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根据公司最新服务能力指标以及客户要求，运维部需要召集相关领导和其他干系人讨论年度运维服务能力目标的合理性问题，最终确定一个合理的目标数据。</w:t>
      </w:r>
    </w:p>
    <w:p>
      <w:pPr>
        <w:pStyle w:val="2"/>
        <w:bidi w:val="0"/>
      </w:pPr>
      <w:bookmarkStart w:id="13" w:name="_Toc16553"/>
      <w:r>
        <w:t>收集指标数据改进</w:t>
      </w:r>
      <w:bookmarkEnd w:id="1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pPr>
        <w:pStyle w:val="2"/>
        <w:bidi w:val="0"/>
      </w:pPr>
      <w:bookmarkStart w:id="14" w:name="_Toc13822"/>
      <w:r>
        <w:t>分析能力数据</w:t>
      </w:r>
      <w:bookmarkEnd w:id="1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pPr>
        <w:pStyle w:val="2"/>
        <w:bidi w:val="0"/>
      </w:pPr>
      <w:bookmarkStart w:id="15" w:name="_Toc2485"/>
      <w:r>
        <w:t>识别差距</w:t>
      </w:r>
      <w:bookmarkEnd w:id="1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在项目日常执行过程中，运维部需要定期收集</w:t>
      </w:r>
      <w:r>
        <w:rPr>
          <w:rFonts w:ascii="宋体" w:eastAsia="宋体" w:hAnsi="宋体" w:cs="宋体"/>
          <w:spacing w:val="-1"/>
          <w:sz w:val="24"/>
          <w:szCs w:val="24"/>
        </w:rPr>
        <w:t>运维方面的改进建议，</w:t>
      </w:r>
      <w:r>
        <w:rPr>
          <w:rFonts w:ascii="宋体" w:eastAsia="宋体" w:hAnsi="宋体" w:cs="宋体"/>
          <w:sz w:val="24"/>
          <w:szCs w:val="24"/>
        </w:rPr>
        <w:t>主要来源客户反馈、运维部发现以及组织监</w:t>
      </w:r>
      <w:r>
        <w:rPr>
          <w:rFonts w:ascii="宋体" w:eastAsia="宋体" w:hAnsi="宋体" w:cs="宋体"/>
          <w:spacing w:val="-1"/>
          <w:sz w:val="24"/>
          <w:szCs w:val="24"/>
        </w:rPr>
        <w:t>控中发现的问题等，运维部</w:t>
      </w:r>
      <w:r>
        <w:rPr>
          <w:rFonts w:ascii="宋体" w:eastAsia="宋体" w:hAnsi="宋体" w:cs="宋体"/>
          <w:sz w:val="24"/>
          <w:szCs w:val="24"/>
        </w:rPr>
        <w:t>需要不定期进行相关讨论，识别真正需要改</w:t>
      </w:r>
      <w:r>
        <w:rPr>
          <w:rFonts w:ascii="宋体" w:eastAsia="宋体" w:hAnsi="宋体" w:cs="宋体"/>
          <w:spacing w:val="-1"/>
          <w:sz w:val="24"/>
          <w:szCs w:val="24"/>
        </w:rPr>
        <w:t>进的差距或提升项。另外运维部</w:t>
      </w:r>
      <w:r>
        <w:rPr>
          <w:rFonts w:ascii="宋体" w:eastAsia="宋体" w:hAnsi="宋体" w:cs="宋体"/>
          <w:sz w:val="24"/>
          <w:szCs w:val="24"/>
        </w:rPr>
        <w:t>针对指标基线以及指标执行数据，分析本年</w:t>
      </w:r>
      <w:r>
        <w:rPr>
          <w:rFonts w:ascii="宋体" w:eastAsia="宋体" w:hAnsi="宋体" w:cs="宋体"/>
          <w:spacing w:val="-1"/>
          <w:sz w:val="24"/>
          <w:szCs w:val="24"/>
        </w:rPr>
        <w:t>度服务能力水平趋势，识别异</w:t>
      </w:r>
      <w:r>
        <w:rPr>
          <w:rFonts w:ascii="宋体" w:eastAsia="宋体" w:hAnsi="宋体" w:cs="宋体"/>
          <w:spacing w:val="-4"/>
          <w:sz w:val="24"/>
          <w:szCs w:val="24"/>
        </w:rPr>
        <w:t>常点进行重点分析管控。</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运维部需要根据识别的差距严重程度，有选</w:t>
      </w:r>
      <w:r>
        <w:rPr>
          <w:rFonts w:ascii="宋体" w:eastAsia="宋体" w:hAnsi="宋体" w:cs="宋体"/>
          <w:spacing w:val="-1"/>
          <w:sz w:val="24"/>
          <w:szCs w:val="24"/>
        </w:rPr>
        <w:t>择性地强化某些方面的能</w:t>
      </w:r>
      <w:r>
        <w:rPr>
          <w:rFonts w:ascii="宋体" w:eastAsia="宋体" w:hAnsi="宋体" w:cs="宋体"/>
          <w:spacing w:val="-3"/>
          <w:sz w:val="24"/>
          <w:szCs w:val="24"/>
        </w:rPr>
        <w:t>力提升，应给予相关人员一定的培训。</w:t>
      </w:r>
    </w:p>
    <w:p>
      <w:pPr>
        <w:pStyle w:val="2"/>
        <w:bidi w:val="0"/>
      </w:pPr>
      <w:bookmarkStart w:id="16" w:name="bookmark1"/>
      <w:bookmarkEnd w:id="16"/>
      <w:bookmarkStart w:id="17" w:name="_Toc19295"/>
      <w:r>
        <w:t>确定服务改进措施</w:t>
      </w:r>
      <w:bookmarkEnd w:id="17"/>
      <w:bookmarkStart w:id="18" w:name="_GoBack"/>
      <w:bookmarkEnd w:id="1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运维部根据收集分析获得的改进项以及发现改进的问题项，进行针对性的提出服务改进解决方案，并通报给相关领导和改进参与人。</w:t>
      </w:r>
    </w:p>
    <w:p>
      <w:pPr>
        <w:pStyle w:val="2"/>
        <w:bidi w:val="0"/>
      </w:pPr>
      <w:bookmarkStart w:id="19" w:name="_Toc2081"/>
      <w:r>
        <w:t>服务改进实施</w:t>
      </w:r>
      <w:bookmarkEnd w:id="19"/>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根据改进解决方案，针对性进行改进工作规划与实施，运维部根据改进 措施的实施情况，将效果比较好的有效措施固化到流程中，不断优化公司服务能力体系。</w:t>
      </w:r>
    </w:p>
    <w:p>
      <w:pPr>
        <w:pStyle w:val="2"/>
        <w:bidi w:val="0"/>
      </w:pPr>
      <w:bookmarkStart w:id="20" w:name="_Toc25614"/>
      <w:r>
        <w:t>服务监控</w:t>
      </w:r>
      <w:bookmarkEnd w:id="2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质量部跟踪服务改进方案实施进行情况，发现措施实施有效问题时，及时通知运维部，商议调整改进方案事项，使改进达到最佳效果。</w:t>
      </w:r>
    </w:p>
    <w:p>
      <w:pPr>
        <w:pStyle w:val="1"/>
        <w:bidi w:val="0"/>
      </w:pPr>
      <w:bookmarkStart w:id="21" w:name="_Toc4957"/>
      <w:r>
        <w:t>相关文件</w:t>
      </w:r>
      <w:bookmarkEnd w:id="21"/>
    </w:p>
    <w:p>
      <w:pPr>
        <w:spacing w:before="43" w:line="220" w:lineRule="auto"/>
        <w:ind w:left="505"/>
        <w:rPr>
          <w:rFonts w:ascii="宋体" w:eastAsia="宋体" w:hAnsi="宋体" w:cs="宋体"/>
          <w:sz w:val="24"/>
          <w:szCs w:val="24"/>
        </w:rPr>
      </w:pPr>
      <w:r>
        <w:rPr>
          <w:rFonts w:ascii="宋体" w:eastAsia="宋体" w:hAnsi="宋体" w:cs="宋体"/>
          <w:sz w:val="24"/>
          <w:szCs w:val="24"/>
        </w:rPr>
        <w:t>无</w:t>
      </w:r>
    </w:p>
    <w:p>
      <w:pPr>
        <w:pStyle w:val="1"/>
        <w:bidi w:val="0"/>
      </w:pPr>
      <w:bookmarkStart w:id="22" w:name="_Toc3864"/>
      <w:r>
        <w:t>附  则</w:t>
      </w:r>
      <w:bookmarkEnd w:id="2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本制度由公司质量部拟定，自公司总经理批准颁布之日起施行。</w:t>
      </w:r>
    </w:p>
    <w:sectPr>
      <w:footerReference w:type="default" r:id="rId5"/>
      <w:pgSz w:w="11906" w:h="16839"/>
      <w:pgMar w:top="1431" w:right="1785"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35"/>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BAE13F5"/>
    <w:multiLevelType w:val="singleLevel"/>
    <w:tmpl w:val="9BAE13F5"/>
    <w:lvl w:ilvl="0">
      <w:start w:val="1"/>
      <w:numFmt w:val="decimal"/>
      <w:lvlText w:val="(%1)"/>
      <w:lvlJc w:val="left"/>
      <w:pPr>
        <w:ind w:left="425" w:hanging="425"/>
      </w:pPr>
      <w:rPr>
        <w:rFonts w:hint="default"/>
      </w:rPr>
    </w:lvl>
  </w:abstractNum>
  <w:abstractNum w:abstractNumId="2">
    <w:nsid w:val="9DDABDE5"/>
    <w:multiLevelType w:val="singleLevel"/>
    <w:tmpl w:val="9DDABDE5"/>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6</Pages>
  <Words>1590</Words>
  <Characters>1718</Characters>
  <Application>Microsoft Office Word</Application>
  <DocSecurity>0</DocSecurity>
  <Lines>0</Lines>
  <Paragraphs>0</Paragraphs>
  <ScaleCrop>false</ScaleCrop>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chenlei</dc:creator>
  <cp:lastModifiedBy>nancy杨茜</cp:lastModifiedBy>
  <cp:revision>0</cp:revision>
  <dcterms:created xsi:type="dcterms:W3CDTF">2025-08-18T18:10:00Z</dcterms:created>
  <dcterms:modified xsi:type="dcterms:W3CDTF">2026-01-07T21:34:18Z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2025-08-21T00:15:31Z</vt:filetime>
  </property>
  <property fmtid="{D5CDD505-2E9C-101B-9397-08002B2CF9AE}" pid="3" name="CRO">
    <vt:lpwstr>wqlLaW5nc29mdCBQREYgdG8gV1BTIDExNQ</vt:lpwstr>
  </property>
  <property fmtid="{D5CDD505-2E9C-101B-9397-08002B2CF9AE}" pid="4" name="ICV">
    <vt:lpwstr>B5D9635365AF48C18B9AC25F73A2CAA8_12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