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184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GoBack"/>
      <w:bookmarkEnd w:id="1"/>
      <w:r>
        <w:t>运维服务人员储备制度</w:t>
      </w:r>
      <w:bookmarkEnd w:id="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_Toc22374"/>
      <w:r>
        <w:t>江苏云储智能科技有限公司</w:t>
      </w:r>
      <w:bookmarkEnd w:id="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b w:val="0"/>
          <w:bCs w:val="0"/>
          <w:sz w:val="36"/>
          <w:szCs w:val="36"/>
          <w:lang w:val="en-US" w:eastAsia="zh-CN"/>
        </w:rPr>
        <w:sectPr>
          <w:pgSz w:w="11906" w:h="16839"/>
          <w:pgMar w:top="1431" w:right="1785" w:bottom="0" w:left="1785" w:header="0" w:footer="0" w:gutter="0"/>
          <w:cols w:num="1" w:space="720"/>
        </w:sectPr>
      </w:pPr>
      <w:bookmarkStart w:id="3" w:name="_Toc29960"/>
      <w:r>
        <w:rPr>
          <w:rFonts w:ascii="宋体" w:eastAsia="宋体" w:hAnsi="宋体" w:cs="宋体" w:hint="eastAsia"/>
          <w:b w:val="0"/>
          <w:bCs w:val="0"/>
          <w:sz w:val="36"/>
          <w:szCs w:val="36"/>
          <w:lang w:val="en-US" w:eastAsia="zh-CN"/>
        </w:rPr>
        <w:t>2025年1月4日</w:t>
      </w:r>
      <w:bookmarkEnd w:id="3"/>
    </w:p>
    <w:p>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753"/>
        <w:textAlignment w:val="baseline"/>
        <w:outlineLvl w:val="0"/>
        <w:rPr>
          <w:rFonts w:ascii="宋体" w:eastAsia="宋体" w:hAnsi="宋体" w:cs="宋体"/>
          <w:sz w:val="28"/>
          <w:szCs w:val="28"/>
        </w:rPr>
      </w:pPr>
      <w:bookmarkStart w:id="4" w:name="_Toc31157"/>
      <w:r>
        <w:rPr>
          <w:rFonts w:ascii="宋体" w:eastAsia="宋体" w:hAnsi="宋体" w:cs="宋体"/>
          <w:spacing w:val="-3"/>
          <w:sz w:val="28"/>
          <w:szCs w:val="28"/>
        </w:rPr>
        <w:t>文档信息</w:t>
      </w:r>
      <w:bookmarkEnd w:id="4"/>
    </w:p>
    <w:tbl>
      <w:tblPr>
        <w:tblStyle w:val="TableNormal0"/>
        <w:tblW w:w="86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63"/>
        <w:gridCol w:w="1696"/>
        <w:gridCol w:w="2302"/>
        <w:gridCol w:w="1557"/>
        <w:gridCol w:w="1562"/>
      </w:tblGrid>
      <w:tr>
        <w:tblPrEx>
          <w:tblW w:w="86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2"/>
        </w:trPr>
        <w:tc>
          <w:tcPr>
            <w:tcW w:w="1563"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54"/>
              <w:textAlignment w:val="baseline"/>
              <w:rPr>
                <w:rFonts w:ascii="宋体" w:eastAsia="宋体" w:hAnsi="宋体" w:cs="宋体"/>
                <w:sz w:val="21"/>
                <w:szCs w:val="21"/>
              </w:rPr>
            </w:pPr>
            <w:r>
              <w:rPr>
                <w:rFonts w:ascii="宋体" w:eastAsia="宋体" w:hAnsi="宋体" w:cs="宋体"/>
                <w:spacing w:val="-2"/>
                <w:sz w:val="21"/>
                <w:szCs w:val="21"/>
              </w:rPr>
              <w:t>文档名称编号</w:t>
            </w:r>
          </w:p>
        </w:tc>
        <w:tc>
          <w:tcPr>
            <w:tcW w:w="7117"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08"/>
              <w:textAlignment w:val="baseline"/>
              <w:rPr>
                <w:rFonts w:ascii="宋体" w:eastAsia="宋体" w:hAnsi="宋体" w:cs="宋体"/>
                <w:sz w:val="21"/>
                <w:szCs w:val="21"/>
              </w:rPr>
            </w:pPr>
            <w:r>
              <w:rPr>
                <w:rFonts w:ascii="宋体" w:eastAsia="宋体" w:hAnsi="宋体" w:cs="宋体"/>
                <w:spacing w:val="-1"/>
                <w:sz w:val="21"/>
                <w:szCs w:val="21"/>
              </w:rPr>
              <w:t>运维服务人员储备制度（JSYC-ITSS-RYCBZD）</w:t>
            </w:r>
          </w:p>
        </w:tc>
      </w:tr>
      <w:tr>
        <w:tblPrEx>
          <w:tblW w:w="8680" w:type="dxa"/>
          <w:tblInd w:w="5" w:type="dxa"/>
          <w:tblLayout w:type="fixed"/>
          <w:tblCellMar>
            <w:top w:w="0" w:type="dxa"/>
            <w:left w:w="0" w:type="dxa"/>
            <w:bottom w:w="0" w:type="dxa"/>
            <w:right w:w="0" w:type="dxa"/>
          </w:tblCellMar>
        </w:tblPrEx>
        <w:trPr>
          <w:trHeight w:val="607"/>
        </w:trPr>
        <w:tc>
          <w:tcPr>
            <w:tcW w:w="1563" w:type="dxa"/>
          </w:tcPr>
          <w:p>
            <w:pPr>
              <w:keepNext w:val="0"/>
              <w:keepLines w:val="0"/>
              <w:pageBreakBefore w:val="0"/>
              <w:widowControl w:val="0"/>
              <w:kinsoku w:val="0"/>
              <w:wordWrap/>
              <w:overflowPunct/>
              <w:topLinePunct w:val="0"/>
              <w:autoSpaceDE w:val="0"/>
              <w:autoSpaceDN w:val="0"/>
              <w:bidi w:val="0"/>
              <w:adjustRightInd w:val="0"/>
              <w:snapToGrid w:val="0"/>
              <w:spacing w:before="195" w:line="220" w:lineRule="auto"/>
              <w:ind w:left="364"/>
              <w:textAlignment w:val="baseline"/>
              <w:rPr>
                <w:rFonts w:ascii="宋体" w:eastAsia="宋体" w:hAnsi="宋体" w:cs="宋体"/>
                <w:sz w:val="21"/>
                <w:szCs w:val="21"/>
              </w:rPr>
            </w:pPr>
            <w:r>
              <w:rPr>
                <w:rFonts w:ascii="宋体" w:eastAsia="宋体" w:hAnsi="宋体" w:cs="宋体"/>
                <w:spacing w:val="-2"/>
                <w:sz w:val="21"/>
                <w:szCs w:val="21"/>
              </w:rPr>
              <w:t>编制单位</w:t>
            </w:r>
          </w:p>
        </w:tc>
        <w:tc>
          <w:tcPr>
            <w:tcW w:w="7117"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96" w:line="219" w:lineRule="auto"/>
              <w:ind w:left="108"/>
              <w:textAlignment w:val="baseline"/>
              <w:rPr>
                <w:rFonts w:ascii="宋体" w:eastAsia="宋体" w:hAnsi="宋体" w:cs="宋体"/>
                <w:sz w:val="21"/>
                <w:szCs w:val="21"/>
              </w:rPr>
            </w:pPr>
            <w:r>
              <w:rPr>
                <w:rFonts w:ascii="宋体" w:eastAsia="宋体" w:hAnsi="宋体" w:cs="宋体"/>
                <w:spacing w:val="-1"/>
                <w:sz w:val="21"/>
                <w:szCs w:val="21"/>
              </w:rPr>
              <w:t>江苏云储智能科技有限公司</w:t>
            </w:r>
          </w:p>
        </w:tc>
      </w:tr>
      <w:tr>
        <w:tblPrEx>
          <w:tblW w:w="8680" w:type="dxa"/>
          <w:tblInd w:w="5" w:type="dxa"/>
          <w:tblLayout w:type="fixed"/>
          <w:tblCellMar>
            <w:top w:w="0" w:type="dxa"/>
            <w:left w:w="0" w:type="dxa"/>
            <w:bottom w:w="0" w:type="dxa"/>
            <w:right w:w="0" w:type="dxa"/>
          </w:tblCellMar>
        </w:tblPrEx>
        <w:trPr>
          <w:trHeight w:val="607"/>
        </w:trPr>
        <w:tc>
          <w:tcPr>
            <w:tcW w:w="1563" w:type="dxa"/>
          </w:tcPr>
          <w:p>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364"/>
              <w:textAlignment w:val="baseline"/>
              <w:rPr>
                <w:rFonts w:ascii="宋体" w:eastAsia="宋体" w:hAnsi="宋体" w:cs="宋体"/>
                <w:sz w:val="21"/>
                <w:szCs w:val="21"/>
              </w:rPr>
            </w:pPr>
            <w:r>
              <w:rPr>
                <w:rFonts w:ascii="宋体" w:eastAsia="宋体" w:hAnsi="宋体" w:cs="宋体"/>
                <w:spacing w:val="-2"/>
                <w:sz w:val="21"/>
                <w:szCs w:val="21"/>
              </w:rPr>
              <w:t>文档密级</w:t>
            </w:r>
          </w:p>
        </w:tc>
        <w:tc>
          <w:tcPr>
            <w:tcW w:w="7117"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107"/>
              <w:textAlignment w:val="baseline"/>
              <w:rPr>
                <w:rFonts w:ascii="宋体" w:eastAsia="宋体" w:hAnsi="宋体" w:cs="宋体"/>
                <w:sz w:val="21"/>
                <w:szCs w:val="21"/>
              </w:rPr>
            </w:pPr>
            <w:r>
              <w:rPr>
                <w:rFonts w:ascii="宋体" w:eastAsia="宋体" w:hAnsi="宋体" w:cs="宋体"/>
                <w:spacing w:val="-2"/>
                <w:sz w:val="21"/>
                <w:szCs w:val="21"/>
              </w:rPr>
              <w:t>秘密</w:t>
            </w:r>
          </w:p>
        </w:tc>
      </w:tr>
      <w:tr>
        <w:tblPrEx>
          <w:tblW w:w="8680" w:type="dxa"/>
          <w:tblInd w:w="5" w:type="dxa"/>
          <w:tblLayout w:type="fixed"/>
          <w:tblCellMar>
            <w:top w:w="0" w:type="dxa"/>
            <w:left w:w="0" w:type="dxa"/>
            <w:bottom w:w="0" w:type="dxa"/>
            <w:right w:w="0" w:type="dxa"/>
          </w:tblCellMar>
        </w:tblPrEx>
        <w:trPr>
          <w:trHeight w:val="607"/>
        </w:trPr>
        <w:tc>
          <w:tcPr>
            <w:tcW w:w="1563" w:type="dxa"/>
          </w:tcPr>
          <w:p>
            <w:pPr>
              <w:keepNext w:val="0"/>
              <w:keepLines w:val="0"/>
              <w:pageBreakBefore w:val="0"/>
              <w:widowControl w:val="0"/>
              <w:kinsoku w:val="0"/>
              <w:wordWrap/>
              <w:overflowPunct/>
              <w:topLinePunct w:val="0"/>
              <w:autoSpaceDE w:val="0"/>
              <w:autoSpaceDN w:val="0"/>
              <w:bidi w:val="0"/>
              <w:adjustRightInd w:val="0"/>
              <w:snapToGrid w:val="0"/>
              <w:spacing w:before="198" w:line="219" w:lineRule="auto"/>
              <w:ind w:left="364"/>
              <w:textAlignment w:val="baseline"/>
              <w:rPr>
                <w:rFonts w:ascii="宋体" w:eastAsia="宋体" w:hAnsi="宋体" w:cs="宋体"/>
                <w:sz w:val="21"/>
                <w:szCs w:val="21"/>
              </w:rPr>
            </w:pPr>
            <w:r>
              <w:rPr>
                <w:rFonts w:ascii="宋体" w:eastAsia="宋体" w:hAnsi="宋体" w:cs="宋体"/>
                <w:spacing w:val="-2"/>
                <w:sz w:val="21"/>
                <w:szCs w:val="21"/>
              </w:rPr>
              <w:t>文档版本</w:t>
            </w:r>
          </w:p>
        </w:tc>
        <w:tc>
          <w:tcPr>
            <w:tcW w:w="1696" w:type="dxa"/>
          </w:tcPr>
          <w:p>
            <w:pPr>
              <w:keepNext w:val="0"/>
              <w:keepLines w:val="0"/>
              <w:pageBreakBefore w:val="0"/>
              <w:widowControl w:val="0"/>
              <w:kinsoku w:val="0"/>
              <w:wordWrap/>
              <w:overflowPunct/>
              <w:topLinePunct w:val="0"/>
              <w:autoSpaceDE w:val="0"/>
              <w:autoSpaceDN w:val="0"/>
              <w:bidi w:val="0"/>
              <w:adjustRightInd w:val="0"/>
              <w:snapToGrid w:val="0"/>
              <w:spacing w:before="198" w:line="219" w:lineRule="auto"/>
              <w:ind w:left="430"/>
              <w:textAlignment w:val="baseline"/>
              <w:rPr>
                <w:rFonts w:ascii="宋体" w:eastAsia="宋体" w:hAnsi="宋体" w:cs="宋体"/>
                <w:sz w:val="21"/>
                <w:szCs w:val="21"/>
              </w:rPr>
            </w:pPr>
            <w:r>
              <w:rPr>
                <w:rFonts w:ascii="宋体" w:eastAsia="宋体" w:hAnsi="宋体" w:cs="宋体"/>
                <w:spacing w:val="-2"/>
                <w:sz w:val="21"/>
                <w:szCs w:val="21"/>
              </w:rPr>
              <w:t>版本日期</w:t>
            </w: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spacing w:before="198" w:line="219" w:lineRule="auto"/>
              <w:ind w:left="735"/>
              <w:textAlignment w:val="baseline"/>
              <w:rPr>
                <w:rFonts w:ascii="宋体" w:eastAsia="宋体" w:hAnsi="宋体" w:cs="宋体"/>
                <w:sz w:val="21"/>
                <w:szCs w:val="21"/>
              </w:rPr>
            </w:pPr>
            <w:r>
              <w:rPr>
                <w:rFonts w:ascii="宋体" w:eastAsia="宋体" w:hAnsi="宋体" w:cs="宋体"/>
                <w:spacing w:val="-2"/>
                <w:sz w:val="21"/>
                <w:szCs w:val="21"/>
              </w:rPr>
              <w:t>版本说明</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575"/>
              <w:textAlignment w:val="baseline"/>
              <w:rPr>
                <w:rFonts w:ascii="宋体" w:eastAsia="宋体" w:hAnsi="宋体" w:cs="宋体"/>
                <w:sz w:val="21"/>
                <w:szCs w:val="21"/>
              </w:rPr>
            </w:pPr>
            <w:r>
              <w:rPr>
                <w:rFonts w:ascii="宋体" w:eastAsia="宋体" w:hAnsi="宋体" w:cs="宋体"/>
                <w:spacing w:val="-3"/>
                <w:sz w:val="21"/>
                <w:szCs w:val="21"/>
              </w:rPr>
              <w:t>作者</w:t>
            </w:r>
          </w:p>
        </w:tc>
        <w:tc>
          <w:tcPr>
            <w:tcW w:w="1562" w:type="dxa"/>
          </w:tcPr>
          <w:p>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587"/>
              <w:textAlignment w:val="baseline"/>
              <w:rPr>
                <w:rFonts w:ascii="宋体" w:eastAsia="宋体" w:hAnsi="宋体" w:cs="宋体"/>
                <w:sz w:val="21"/>
                <w:szCs w:val="21"/>
              </w:rPr>
            </w:pPr>
            <w:r>
              <w:rPr>
                <w:rFonts w:ascii="宋体" w:eastAsia="宋体" w:hAnsi="宋体" w:cs="宋体"/>
                <w:spacing w:val="-5"/>
                <w:sz w:val="21"/>
                <w:szCs w:val="21"/>
              </w:rPr>
              <w:t>审核</w:t>
            </w:r>
          </w:p>
        </w:tc>
      </w:tr>
      <w:tr>
        <w:tblPrEx>
          <w:tblW w:w="8680" w:type="dxa"/>
          <w:tblInd w:w="5" w:type="dxa"/>
          <w:tblLayout w:type="fixed"/>
          <w:tblCellMar>
            <w:top w:w="0" w:type="dxa"/>
            <w:left w:w="0" w:type="dxa"/>
            <w:bottom w:w="0" w:type="dxa"/>
            <w:right w:w="0" w:type="dxa"/>
          </w:tblCellMar>
        </w:tblPrEx>
        <w:trPr>
          <w:trHeight w:val="474"/>
        </w:trPr>
        <w:tc>
          <w:tcPr>
            <w:tcW w:w="1563" w:type="dxa"/>
          </w:tcPr>
          <w:p>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568"/>
              <w:textAlignment w:val="baseline"/>
              <w:rPr>
                <w:rFonts w:ascii="宋体" w:eastAsia="宋体" w:hAnsi="宋体" w:cs="宋体"/>
                <w:sz w:val="21"/>
                <w:szCs w:val="21"/>
              </w:rPr>
            </w:pPr>
            <w:r>
              <w:rPr>
                <w:rFonts w:ascii="宋体" w:eastAsia="宋体" w:hAnsi="宋体" w:cs="宋体"/>
                <w:spacing w:val="-1"/>
                <w:sz w:val="21"/>
                <w:szCs w:val="21"/>
              </w:rPr>
              <w:t>V1.0</w:t>
            </w:r>
          </w:p>
        </w:tc>
        <w:tc>
          <w:tcPr>
            <w:tcW w:w="1696" w:type="dxa"/>
          </w:tcPr>
          <w:p>
            <w:pPr>
              <w:keepNext w:val="0"/>
              <w:keepLines w:val="0"/>
              <w:pageBreakBefore w:val="0"/>
              <w:widowControl w:val="0"/>
              <w:kinsoku w:val="0"/>
              <w:wordWrap/>
              <w:overflowPunct/>
              <w:topLinePunct w:val="0"/>
              <w:autoSpaceDE w:val="0"/>
              <w:autoSpaceDN w:val="0"/>
              <w:bidi w:val="0"/>
              <w:adjustRightInd w:val="0"/>
              <w:snapToGrid w:val="0"/>
              <w:spacing w:before="162"/>
              <w:ind w:left="431"/>
              <w:textAlignment w:val="baseline"/>
              <w:rPr>
                <w:rFonts w:ascii="宋体" w:eastAsia="宋体" w:hAnsi="宋体" w:cs="宋体"/>
                <w:sz w:val="21"/>
                <w:szCs w:val="21"/>
              </w:rPr>
            </w:pPr>
            <w:r>
              <w:rPr>
                <w:rFonts w:ascii="宋体" w:eastAsia="宋体" w:hAnsi="宋体" w:cs="宋体"/>
                <w:spacing w:val="-2"/>
                <w:sz w:val="21"/>
                <w:szCs w:val="21"/>
              </w:rPr>
              <w:t>2025-1-4</w:t>
            </w: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spacing w:before="132" w:line="219" w:lineRule="auto"/>
              <w:ind w:left="738"/>
              <w:textAlignment w:val="baseline"/>
              <w:rPr>
                <w:rFonts w:ascii="宋体" w:eastAsia="宋体" w:hAnsi="宋体" w:cs="宋体"/>
                <w:sz w:val="21"/>
                <w:szCs w:val="21"/>
              </w:rPr>
            </w:pPr>
            <w:r>
              <w:rPr>
                <w:rFonts w:ascii="宋体" w:eastAsia="宋体" w:hAnsi="宋体" w:cs="宋体"/>
                <w:spacing w:val="-3"/>
                <w:sz w:val="21"/>
                <w:szCs w:val="21"/>
              </w:rPr>
              <w:t>发布版本</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33" w:line="228" w:lineRule="auto"/>
              <w:ind w:left="576"/>
              <w:textAlignment w:val="baseline"/>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唐雪珊</w:t>
            </w:r>
          </w:p>
        </w:tc>
        <w:tc>
          <w:tcPr>
            <w:tcW w:w="1562" w:type="dxa"/>
          </w:tcPr>
          <w:p>
            <w:pPr>
              <w:keepNext w:val="0"/>
              <w:keepLines w:val="0"/>
              <w:pageBreakBefore w:val="0"/>
              <w:widowControl w:val="0"/>
              <w:kinsoku w:val="0"/>
              <w:wordWrap/>
              <w:overflowPunct/>
              <w:topLinePunct w:val="0"/>
              <w:autoSpaceDE w:val="0"/>
              <w:autoSpaceDN w:val="0"/>
              <w:bidi w:val="0"/>
              <w:adjustRightInd w:val="0"/>
              <w:snapToGrid w:val="0"/>
              <w:spacing w:before="132" w:line="220" w:lineRule="auto"/>
              <w:ind w:left="476"/>
              <w:textAlignment w:val="baseline"/>
              <w:rPr>
                <w:rFonts w:ascii="宋体" w:eastAsia="宋体" w:hAnsi="宋体" w:cs="宋体"/>
                <w:sz w:val="21"/>
                <w:szCs w:val="21"/>
              </w:rPr>
            </w:pPr>
            <w:r>
              <w:rPr>
                <w:rFonts w:ascii="宋体" w:eastAsia="宋体" w:hAnsi="宋体" w:cs="宋体"/>
                <w:spacing w:val="-3"/>
                <w:sz w:val="21"/>
                <w:szCs w:val="21"/>
              </w:rPr>
              <w:t>史晓玲</w:t>
            </w:r>
          </w:p>
        </w:tc>
      </w:tr>
      <w:tr>
        <w:tblPrEx>
          <w:tblW w:w="8680" w:type="dxa"/>
          <w:tblInd w:w="5" w:type="dxa"/>
          <w:tblLayout w:type="fixed"/>
          <w:tblCellMar>
            <w:top w:w="0" w:type="dxa"/>
            <w:left w:w="0" w:type="dxa"/>
            <w:bottom w:w="0" w:type="dxa"/>
            <w:right w:w="0" w:type="dxa"/>
          </w:tblCellMar>
        </w:tblPrEx>
        <w:trPr>
          <w:trHeight w:val="474"/>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8680" w:type="dxa"/>
          <w:tblInd w:w="5" w:type="dxa"/>
          <w:tblLayout w:type="fixed"/>
          <w:tblCellMar>
            <w:top w:w="0" w:type="dxa"/>
            <w:left w:w="0" w:type="dxa"/>
            <w:bottom w:w="0" w:type="dxa"/>
            <w:right w:w="0" w:type="dxa"/>
          </w:tblCellMar>
        </w:tblPrEx>
        <w:trPr>
          <w:trHeight w:val="475"/>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8680" w:type="dxa"/>
          <w:tblInd w:w="5" w:type="dxa"/>
          <w:tblLayout w:type="fixed"/>
          <w:tblCellMar>
            <w:top w:w="0" w:type="dxa"/>
            <w:left w:w="0" w:type="dxa"/>
            <w:bottom w:w="0" w:type="dxa"/>
            <w:right w:w="0" w:type="dxa"/>
          </w:tblCellMar>
        </w:tblPrEx>
        <w:trPr>
          <w:trHeight w:val="474"/>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8680" w:type="dxa"/>
          <w:tblInd w:w="5" w:type="dxa"/>
          <w:tblLayout w:type="fixed"/>
          <w:tblCellMar>
            <w:top w:w="0" w:type="dxa"/>
            <w:left w:w="0" w:type="dxa"/>
            <w:bottom w:w="0" w:type="dxa"/>
            <w:right w:w="0" w:type="dxa"/>
          </w:tblCellMar>
        </w:tblPrEx>
        <w:trPr>
          <w:trHeight w:val="474"/>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8680" w:type="dxa"/>
          <w:tblInd w:w="5" w:type="dxa"/>
          <w:tblLayout w:type="fixed"/>
          <w:tblCellMar>
            <w:top w:w="0" w:type="dxa"/>
            <w:left w:w="0" w:type="dxa"/>
            <w:bottom w:w="0" w:type="dxa"/>
            <w:right w:w="0" w:type="dxa"/>
          </w:tblCellMar>
        </w:tblPrEx>
        <w:trPr>
          <w:trHeight w:val="474"/>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8680" w:type="dxa"/>
          <w:tblInd w:w="5" w:type="dxa"/>
          <w:tblLayout w:type="fixed"/>
          <w:tblCellMar>
            <w:top w:w="0" w:type="dxa"/>
            <w:left w:w="0" w:type="dxa"/>
            <w:bottom w:w="0" w:type="dxa"/>
            <w:right w:w="0" w:type="dxa"/>
          </w:tblCellMar>
        </w:tblPrEx>
        <w:trPr>
          <w:trHeight w:val="528"/>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8680" w:type="dxa"/>
          <w:tblInd w:w="5" w:type="dxa"/>
          <w:tblLayout w:type="fixed"/>
          <w:tblCellMar>
            <w:top w:w="0" w:type="dxa"/>
            <w:left w:w="0" w:type="dxa"/>
            <w:bottom w:w="0" w:type="dxa"/>
            <w:right w:w="0" w:type="dxa"/>
          </w:tblCellMar>
        </w:tblPrEx>
        <w:trPr>
          <w:trHeight w:val="589"/>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pStyle w:val="BodyText"/>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w:type="default" r:id="rId4"/>
          <w:pgSz w:w="11906" w:h="16839"/>
          <w:pgMar w:top="1431" w:right="1561" w:bottom="1374" w:left="1653" w:header="0" w:footer="1211" w:gutter="0"/>
          <w:cols w:num="1" w:space="720"/>
        </w:sectPr>
      </w:pPr>
    </w:p>
    <w:sdt>
      <w:sdtPr>
        <w:rPr>
          <w:rFonts w:ascii="宋体" w:eastAsia="宋体" w:hAnsi="宋体" w:cs="Arial"/>
          <w:snapToGrid w:val="0"/>
          <w:color w:val="000000"/>
          <w:kern w:val="0"/>
          <w:sz w:val="21"/>
          <w:szCs w:val="21"/>
          <w:lang w:val="en-US" w:eastAsia="en-US" w:bidi="ar-SA"/>
        </w:rPr>
        <w:id w:val="147463413"/>
        <w:docPartObj>
          <w:docPartGallery w:val="Table of Contents"/>
          <w:docPartUnique/>
        </w:docPartObj>
      </w:sdtPr>
      <w:sdtEndPr>
        <w:rPr>
          <w:rFonts w:ascii="Calibri" w:eastAsia="Calibri" w:hAnsi="Calibri" w:cs="Calibri"/>
          <w:snapToGrid w:val="0"/>
          <w:color w:val="000000"/>
          <w:kern w:val="0"/>
          <w:sz w:val="21"/>
          <w:szCs w:val="22"/>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36"/>
            </w:tabs>
          </w:pPr>
          <w:r>
            <w:rPr>
              <w:rFonts w:ascii="Calibri" w:eastAsia="Calibri" w:hAnsi="Calibri" w:cs="Calibri"/>
              <w:sz w:val="22"/>
              <w:szCs w:val="22"/>
            </w:rPr>
            <w:fldChar w:fldCharType="begin"/>
          </w:r>
          <w:r>
            <w:rPr>
              <w:rFonts w:ascii="Calibri" w:eastAsia="Calibri" w:hAnsi="Calibri" w:cs="Calibri"/>
              <w:sz w:val="22"/>
              <w:szCs w:val="22"/>
            </w:rPr>
            <w:instrText xml:space="preserve">TOC \o "1-3" \h \u </w:instrText>
          </w:r>
          <w:r>
            <w:rPr>
              <w:rFonts w:ascii="Calibri" w:eastAsia="Calibri" w:hAnsi="Calibri" w:cs="Calibri"/>
              <w:sz w:val="22"/>
              <w:szCs w:val="22"/>
            </w:rPr>
            <w:fldChar w:fldCharType="separate"/>
          </w:r>
          <w:r>
            <w:rPr>
              <w:rFonts w:ascii="Calibri" w:eastAsia="Calibri" w:hAnsi="Calibri" w:cs="Calibri"/>
              <w:szCs w:val="22"/>
            </w:rPr>
            <w:fldChar w:fldCharType="begin"/>
          </w:r>
          <w:r>
            <w:rPr>
              <w:rFonts w:ascii="Calibri" w:eastAsia="Calibri" w:hAnsi="Calibri" w:cs="Calibri"/>
              <w:szCs w:val="22"/>
            </w:rPr>
            <w:instrText xml:space="preserve"> HYPERLINK \l _Toc18428 </w:instrText>
          </w:r>
          <w:r>
            <w:rPr>
              <w:rFonts w:ascii="Calibri" w:eastAsia="Calibri" w:hAnsi="Calibri" w:cs="Calibri"/>
              <w:szCs w:val="22"/>
            </w:rPr>
            <w:fldChar w:fldCharType="separate"/>
          </w:r>
          <w:r>
            <w:t>运维服务人员储备制度</w:t>
          </w:r>
          <w:r>
            <w:tab/>
          </w:r>
          <w:r>
            <w:fldChar w:fldCharType="begin"/>
          </w:r>
          <w:r>
            <w:instrText xml:space="preserve"> PAGEREF _Toc18428 \h </w:instrText>
          </w:r>
          <w:r>
            <w:fldChar w:fldCharType="separate"/>
          </w:r>
          <w:r>
            <w:t>1</w:t>
          </w:r>
          <w:r>
            <w:fldChar w:fldCharType="end"/>
          </w:r>
          <w:r>
            <w:rPr>
              <w:rFonts w:ascii="Calibri" w:eastAsia="Calibri" w:hAnsi="Calibri" w:cs="Calibri"/>
              <w:szCs w:val="22"/>
            </w:rPr>
            <w:fldChar w:fldCharType="end"/>
          </w:r>
        </w:p>
        <w:p>
          <w:pPr>
            <w:pStyle w:val="TOC1"/>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_Toc22374 </w:instrText>
          </w:r>
          <w:r>
            <w:rPr>
              <w:rFonts w:ascii="Calibri" w:eastAsia="Calibri" w:hAnsi="Calibri" w:cs="Calibri"/>
              <w:szCs w:val="22"/>
            </w:rPr>
            <w:fldChar w:fldCharType="separate"/>
          </w:r>
          <w:r>
            <w:t>江苏云储智能科技有限公司</w:t>
          </w:r>
          <w:r>
            <w:tab/>
          </w:r>
          <w:r>
            <w:fldChar w:fldCharType="begin"/>
          </w:r>
          <w:r>
            <w:instrText xml:space="preserve"> PAGEREF _Toc22374 \h </w:instrText>
          </w:r>
          <w:r>
            <w:fldChar w:fldCharType="separate"/>
          </w:r>
          <w:r>
            <w:t>1</w:t>
          </w:r>
          <w:r>
            <w:fldChar w:fldCharType="end"/>
          </w:r>
          <w:r>
            <w:rPr>
              <w:rFonts w:ascii="Calibri" w:eastAsia="Calibri" w:hAnsi="Calibri" w:cs="Calibri"/>
              <w:szCs w:val="22"/>
            </w:rPr>
            <w:fldChar w:fldCharType="end"/>
          </w:r>
        </w:p>
        <w:p>
          <w:pPr>
            <w:pStyle w:val="TOC1"/>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_Toc29960 </w:instrText>
          </w:r>
          <w:r>
            <w:rPr>
              <w:rFonts w:ascii="Calibri" w:eastAsia="Calibri" w:hAnsi="Calibri" w:cs="Calibri"/>
              <w:szCs w:val="22"/>
            </w:rPr>
            <w:fldChar w:fldCharType="separate"/>
          </w:r>
          <w:r>
            <w:rPr>
              <w:rFonts w:ascii="宋体" w:eastAsia="宋体" w:hAnsi="宋体" w:cs="宋体" w:hint="eastAsia"/>
              <w:bCs w:val="0"/>
              <w:szCs w:val="36"/>
              <w:lang w:val="en-US" w:eastAsia="zh-CN"/>
            </w:rPr>
            <w:t>2025年1月4日</w:t>
          </w:r>
          <w:r>
            <w:tab/>
          </w:r>
          <w:r>
            <w:fldChar w:fldCharType="begin"/>
          </w:r>
          <w:r>
            <w:instrText xml:space="preserve"> PAGEREF _Toc29960 \h </w:instrText>
          </w:r>
          <w:r>
            <w:fldChar w:fldCharType="separate"/>
          </w:r>
          <w:r>
            <w:t>1</w:t>
          </w:r>
          <w:r>
            <w:fldChar w:fldCharType="end"/>
          </w:r>
          <w:r>
            <w:rPr>
              <w:rFonts w:ascii="Calibri" w:eastAsia="Calibri" w:hAnsi="Calibri" w:cs="Calibri"/>
              <w:szCs w:val="22"/>
            </w:rPr>
            <w:fldChar w:fldCharType="end"/>
          </w:r>
        </w:p>
        <w:p>
          <w:pPr>
            <w:pStyle w:val="TOC1"/>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_Toc31157 </w:instrText>
          </w:r>
          <w:r>
            <w:rPr>
              <w:rFonts w:ascii="Calibri" w:eastAsia="Calibri" w:hAnsi="Calibri" w:cs="Calibri"/>
              <w:szCs w:val="22"/>
            </w:rPr>
            <w:fldChar w:fldCharType="separate"/>
          </w:r>
          <w:r>
            <w:rPr>
              <w:rFonts w:ascii="宋体" w:eastAsia="宋体" w:hAnsi="宋体" w:cs="宋体"/>
              <w:spacing w:val="-3"/>
              <w:szCs w:val="28"/>
            </w:rPr>
            <w:t>文档信息</w:t>
          </w:r>
          <w:r>
            <w:tab/>
          </w:r>
          <w:r>
            <w:fldChar w:fldCharType="begin"/>
          </w:r>
          <w:r>
            <w:instrText xml:space="preserve"> PAGEREF _Toc31157 \h </w:instrText>
          </w:r>
          <w:r>
            <w:fldChar w:fldCharType="separate"/>
          </w:r>
          <w:r>
            <w:t>2</w:t>
          </w:r>
          <w:r>
            <w:fldChar w:fldCharType="end"/>
          </w:r>
          <w:r>
            <w:rPr>
              <w:rFonts w:ascii="Calibri" w:eastAsia="Calibri" w:hAnsi="Calibri" w:cs="Calibri"/>
              <w:szCs w:val="22"/>
            </w:rPr>
            <w:fldChar w:fldCharType="end"/>
          </w:r>
        </w:p>
        <w:p>
          <w:pPr>
            <w:pStyle w:val="TOC1"/>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_Toc20320 </w:instrText>
          </w:r>
          <w:r>
            <w:rPr>
              <w:rFonts w:ascii="Calibri" w:eastAsia="Calibri" w:hAnsi="Calibri" w:cs="Calibri"/>
              <w:szCs w:val="22"/>
            </w:rPr>
            <w:fldChar w:fldCharType="separate"/>
          </w:r>
          <w:r>
            <w:rPr>
              <w:rFonts w:hint="default"/>
            </w:rPr>
            <w:t xml:space="preserve">1. </w:t>
          </w:r>
          <w:r>
            <w:t>简介</w:t>
          </w:r>
          <w:r>
            <w:tab/>
          </w:r>
          <w:r>
            <w:fldChar w:fldCharType="begin"/>
          </w:r>
          <w:r>
            <w:instrText xml:space="preserve"> PAGEREF _Toc20320 \h </w:instrText>
          </w:r>
          <w:r>
            <w:fldChar w:fldCharType="separate"/>
          </w:r>
          <w:r>
            <w:t>4</w:t>
          </w:r>
          <w:r>
            <w:fldChar w:fldCharType="end"/>
          </w:r>
          <w:r>
            <w:rPr>
              <w:rFonts w:ascii="Calibri" w:eastAsia="Calibri" w:hAnsi="Calibri" w:cs="Calibri"/>
              <w:szCs w:val="22"/>
            </w:rPr>
            <w:fldChar w:fldCharType="end"/>
          </w:r>
        </w:p>
        <w:p>
          <w:pPr>
            <w:pStyle w:val="TOC2"/>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_Toc28152 </w:instrText>
          </w:r>
          <w:r>
            <w:rPr>
              <w:rFonts w:ascii="Calibri" w:eastAsia="Calibri" w:hAnsi="Calibri" w:cs="Calibri"/>
              <w:szCs w:val="22"/>
            </w:rPr>
            <w:fldChar w:fldCharType="separate"/>
          </w:r>
          <w:r>
            <w:rPr>
              <w:rFonts w:hint="default"/>
            </w:rPr>
            <w:t xml:space="preserve">1.1. </w:t>
          </w:r>
          <w:r>
            <w:t>目的</w:t>
          </w:r>
          <w:r>
            <w:tab/>
          </w:r>
          <w:r>
            <w:fldChar w:fldCharType="begin"/>
          </w:r>
          <w:r>
            <w:instrText xml:space="preserve"> PAGEREF _Toc28152 \h </w:instrText>
          </w:r>
          <w:r>
            <w:fldChar w:fldCharType="separate"/>
          </w:r>
          <w:r>
            <w:t>4</w:t>
          </w:r>
          <w:r>
            <w:fldChar w:fldCharType="end"/>
          </w:r>
          <w:r>
            <w:rPr>
              <w:rFonts w:ascii="Calibri" w:eastAsia="Calibri" w:hAnsi="Calibri" w:cs="Calibri"/>
              <w:szCs w:val="22"/>
            </w:rPr>
            <w:fldChar w:fldCharType="end"/>
          </w:r>
        </w:p>
        <w:p>
          <w:pPr>
            <w:pStyle w:val="TOC2"/>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_Toc4952 </w:instrText>
          </w:r>
          <w:r>
            <w:rPr>
              <w:rFonts w:ascii="Calibri" w:eastAsia="Calibri" w:hAnsi="Calibri" w:cs="Calibri"/>
              <w:szCs w:val="22"/>
            </w:rPr>
            <w:fldChar w:fldCharType="separate"/>
          </w:r>
          <w:r>
            <w:rPr>
              <w:rFonts w:hint="default"/>
            </w:rPr>
            <w:t xml:space="preserve">1.2. </w:t>
          </w:r>
          <w:r>
            <w:t>原则</w:t>
          </w:r>
          <w:r>
            <w:tab/>
          </w:r>
          <w:r>
            <w:fldChar w:fldCharType="begin"/>
          </w:r>
          <w:r>
            <w:instrText xml:space="preserve"> PAGEREF _Toc4952 \h </w:instrText>
          </w:r>
          <w:r>
            <w:fldChar w:fldCharType="separate"/>
          </w:r>
          <w:r>
            <w:t>4</w:t>
          </w:r>
          <w:r>
            <w:fldChar w:fldCharType="end"/>
          </w:r>
          <w:r>
            <w:rPr>
              <w:rFonts w:ascii="Calibri" w:eastAsia="Calibri" w:hAnsi="Calibri" w:cs="Calibri"/>
              <w:szCs w:val="22"/>
            </w:rPr>
            <w:fldChar w:fldCharType="end"/>
          </w:r>
        </w:p>
        <w:p>
          <w:pPr>
            <w:pStyle w:val="TOC3"/>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_Toc16362 </w:instrText>
          </w:r>
          <w:r>
            <w:rPr>
              <w:rFonts w:ascii="Calibri" w:eastAsia="Calibri" w:hAnsi="Calibri" w:cs="Calibri"/>
              <w:szCs w:val="22"/>
            </w:rPr>
            <w:fldChar w:fldCharType="separate"/>
          </w:r>
          <w:r>
            <w:rPr>
              <w:rFonts w:hint="default"/>
            </w:rPr>
            <w:t xml:space="preserve">1.2.1. </w:t>
          </w:r>
          <w:r>
            <w:t>适用原则</w:t>
          </w:r>
          <w:r>
            <w:tab/>
          </w:r>
          <w:r>
            <w:fldChar w:fldCharType="begin"/>
          </w:r>
          <w:r>
            <w:instrText xml:space="preserve"> PAGEREF _Toc16362 \h </w:instrText>
          </w:r>
          <w:r>
            <w:fldChar w:fldCharType="separate"/>
          </w:r>
          <w:r>
            <w:t>4</w:t>
          </w:r>
          <w:r>
            <w:fldChar w:fldCharType="end"/>
          </w:r>
          <w:r>
            <w:rPr>
              <w:rFonts w:ascii="Calibri" w:eastAsia="Calibri" w:hAnsi="Calibri" w:cs="Calibri"/>
              <w:szCs w:val="22"/>
            </w:rPr>
            <w:fldChar w:fldCharType="end"/>
          </w:r>
        </w:p>
        <w:p>
          <w:pPr>
            <w:pStyle w:val="TOC3"/>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_Toc17298 </w:instrText>
          </w:r>
          <w:r>
            <w:rPr>
              <w:rFonts w:ascii="Calibri" w:eastAsia="Calibri" w:hAnsi="Calibri" w:cs="Calibri"/>
              <w:szCs w:val="22"/>
            </w:rPr>
            <w:fldChar w:fldCharType="separate"/>
          </w:r>
          <w:r>
            <w:rPr>
              <w:rFonts w:hint="default"/>
            </w:rPr>
            <w:t xml:space="preserve">1.2.2. </w:t>
          </w:r>
          <w:r>
            <w:t>以人为本的原则</w:t>
          </w:r>
          <w:r>
            <w:tab/>
          </w:r>
          <w:r>
            <w:fldChar w:fldCharType="begin"/>
          </w:r>
          <w:r>
            <w:instrText xml:space="preserve"> PAGEREF _Toc17298 \h </w:instrText>
          </w:r>
          <w:r>
            <w:fldChar w:fldCharType="separate"/>
          </w:r>
          <w:r>
            <w:t>4</w:t>
          </w:r>
          <w:r>
            <w:fldChar w:fldCharType="end"/>
          </w:r>
          <w:r>
            <w:rPr>
              <w:rFonts w:ascii="Calibri" w:eastAsia="Calibri" w:hAnsi="Calibri" w:cs="Calibri"/>
              <w:szCs w:val="22"/>
            </w:rPr>
            <w:fldChar w:fldCharType="end"/>
          </w:r>
        </w:p>
        <w:p>
          <w:pPr>
            <w:pStyle w:val="TOC3"/>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_Toc15923 </w:instrText>
          </w:r>
          <w:r>
            <w:rPr>
              <w:rFonts w:ascii="Calibri" w:eastAsia="Calibri" w:hAnsi="Calibri" w:cs="Calibri"/>
              <w:szCs w:val="22"/>
            </w:rPr>
            <w:fldChar w:fldCharType="separate"/>
          </w:r>
          <w:r>
            <w:rPr>
              <w:rFonts w:hint="default"/>
            </w:rPr>
            <w:t xml:space="preserve">1.2.3. </w:t>
          </w:r>
          <w:r>
            <w:t>权变原则</w:t>
          </w:r>
          <w:r>
            <w:tab/>
          </w:r>
          <w:r>
            <w:fldChar w:fldCharType="begin"/>
          </w:r>
          <w:r>
            <w:instrText xml:space="preserve"> PAGEREF _Toc15923 \h </w:instrText>
          </w:r>
          <w:r>
            <w:fldChar w:fldCharType="separate"/>
          </w:r>
          <w:r>
            <w:t>4</w:t>
          </w:r>
          <w:r>
            <w:fldChar w:fldCharType="end"/>
          </w:r>
          <w:r>
            <w:rPr>
              <w:rFonts w:ascii="Calibri" w:eastAsia="Calibri" w:hAnsi="Calibri" w:cs="Calibri"/>
              <w:szCs w:val="22"/>
            </w:rPr>
            <w:fldChar w:fldCharType="end"/>
          </w:r>
        </w:p>
        <w:p>
          <w:pPr>
            <w:pStyle w:val="TOC1"/>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_Toc6258 </w:instrText>
          </w:r>
          <w:r>
            <w:rPr>
              <w:rFonts w:ascii="Calibri" w:eastAsia="Calibri" w:hAnsi="Calibri" w:cs="Calibri"/>
              <w:szCs w:val="22"/>
            </w:rPr>
            <w:fldChar w:fldCharType="separate"/>
          </w:r>
          <w:r>
            <w:rPr>
              <w:rFonts w:hint="default"/>
            </w:rPr>
            <w:t xml:space="preserve">2. </w:t>
          </w:r>
          <w:r>
            <w:t>储备原因分类</w:t>
          </w:r>
          <w:r>
            <w:tab/>
          </w:r>
          <w:r>
            <w:fldChar w:fldCharType="begin"/>
          </w:r>
          <w:r>
            <w:instrText xml:space="preserve"> PAGEREF _Toc6258 \h </w:instrText>
          </w:r>
          <w:r>
            <w:fldChar w:fldCharType="separate"/>
          </w:r>
          <w:r>
            <w:t>4</w:t>
          </w:r>
          <w:r>
            <w:fldChar w:fldCharType="end"/>
          </w:r>
          <w:r>
            <w:rPr>
              <w:rFonts w:ascii="Calibri" w:eastAsia="Calibri" w:hAnsi="Calibri" w:cs="Calibri"/>
              <w:szCs w:val="22"/>
            </w:rPr>
            <w:fldChar w:fldCharType="end"/>
          </w:r>
        </w:p>
        <w:p>
          <w:pPr>
            <w:pStyle w:val="TOC1"/>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_Toc23168 </w:instrText>
          </w:r>
          <w:r>
            <w:rPr>
              <w:rFonts w:ascii="Calibri" w:eastAsia="Calibri" w:hAnsi="Calibri" w:cs="Calibri"/>
              <w:szCs w:val="22"/>
            </w:rPr>
            <w:fldChar w:fldCharType="separate"/>
          </w:r>
          <w:r>
            <w:rPr>
              <w:rFonts w:hint="default"/>
            </w:rPr>
            <w:t xml:space="preserve">3. </w:t>
          </w:r>
          <w:r>
            <w:t>储备人才分类</w:t>
          </w:r>
          <w:r>
            <w:tab/>
          </w:r>
          <w:r>
            <w:fldChar w:fldCharType="begin"/>
          </w:r>
          <w:r>
            <w:instrText xml:space="preserve"> PAGEREF _Toc23168 \h </w:instrText>
          </w:r>
          <w:r>
            <w:fldChar w:fldCharType="separate"/>
          </w:r>
          <w:r>
            <w:t>5</w:t>
          </w:r>
          <w:r>
            <w:fldChar w:fldCharType="end"/>
          </w:r>
          <w:r>
            <w:rPr>
              <w:rFonts w:ascii="Calibri" w:eastAsia="Calibri" w:hAnsi="Calibri" w:cs="Calibri"/>
              <w:szCs w:val="22"/>
            </w:rPr>
            <w:fldChar w:fldCharType="end"/>
          </w:r>
        </w:p>
        <w:p>
          <w:pPr>
            <w:pStyle w:val="TOC1"/>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_Toc21608 </w:instrText>
          </w:r>
          <w:r>
            <w:rPr>
              <w:rFonts w:ascii="Calibri" w:eastAsia="Calibri" w:hAnsi="Calibri" w:cs="Calibri"/>
              <w:szCs w:val="22"/>
            </w:rPr>
            <w:fldChar w:fldCharType="separate"/>
          </w:r>
          <w:r>
            <w:rPr>
              <w:rFonts w:hint="default"/>
            </w:rPr>
            <w:t xml:space="preserve">4. </w:t>
          </w:r>
          <w:r>
            <w:t>储备人才渠道</w:t>
          </w:r>
          <w:r>
            <w:tab/>
          </w:r>
          <w:r>
            <w:fldChar w:fldCharType="begin"/>
          </w:r>
          <w:r>
            <w:instrText xml:space="preserve"> PAGEREF _Toc21608 \h </w:instrText>
          </w:r>
          <w:r>
            <w:fldChar w:fldCharType="separate"/>
          </w:r>
          <w:r>
            <w:t>5</w:t>
          </w:r>
          <w:r>
            <w:fldChar w:fldCharType="end"/>
          </w:r>
          <w:r>
            <w:rPr>
              <w:rFonts w:ascii="Calibri" w:eastAsia="Calibri" w:hAnsi="Calibri" w:cs="Calibri"/>
              <w:szCs w:val="22"/>
            </w:rPr>
            <w:fldChar w:fldCharType="end"/>
          </w:r>
        </w:p>
        <w:p>
          <w:pPr>
            <w:pStyle w:val="TOC2"/>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_Toc20265 </w:instrText>
          </w:r>
          <w:r>
            <w:rPr>
              <w:rFonts w:ascii="Calibri" w:eastAsia="Calibri" w:hAnsi="Calibri" w:cs="Calibri"/>
              <w:szCs w:val="22"/>
            </w:rPr>
            <w:fldChar w:fldCharType="separate"/>
          </w:r>
          <w:r>
            <w:rPr>
              <w:rFonts w:hint="default"/>
            </w:rPr>
            <w:t xml:space="preserve">4.1. </w:t>
          </w:r>
          <w:r>
            <w:t>外部招聘渠道</w:t>
          </w:r>
          <w:r>
            <w:tab/>
          </w:r>
          <w:r>
            <w:fldChar w:fldCharType="begin"/>
          </w:r>
          <w:r>
            <w:instrText xml:space="preserve"> PAGEREF _Toc20265 \h </w:instrText>
          </w:r>
          <w:r>
            <w:fldChar w:fldCharType="separate"/>
          </w:r>
          <w:r>
            <w:t>5</w:t>
          </w:r>
          <w:r>
            <w:fldChar w:fldCharType="end"/>
          </w:r>
          <w:r>
            <w:rPr>
              <w:rFonts w:ascii="Calibri" w:eastAsia="Calibri" w:hAnsi="Calibri" w:cs="Calibri"/>
              <w:szCs w:val="22"/>
            </w:rPr>
            <w:fldChar w:fldCharType="end"/>
          </w:r>
        </w:p>
        <w:p>
          <w:pPr>
            <w:pStyle w:val="TOC2"/>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_Toc27500 </w:instrText>
          </w:r>
          <w:r>
            <w:rPr>
              <w:rFonts w:ascii="Calibri" w:eastAsia="Calibri" w:hAnsi="Calibri" w:cs="Calibri"/>
              <w:szCs w:val="22"/>
            </w:rPr>
            <w:fldChar w:fldCharType="separate"/>
          </w:r>
          <w:r>
            <w:rPr>
              <w:rFonts w:hint="default"/>
            </w:rPr>
            <w:t xml:space="preserve">4.2. </w:t>
          </w:r>
          <w:r>
            <w:t>内部招聘渠道</w:t>
          </w:r>
          <w:r>
            <w:tab/>
          </w:r>
          <w:r>
            <w:fldChar w:fldCharType="begin"/>
          </w:r>
          <w:r>
            <w:instrText xml:space="preserve"> PAGEREF _Toc27500 \h </w:instrText>
          </w:r>
          <w:r>
            <w:fldChar w:fldCharType="separate"/>
          </w:r>
          <w:r>
            <w:t>5</w:t>
          </w:r>
          <w:r>
            <w:fldChar w:fldCharType="end"/>
          </w:r>
          <w:r>
            <w:rPr>
              <w:rFonts w:ascii="Calibri" w:eastAsia="Calibri" w:hAnsi="Calibri" w:cs="Calibri"/>
              <w:szCs w:val="22"/>
            </w:rPr>
            <w:fldChar w:fldCharType="end"/>
          </w:r>
        </w:p>
        <w:p>
          <w:pPr>
            <w:pStyle w:val="TOC2"/>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_Toc24385 </w:instrText>
          </w:r>
          <w:r>
            <w:rPr>
              <w:rFonts w:ascii="Calibri" w:eastAsia="Calibri" w:hAnsi="Calibri" w:cs="Calibri"/>
              <w:szCs w:val="22"/>
            </w:rPr>
            <w:fldChar w:fldCharType="separate"/>
          </w:r>
          <w:r>
            <w:rPr>
              <w:rFonts w:hint="default"/>
            </w:rPr>
            <w:t xml:space="preserve">4.3. </w:t>
          </w:r>
          <w:r>
            <w:t>内部调控和培养</w:t>
          </w:r>
          <w:r>
            <w:tab/>
          </w:r>
          <w:r>
            <w:fldChar w:fldCharType="begin"/>
          </w:r>
          <w:r>
            <w:instrText xml:space="preserve"> PAGEREF _Toc24385 \h </w:instrText>
          </w:r>
          <w:r>
            <w:fldChar w:fldCharType="separate"/>
          </w:r>
          <w:r>
            <w:t>5</w:t>
          </w:r>
          <w:r>
            <w:fldChar w:fldCharType="end"/>
          </w:r>
          <w:r>
            <w:rPr>
              <w:rFonts w:ascii="Calibri" w:eastAsia="Calibri" w:hAnsi="Calibri" w:cs="Calibri"/>
              <w:szCs w:val="22"/>
            </w:rPr>
            <w:fldChar w:fldCharType="end"/>
          </w:r>
        </w:p>
        <w:p>
          <w:pPr>
            <w:pStyle w:val="TOC1"/>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_Toc8021 </w:instrText>
          </w:r>
          <w:r>
            <w:rPr>
              <w:rFonts w:ascii="Calibri" w:eastAsia="Calibri" w:hAnsi="Calibri" w:cs="Calibri"/>
              <w:szCs w:val="22"/>
            </w:rPr>
            <w:fldChar w:fldCharType="separate"/>
          </w:r>
          <w:r>
            <w:rPr>
              <w:rFonts w:hint="default"/>
            </w:rPr>
            <w:t xml:space="preserve">5. </w:t>
          </w:r>
          <w:r>
            <w:t>储备人才的培养与考核</w:t>
          </w:r>
          <w:r>
            <w:tab/>
          </w:r>
          <w:r>
            <w:fldChar w:fldCharType="begin"/>
          </w:r>
          <w:r>
            <w:instrText xml:space="preserve"> PAGEREF _Toc8021 \h </w:instrText>
          </w:r>
          <w:r>
            <w:fldChar w:fldCharType="separate"/>
          </w:r>
          <w:r>
            <w:t>5</w:t>
          </w:r>
          <w:r>
            <w:fldChar w:fldCharType="end"/>
          </w:r>
          <w:r>
            <w:rPr>
              <w:rFonts w:ascii="Calibri" w:eastAsia="Calibri" w:hAnsi="Calibri" w:cs="Calibri"/>
              <w:szCs w:val="22"/>
            </w:rPr>
            <w:fldChar w:fldCharType="end"/>
          </w:r>
        </w:p>
        <w:p>
          <w:pPr>
            <w:pStyle w:val="TOC2"/>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_Toc27662 </w:instrText>
          </w:r>
          <w:r>
            <w:rPr>
              <w:rFonts w:ascii="Calibri" w:eastAsia="Calibri" w:hAnsi="Calibri" w:cs="Calibri"/>
              <w:szCs w:val="22"/>
            </w:rPr>
            <w:fldChar w:fldCharType="separate"/>
          </w:r>
          <w:r>
            <w:rPr>
              <w:rFonts w:hint="default"/>
            </w:rPr>
            <w:t xml:space="preserve">5.1. </w:t>
          </w:r>
          <w:r>
            <w:t>建立长效的培训机制</w:t>
          </w:r>
          <w:r>
            <w:tab/>
          </w:r>
          <w:r>
            <w:fldChar w:fldCharType="begin"/>
          </w:r>
          <w:r>
            <w:instrText xml:space="preserve"> PAGEREF _Toc27662 \h </w:instrText>
          </w:r>
          <w:r>
            <w:fldChar w:fldCharType="separate"/>
          </w:r>
          <w:r>
            <w:t>5</w:t>
          </w:r>
          <w:r>
            <w:fldChar w:fldCharType="end"/>
          </w:r>
          <w:r>
            <w:rPr>
              <w:rFonts w:ascii="Calibri" w:eastAsia="Calibri" w:hAnsi="Calibri" w:cs="Calibri"/>
              <w:szCs w:val="22"/>
            </w:rPr>
            <w:fldChar w:fldCharType="end"/>
          </w:r>
        </w:p>
        <w:p>
          <w:pPr>
            <w:pStyle w:val="TOC2"/>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_Toc32759 </w:instrText>
          </w:r>
          <w:r>
            <w:rPr>
              <w:rFonts w:ascii="Calibri" w:eastAsia="Calibri" w:hAnsi="Calibri" w:cs="Calibri"/>
              <w:szCs w:val="22"/>
            </w:rPr>
            <w:fldChar w:fldCharType="separate"/>
          </w:r>
          <w:r>
            <w:rPr>
              <w:rFonts w:hint="default"/>
            </w:rPr>
            <w:t xml:space="preserve">5.2. </w:t>
          </w:r>
          <w:r>
            <w:t>利用社会培训资源对储备人才能力提升作用</w:t>
          </w:r>
          <w:r>
            <w:tab/>
          </w:r>
          <w:r>
            <w:fldChar w:fldCharType="begin"/>
          </w:r>
          <w:r>
            <w:instrText xml:space="preserve"> PAGEREF _Toc32759 \h </w:instrText>
          </w:r>
          <w:r>
            <w:fldChar w:fldCharType="separate"/>
          </w:r>
          <w:r>
            <w:t>6</w:t>
          </w:r>
          <w:r>
            <w:fldChar w:fldCharType="end"/>
          </w:r>
          <w:r>
            <w:rPr>
              <w:rFonts w:ascii="Calibri" w:eastAsia="Calibri" w:hAnsi="Calibri" w:cs="Calibri"/>
              <w:szCs w:val="22"/>
            </w:rPr>
            <w:fldChar w:fldCharType="end"/>
          </w:r>
        </w:p>
        <w:p>
          <w:pPr>
            <w:pStyle w:val="TOC1"/>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_Toc13100 </w:instrText>
          </w:r>
          <w:r>
            <w:rPr>
              <w:rFonts w:ascii="Calibri" w:eastAsia="Calibri" w:hAnsi="Calibri" w:cs="Calibri"/>
              <w:szCs w:val="22"/>
            </w:rPr>
            <w:fldChar w:fldCharType="separate"/>
          </w:r>
          <w:r>
            <w:rPr>
              <w:rFonts w:hint="default"/>
            </w:rPr>
            <w:t xml:space="preserve">6. </w:t>
          </w:r>
          <w:r>
            <w:t>储备人才的激励</w:t>
          </w:r>
          <w:r>
            <w:tab/>
          </w:r>
          <w:r>
            <w:fldChar w:fldCharType="begin"/>
          </w:r>
          <w:r>
            <w:instrText xml:space="preserve"> PAGEREF _Toc13100 \h </w:instrText>
          </w:r>
          <w:r>
            <w:fldChar w:fldCharType="separate"/>
          </w:r>
          <w:r>
            <w:t>6</w:t>
          </w:r>
          <w:r>
            <w:fldChar w:fldCharType="end"/>
          </w:r>
          <w:r>
            <w:rPr>
              <w:rFonts w:ascii="Calibri" w:eastAsia="Calibri" w:hAnsi="Calibri" w:cs="Calibri"/>
              <w:szCs w:val="22"/>
            </w:rPr>
            <w:fldChar w:fldCharType="end"/>
          </w:r>
        </w:p>
        <w:p>
          <w:pPr>
            <w:pStyle w:val="TOC1"/>
            <w:tabs>
              <w:tab w:val="right" w:leader="dot" w:pos="8336"/>
            </w:tabs>
          </w:pPr>
          <w:r>
            <w:rPr>
              <w:rFonts w:ascii="Calibri" w:eastAsia="Calibri" w:hAnsi="Calibri" w:cs="Calibri"/>
              <w:szCs w:val="22"/>
            </w:rPr>
            <w:fldChar w:fldCharType="begin"/>
          </w:r>
          <w:r>
            <w:rPr>
              <w:rFonts w:ascii="Calibri" w:eastAsia="Calibri" w:hAnsi="Calibri" w:cs="Calibri"/>
              <w:szCs w:val="22"/>
            </w:rPr>
            <w:instrText xml:space="preserve"> HYPERLINK \l _Toc30000 </w:instrText>
          </w:r>
          <w:r>
            <w:rPr>
              <w:rFonts w:ascii="Calibri" w:eastAsia="Calibri" w:hAnsi="Calibri" w:cs="Calibri"/>
              <w:szCs w:val="22"/>
            </w:rPr>
            <w:fldChar w:fldCharType="separate"/>
          </w:r>
          <w:r>
            <w:rPr>
              <w:rFonts w:hint="default"/>
            </w:rPr>
            <w:t xml:space="preserve">7. </w:t>
          </w:r>
          <w:r>
            <w:t>流程衡量指标</w:t>
          </w:r>
          <w:r>
            <w:tab/>
          </w:r>
          <w:r>
            <w:fldChar w:fldCharType="begin"/>
          </w:r>
          <w:r>
            <w:instrText xml:space="preserve"> PAGEREF _Toc30000 \h </w:instrText>
          </w:r>
          <w:r>
            <w:fldChar w:fldCharType="separate"/>
          </w:r>
          <w:r>
            <w:t>6</w:t>
          </w:r>
          <w:r>
            <w:fldChar w:fldCharType="end"/>
          </w:r>
          <w:r>
            <w:rPr>
              <w:rFonts w:ascii="Calibri" w:eastAsia="Calibri" w:hAnsi="Calibri" w:cs="Calibri"/>
              <w:szCs w:val="22"/>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Calibri" w:eastAsia="Calibri" w:hAnsi="Calibri" w:cs="Calibri"/>
              <w:snapToGrid w:val="0"/>
              <w:color w:val="000000"/>
              <w:kern w:val="0"/>
              <w:sz w:val="21"/>
              <w:szCs w:val="22"/>
              <w:lang w:val="en-US" w:eastAsia="en-US" w:bidi="ar-SA"/>
            </w:rPr>
          </w:pPr>
          <w:r>
            <w:rPr>
              <w:rFonts w:ascii="Calibri" w:eastAsia="Calibri" w:hAnsi="Calibri" w:cs="Calibri"/>
              <w:szCs w:val="22"/>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Calibri" w:eastAsia="Calibri" w:hAnsi="Calibri" w:cs="Calibri"/>
          <w:snapToGrid w:val="0"/>
          <w:color w:val="000000"/>
          <w:kern w:val="0"/>
          <w:sz w:val="21"/>
          <w:szCs w:val="22"/>
          <w:lang w:val="en-US" w:eastAsia="en-US" w:bidi="ar-SA"/>
        </w:rPr>
        <w:sectPr>
          <w:footerReference w:type="default" r:id="rId5"/>
          <w:pgSz w:w="11906" w:h="16839"/>
          <w:pgMar w:top="1431" w:right="1785" w:bottom="1375" w:left="1785" w:header="0" w:footer="1211" w:gutter="0"/>
          <w:cols w:num="1" w:space="720"/>
        </w:sect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bookmark1"/>
      <w:bookmarkEnd w:id="5"/>
      <w:bookmarkStart w:id="6" w:name="_Toc20320"/>
      <w:r>
        <w:t>简介</w:t>
      </w:r>
      <w:bookmarkEnd w:id="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28152"/>
      <w:r>
        <w:t>目的</w:t>
      </w:r>
      <w:bookmarkEnd w:id="7"/>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人力资源储备是为公司发展所需的人力提供后备保障，是公司资源管理的核心内容之一。公司在整体战略框架基础上,事先做好各职位候选人的规划、招聘、培训、晋升和考核,并辅于相关的制度流程和服务管理等全局思考和预见性的谋划,实现科学的留才、育才、用才观念，使公司人力资源战略与公司的发展战略同步、稳定、协调的运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4952"/>
      <w:r>
        <w:t>原则</w:t>
      </w:r>
      <w:bookmarkEnd w:id="8"/>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16362"/>
      <w:r>
        <w:t>适用原则</w:t>
      </w:r>
      <w:bookmarkEnd w:id="9"/>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公司实施人力资源储备的主要目的是避免出现人才缺位，并满足公司战略发展需求。而保持员工的稳定,公司基于各阶段的业务规模、对人才的实际要求、资源条件等。</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17298"/>
      <w:r>
        <w:t>以人为本的原则</w:t>
      </w:r>
      <w:bookmarkEnd w:id="10"/>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建立与新老员工之间的诚实信用关系，以员工的实际利益为中心，将公司的实际情况和员工的未来发展晋升规划等方面内容全部向员工交待清楚，使之有较好的心理准备或重新进行职业选择，这样才能使员工从内心深处树立起自身发展与公司的发展血肉相连的关系，忠诚于企业。</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15923"/>
      <w:r>
        <w:t>权变原则</w:t>
      </w:r>
      <w:bookmarkEnd w:id="11"/>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将此原则运用于公司的发展战略和内部员工调整。因为公司的经营环境处在不断的变化之中，相应的人才储备方向和人力资源要求层次、知识结构、工作经验等也不能脱离具体的环境，需把握环境变化和公司的实际情况。</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6258"/>
      <w:r>
        <w:t>储备原因分类</w:t>
      </w:r>
      <w:bookmarkEnd w:id="12"/>
    </w:p>
    <w:p>
      <w:pPr>
        <w:pStyle w:val="a"/>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常规储备：根据年度岗位员工离职率等指标进行的储备</w:t>
      </w:r>
    </w:p>
    <w:p>
      <w:pPr>
        <w:pStyle w:val="a"/>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业务发展储备：根据公司年度业务发展预测进行的储备</w:t>
      </w:r>
    </w:p>
    <w:p>
      <w:pPr>
        <w:pStyle w:val="a"/>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新业务新产品储备：因为服务质量升级、新产品、变更等进行的储备</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23168"/>
      <w:r>
        <w:t>储备人才分类</w:t>
      </w:r>
      <w:bookmarkEnd w:id="13"/>
    </w:p>
    <w:p>
      <w:pPr>
        <w:pStyle w:val="a"/>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一般岗位人才储备：职位为一般岗位。</w:t>
      </w:r>
    </w:p>
    <w:p>
      <w:pPr>
        <w:pStyle w:val="a"/>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关键岗位人才储备：职位为重要岗位员工。</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21608"/>
      <w:r>
        <w:t>储备人才渠道</w:t>
      </w:r>
      <w:bookmarkEnd w:id="1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20265"/>
      <w:r>
        <w:t>外部招聘渠道</w:t>
      </w:r>
      <w:bookmarkEnd w:id="15"/>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可利用互联网络、人才市场、人才交流会、职介机构、广告媒体、校园招聘、猎头公司等招聘渠道发布招聘信息，收集应聘者信息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27500"/>
      <w:r>
        <w:t>内部招聘渠道</w:t>
      </w:r>
      <w:bookmarkEnd w:id="16"/>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鼓励和提倡员工向公司推荐各类优秀人才。如被推荐人才通过试用，则给予推荐员工相应奖励，具体实施办法参照《内部人才推荐奖励管理制度》。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24385"/>
      <w:r>
        <w:t>内部调控和培养</w:t>
      </w:r>
      <w:bookmarkEnd w:id="17"/>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结合公司业务发展需求和员工个人职业发展生涯。调整人员储备结构：针对目前存在各业务部门在人员分工结构上分布不适应公司业务和技术发展需求的、或因员工个人职业生涯的与现任岗位不一致等现实问题，阶段性调控，坚持应急业务项目人员需求或目前缺编的岗位优先储备；产品研发岗位、公司中长期业务岗位和培养周期长期储备和有目标培养；对即将开展的业务提前储备或培养。</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8021"/>
      <w:r>
        <w:t>储备人才的培养与考核</w:t>
      </w:r>
      <w:bookmarkEnd w:id="1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bookmark16"/>
      <w:bookmarkEnd w:id="19"/>
      <w:bookmarkStart w:id="20" w:name="_Toc27662"/>
      <w:r>
        <w:t>建立长效的培训机制</w:t>
      </w:r>
      <w:bookmarkEnd w:id="20"/>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建立根据各岗位的任职能力要求，搭建岗位课程库，并对员工进行岗位任职测评，根据测评结果制定培训计划，根据培训内容的不同可选择换岗培训、交叉培训、直接主管（师傅）负责在岗业务培训等方式。</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32759"/>
      <w:r>
        <w:t>利用社会培训资源对储备人才能力提升作用</w:t>
      </w:r>
      <w:bookmarkEnd w:id="21"/>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鼓励和推荐储备人才中优秀员工参加外部培训机构组织的培训，包括工作相关的职业资格认证、管理类、专业类课程，提升其综合能力。岗位绩效考核与任职能力测评</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根据岗位考核KPI定期对员工的工作绩效进行考核，基于能力评价维度对员工进行岗位任职能力测评。</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13100"/>
      <w:r>
        <w:t>储备人才的激励</w:t>
      </w:r>
      <w:bookmarkEnd w:id="22"/>
    </w:p>
    <w:p>
      <w:pPr>
        <w:pStyle w:val="a3"/>
        <w:numPr>
          <w:ilvl w:val="0"/>
          <w:numId w:val="4"/>
        </w:numPr>
        <w:bidi w:val="0"/>
        <w:ind w:left="425" w:hanging="425" w:leftChars="0" w:firstLineChars="0"/>
      </w:pPr>
      <w:r>
        <w:t>激励与学费补助：公司支持员工参加和岗位相关的外部专业培训以及职业资格认证，对于通过考试或者认证的员工给予一定的奖励，或者学费补助。</w:t>
      </w:r>
    </w:p>
    <w:p>
      <w:pPr>
        <w:pStyle w:val="a3"/>
        <w:numPr>
          <w:ilvl w:val="0"/>
          <w:numId w:val="4"/>
        </w:numPr>
        <w:bidi w:val="0"/>
        <w:ind w:left="425" w:hanging="425" w:leftChars="0" w:firstLineChars="0"/>
      </w:pPr>
      <w:r>
        <w:t>年度优秀评选：根据年度KPI考核以及岗位任职能力测评成绩，推荐员工参加各项年度优秀奖项的评选。</w:t>
      </w:r>
    </w:p>
    <w:p>
      <w:pPr>
        <w:pStyle w:val="a3"/>
        <w:numPr>
          <w:ilvl w:val="0"/>
          <w:numId w:val="4"/>
        </w:numPr>
        <w:bidi w:val="0"/>
        <w:ind w:left="425" w:hanging="425" w:leftChars="0" w:firstLineChars="0"/>
      </w:pPr>
      <w:r>
        <w:t>为员工提供跨职系发展等多渠道职业通道：使员工根据自身能力情况与企业要求进行匹配分析，员工可选择个人志趣与企业发展需要相符的职业通道，通过努力考核晋升为管理职位或技术职位。</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30000"/>
      <w:r>
        <w:t>流程衡量指标</w:t>
      </w:r>
      <w:bookmarkEnd w:id="23"/>
    </w:p>
    <w:tbl>
      <w:tblPr>
        <w:tblStyle w:val="TableNormal0"/>
        <w:tblW w:w="8139" w:type="dxa"/>
        <w:tblInd w:w="1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727"/>
        <w:gridCol w:w="1337"/>
        <w:gridCol w:w="3948"/>
        <w:gridCol w:w="1176"/>
        <w:gridCol w:w="951"/>
      </w:tblGrid>
      <w:tr>
        <w:tblPrEx>
          <w:tblW w:w="8139" w:type="dxa"/>
          <w:tblInd w:w="1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83"/>
        </w:trPr>
        <w:tc>
          <w:tcPr>
            <w:tcW w:w="727" w:type="dxa"/>
            <w:tcBorders>
              <w:top w:val="single" w:sz="6" w:space="0" w:color="000000"/>
              <w:left w:val="single" w:sz="6" w:space="0" w:color="000000"/>
              <w:bottom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eastAsia="宋体" w:hAnsi="宋体" w:cs="宋体"/>
                <w:b/>
                <w:bCs/>
                <w:spacing w:val="-7"/>
                <w:sz w:val="18"/>
                <w:szCs w:val="18"/>
              </w:rPr>
            </w:pPr>
            <w:r>
              <w:rPr>
                <w:rFonts w:ascii="宋体" w:eastAsia="宋体" w:hAnsi="宋体" w:cs="宋体"/>
                <w:b/>
                <w:bCs/>
                <w:spacing w:val="-7"/>
                <w:sz w:val="18"/>
                <w:szCs w:val="18"/>
              </w:rPr>
              <w:t>序号</w:t>
            </w:r>
          </w:p>
        </w:tc>
        <w:tc>
          <w:tcPr>
            <w:tcW w:w="1337" w:type="dxa"/>
            <w:tcBorders>
              <w:top w:val="single" w:sz="6" w:space="0" w:color="000000"/>
              <w:bottom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eastAsia="宋体" w:hAnsi="宋体" w:cs="宋体"/>
                <w:b/>
                <w:bCs/>
                <w:spacing w:val="-7"/>
                <w:sz w:val="18"/>
                <w:szCs w:val="18"/>
              </w:rPr>
            </w:pPr>
            <w:r>
              <w:rPr>
                <w:rFonts w:ascii="宋体" w:eastAsia="宋体" w:hAnsi="宋体" w:cs="宋体"/>
                <w:b/>
                <w:bCs/>
                <w:spacing w:val="-7"/>
                <w:sz w:val="18"/>
                <w:szCs w:val="18"/>
              </w:rPr>
              <w:t>衡量指标</w:t>
            </w:r>
          </w:p>
        </w:tc>
        <w:tc>
          <w:tcPr>
            <w:tcW w:w="3948"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eastAsia="宋体" w:hAnsi="宋体" w:cs="宋体"/>
                <w:b/>
                <w:bCs/>
                <w:spacing w:val="-7"/>
                <w:sz w:val="18"/>
                <w:szCs w:val="18"/>
              </w:rPr>
            </w:pPr>
            <w:r>
              <w:rPr>
                <w:rFonts w:ascii="宋体" w:eastAsia="宋体" w:hAnsi="宋体" w:cs="宋体"/>
                <w:b/>
                <w:bCs/>
                <w:spacing w:val="-7"/>
                <w:sz w:val="18"/>
                <w:szCs w:val="18"/>
              </w:rPr>
              <w:t>指标计算说明</w:t>
            </w:r>
          </w:p>
        </w:tc>
        <w:tc>
          <w:tcPr>
            <w:tcW w:w="1176"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eastAsia="宋体" w:hAnsi="宋体" w:cs="宋体" w:hint="default"/>
                <w:b/>
                <w:bCs/>
                <w:spacing w:val="-7"/>
                <w:sz w:val="18"/>
                <w:szCs w:val="18"/>
                <w:lang w:val="en-US" w:eastAsia="zh-CN"/>
              </w:rPr>
            </w:pPr>
            <w:r>
              <w:rPr>
                <w:rFonts w:ascii="宋体" w:eastAsia="宋体" w:hAnsi="宋体" w:cs="宋体" w:hint="eastAsia"/>
                <w:b/>
                <w:bCs/>
                <w:spacing w:val="-7"/>
                <w:sz w:val="18"/>
                <w:szCs w:val="18"/>
                <w:lang w:val="en-US" w:eastAsia="zh-CN"/>
              </w:rPr>
              <w:t>考核频次</w:t>
            </w:r>
          </w:p>
        </w:tc>
        <w:tc>
          <w:tcPr>
            <w:tcW w:w="951"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eastAsia="宋体" w:hAnsi="宋体" w:cs="宋体" w:hint="default"/>
                <w:b/>
                <w:bCs/>
                <w:spacing w:val="-7"/>
                <w:sz w:val="18"/>
                <w:szCs w:val="18"/>
                <w:lang w:val="en-US" w:eastAsia="zh-CN"/>
              </w:rPr>
            </w:pPr>
            <w:r>
              <w:rPr>
                <w:rFonts w:ascii="宋体" w:hAnsi="宋体" w:cs="宋体" w:hint="eastAsia"/>
                <w:b/>
                <w:bCs/>
                <w:spacing w:val="-7"/>
                <w:sz w:val="18"/>
                <w:szCs w:val="18"/>
                <w:lang w:val="en-US" w:eastAsia="zh-CN"/>
              </w:rPr>
              <w:t>目标值</w:t>
            </w:r>
          </w:p>
        </w:tc>
      </w:tr>
      <w:tr>
        <w:tblPrEx>
          <w:tblW w:w="8139" w:type="dxa"/>
          <w:tblInd w:w="130" w:type="dxa"/>
          <w:tblLayout w:type="fixed"/>
          <w:tblCellMar>
            <w:top w:w="0" w:type="dxa"/>
            <w:left w:w="0" w:type="dxa"/>
            <w:bottom w:w="0" w:type="dxa"/>
            <w:right w:w="0" w:type="dxa"/>
          </w:tblCellMar>
        </w:tblPrEx>
        <w:trPr>
          <w:trHeight w:val="549"/>
        </w:trPr>
        <w:tc>
          <w:tcPr>
            <w:tcW w:w="727" w:type="dxa"/>
            <w:tcBorders>
              <w:top w:val="single" w:sz="6" w:space="0" w:color="000000"/>
              <w:lef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right="0" w:firstLine="0" w:leftChars="0" w:rightChars="0" w:firstLineChars="0"/>
              <w:jc w:val="center"/>
              <w:textAlignment w:val="baseline"/>
              <w:rPr>
                <w:rFonts w:ascii="宋体" w:eastAsia="宋体" w:hAnsi="宋体" w:cs="宋体" w:hint="eastAsia"/>
                <w:spacing w:val="-2"/>
                <w:sz w:val="18"/>
                <w:szCs w:val="18"/>
                <w:lang w:val="en-US" w:eastAsia="zh-CN"/>
              </w:rPr>
            </w:pPr>
            <w:r>
              <w:rPr>
                <w:rFonts w:ascii="宋体" w:eastAsia="宋体" w:hAnsi="宋体" w:cs="宋体" w:hint="eastAsia"/>
                <w:spacing w:val="-2"/>
                <w:sz w:val="18"/>
                <w:szCs w:val="18"/>
                <w:lang w:val="en-US" w:eastAsia="zh-CN"/>
              </w:rPr>
              <w:t>1</w:t>
            </w:r>
          </w:p>
        </w:tc>
        <w:tc>
          <w:tcPr>
            <w:tcW w:w="1337" w:type="dxa"/>
            <w:tcBorders>
              <w:top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right="0" w:firstLine="0" w:leftChars="0" w:rightChars="0" w:firstLineChars="0"/>
              <w:jc w:val="center"/>
              <w:textAlignment w:val="baseline"/>
              <w:rPr>
                <w:rFonts w:ascii="宋体" w:eastAsia="宋体" w:hAnsi="宋体" w:cs="宋体" w:hint="default"/>
                <w:spacing w:val="-2"/>
                <w:sz w:val="18"/>
                <w:szCs w:val="18"/>
                <w:lang w:val="en-US" w:eastAsia="zh-CN"/>
              </w:rPr>
            </w:pPr>
            <w:r>
              <w:rPr>
                <w:rFonts w:ascii="宋体" w:hAnsi="宋体" w:cs="宋体" w:hint="eastAsia"/>
                <w:spacing w:val="-2"/>
                <w:sz w:val="18"/>
                <w:szCs w:val="18"/>
                <w:lang w:val="en-US" w:eastAsia="zh-CN"/>
              </w:rPr>
              <w:t>人员</w:t>
            </w:r>
            <w:r>
              <w:rPr>
                <w:rFonts w:ascii="宋体" w:eastAsia="宋体" w:hAnsi="宋体" w:cs="宋体" w:hint="eastAsia"/>
                <w:spacing w:val="-2"/>
                <w:sz w:val="18"/>
                <w:szCs w:val="18"/>
                <w:lang w:val="en-US" w:eastAsia="zh-CN"/>
              </w:rPr>
              <w:t>储备完成率</w:t>
            </w:r>
          </w:p>
        </w:tc>
        <w:tc>
          <w:tcPr>
            <w:tcW w:w="3948" w:type="dxa"/>
            <w:tcBorders>
              <w:top w:val="single" w:sz="6" w:space="0" w:color="000000"/>
              <w:righ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right="0" w:firstLine="0" w:leftChars="0" w:rightChars="0" w:firstLineChars="0"/>
              <w:jc w:val="center"/>
              <w:textAlignment w:val="baseline"/>
              <w:rPr>
                <w:rFonts w:ascii="宋体" w:eastAsia="宋体" w:hAnsi="宋体" w:cs="宋体" w:hint="default"/>
                <w:spacing w:val="-2"/>
                <w:sz w:val="18"/>
                <w:szCs w:val="18"/>
                <w:lang w:val="en-US" w:eastAsia="zh-CN"/>
              </w:rPr>
            </w:pPr>
            <w:r>
              <w:rPr>
                <w:rFonts w:ascii="宋体" w:eastAsia="宋体" w:hAnsi="宋体" w:cs="宋体" w:hint="eastAsia"/>
                <w:spacing w:val="-2"/>
                <w:sz w:val="18"/>
                <w:szCs w:val="18"/>
                <w:lang w:val="en-US" w:eastAsia="zh-CN"/>
              </w:rPr>
              <w:t>(实际储备人员的数量/计划储备人员的数量)*100%</w:t>
            </w:r>
          </w:p>
        </w:tc>
        <w:tc>
          <w:tcPr>
            <w:tcW w:w="1176" w:type="dxa"/>
            <w:tcBorders>
              <w:top w:val="single" w:sz="6" w:space="0" w:color="000000"/>
              <w:righ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right="0" w:firstLine="0" w:leftChars="0" w:rightChars="0" w:firstLineChars="0"/>
              <w:jc w:val="center"/>
              <w:textAlignment w:val="baseline"/>
              <w:rPr>
                <w:rFonts w:ascii="宋体" w:eastAsia="宋体" w:hAnsi="宋体" w:cs="宋体" w:hint="default"/>
                <w:spacing w:val="-2"/>
                <w:sz w:val="18"/>
                <w:szCs w:val="18"/>
                <w:lang w:val="en-US" w:eastAsia="zh-CN"/>
              </w:rPr>
            </w:pPr>
            <w:r>
              <w:rPr>
                <w:rFonts w:ascii="宋体" w:eastAsia="宋体" w:hAnsi="宋体" w:cs="宋体" w:hint="eastAsia"/>
                <w:spacing w:val="-2"/>
                <w:sz w:val="18"/>
                <w:szCs w:val="18"/>
                <w:lang w:val="en-US" w:eastAsia="zh-CN"/>
              </w:rPr>
              <w:t>按季度</w:t>
            </w:r>
          </w:p>
        </w:tc>
        <w:tc>
          <w:tcPr>
            <w:tcW w:w="951" w:type="dxa"/>
            <w:tcBorders>
              <w:top w:val="single" w:sz="6" w:space="0" w:color="000000"/>
              <w:righ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right="0" w:firstLine="0" w:leftChars="0" w:rightChars="0" w:firstLineChars="0"/>
              <w:jc w:val="center"/>
              <w:textAlignment w:val="baseline"/>
              <w:rPr>
                <w:rFonts w:ascii="宋体" w:eastAsia="宋体" w:hAnsi="宋体" w:cs="宋体" w:hint="default"/>
                <w:spacing w:val="-2"/>
                <w:sz w:val="18"/>
                <w:szCs w:val="18"/>
                <w:lang w:val="en-US" w:eastAsia="zh-CN"/>
              </w:rPr>
            </w:pPr>
            <w:r>
              <w:rPr>
                <w:rFonts w:ascii="宋体" w:hAnsi="宋体" w:cs="宋体" w:hint="eastAsia"/>
                <w:spacing w:val="-2"/>
                <w:sz w:val="18"/>
                <w:szCs w:val="18"/>
                <w:lang w:val="en-US" w:eastAsia="zh-CN"/>
              </w:rPr>
              <w:t>100%</w:t>
            </w:r>
          </w:p>
        </w:tc>
      </w:tr>
    </w:tbl>
    <w:p>
      <w:pPr>
        <w:keepNext w:val="0"/>
        <w:keepLines w:val="0"/>
        <w:pageBreakBefore w:val="0"/>
        <w:widowControl w:val="0"/>
        <w:kinsoku w:val="0"/>
        <w:wordWrap/>
        <w:overflowPunct/>
        <w:topLinePunct w:val="0"/>
        <w:autoSpaceDE w:val="0"/>
        <w:autoSpaceDN w:val="0"/>
        <w:bidi w:val="0"/>
        <w:adjustRightInd w:val="0"/>
        <w:snapToGrid w:val="0"/>
        <w:spacing w:before="184" w:line="313" w:lineRule="auto"/>
        <w:ind w:left="927" w:right="220" w:hanging="419"/>
        <w:textAlignment w:val="baseline"/>
        <w:rPr>
          <w:rFonts w:ascii="宋体" w:eastAsia="宋体" w:hAnsi="宋体" w:cs="宋体"/>
          <w:spacing w:val="-2"/>
          <w:sz w:val="24"/>
          <w:szCs w:val="24"/>
        </w:rPr>
      </w:pPr>
    </w:p>
    <w:sectPr>
      <w:footerReference w:type="default" r:id="rId6"/>
      <w:pgSz w:w="11906" w:h="16839"/>
      <w:pgMar w:top="1431" w:right="1785" w:bottom="1374" w:left="1785" w:header="0" w:footer="1211"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6" w:lineRule="auto"/>
      <w:ind w:left="4269"/>
      <w:rPr>
        <w:rFonts w:ascii="Calibri" w:eastAsia="Calibri" w:hAnsi="Calibri" w:cs="Calibri"/>
        <w:sz w:val="18"/>
        <w:szCs w:val="18"/>
      </w:rPr>
    </w:pPr>
    <w:r>
      <w:rPr>
        <w:rFonts w:ascii="Calibri" w:eastAsia="Calibri" w:hAnsi="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7" w:lineRule="auto"/>
      <w:ind w:left="4131"/>
      <w:rPr>
        <w:rFonts w:ascii="Calibri" w:eastAsia="Calibri" w:hAnsi="Calibri" w:cs="Calibri"/>
        <w:sz w:val="18"/>
        <w:szCs w:val="18"/>
      </w:rPr>
    </w:pPr>
    <w:r>
      <w:rPr>
        <w:rFonts w:ascii="Calibri" w:eastAsia="Calibri" w:hAnsi="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6" w:lineRule="auto"/>
      <w:ind w:left="4125"/>
      <w:rPr>
        <w:rFonts w:ascii="Calibri" w:eastAsia="Calibri" w:hAnsi="Calibri" w:cs="Calibri"/>
        <w:sz w:val="18"/>
        <w:szCs w:val="18"/>
      </w:rPr>
    </w:pPr>
    <w:r>
      <w:rPr>
        <w:rFonts w:ascii="Calibri" w:eastAsia="Calibri" w:hAnsi="Calibri" w:cs="Calibri"/>
        <w:sz w:val="18"/>
        <w:szCs w:val="18"/>
      </w:rPr>
      <w:t>4</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CCCAC4A"/>
    <w:multiLevelType w:val="singleLevel"/>
    <w:tmpl w:val="BCCCAC4A"/>
    <w:lvl w:ilvl="0">
      <w:start w:val="1"/>
      <w:numFmt w:val="decimal"/>
      <w:lvlText w:val="%1."/>
      <w:lvlJc w:val="left"/>
      <w:pPr>
        <w:ind w:left="425" w:hanging="425"/>
      </w:pPr>
      <w:rPr>
        <w:rFonts w:hint="default"/>
      </w:rPr>
    </w:lvl>
  </w:abstractNum>
  <w:abstractNum w:abstractNumId="2">
    <w:nsid w:val="C375DE28"/>
    <w:multiLevelType w:val="singleLevel"/>
    <w:tmpl w:val="C375DE28"/>
    <w:lvl w:ilvl="0">
      <w:start w:val="1"/>
      <w:numFmt w:val="decimal"/>
      <w:lvlText w:val="%1."/>
      <w:lvlJc w:val="left"/>
      <w:pPr>
        <w:ind w:left="425" w:hanging="425"/>
      </w:pPr>
      <w:rPr>
        <w:rFonts w:hint="default"/>
      </w:rPr>
    </w:lvl>
  </w:abstractNum>
  <w:abstractNum w:abstractNumId="3">
    <w:nsid w:val="03705F6A"/>
    <w:multiLevelType w:val="singleLevel"/>
    <w:tmpl w:val="03705F6A"/>
    <w:lvl w:ilvl="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footer" Target="footer3.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6</Pages>
  <Words>1699</Words>
  <Characters>1785</Characters>
  <Application>Microsoft Office Word</Application>
  <DocSecurity>0</DocSecurity>
  <Lines>0</Lines>
  <Paragraphs>0</Paragraphs>
  <ScaleCrop>false</ScaleCrop>
  <Company/>
  <LinksUpToDate>false</LinksUpToDate>
  <CharactersWithSpaces>1865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zhouyw@qdhuihai.com</dc:creator>
  <cp:lastModifiedBy>nancy杨茜</cp:lastModifiedBy>
  <cp:revision>0</cp:revision>
  <dcterms:created xsi:type="dcterms:W3CDTF">2025-08-19T20:25:00Z</dcterms:created>
  <dcterms:modified xsi:type="dcterms:W3CDTF">2026-01-07T12:36:53Z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2025-08-27T10:01:51Z</vt:filetime>
  </property>
  <property fmtid="{D5CDD505-2E9C-101B-9397-08002B2CF9AE}" pid="3" name="CRO">
    <vt:lpwstr>wqlLaW5nc29mdCBQREYgdG8gV1BTIDExNQ</vt:lpwstr>
  </property>
  <property fmtid="{D5CDD505-2E9C-101B-9397-08002B2CF9AE}" pid="4" name="ICV">
    <vt:lpwstr>57B4BE8EBEE54C0098E4C8164C2759C4_12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