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0" w:name="_Toc29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人员备份管理制度</w:t>
      </w:r>
      <w:bookmarkEnd w:id="0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_Toc24555"/>
      <w:r>
        <w:t>江苏云储智能科技有限公司</w:t>
      </w:r>
      <w:bookmarkEnd w:id="1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宋体" w:eastAsia="宋体" w:hAnsi="宋体" w:cs="宋体" w:hint="eastAsia"/>
          <w:b w:val="0"/>
          <w:bCs w:val="0"/>
          <w:sz w:val="36"/>
          <w:szCs w:val="36"/>
          <w:lang w:val="en-US" w:eastAsia="zh-CN"/>
        </w:rPr>
      </w:pPr>
      <w:bookmarkStart w:id="2" w:name="_Toc7092"/>
      <w:r>
        <w:rPr>
          <w:rFonts w:ascii="宋体" w:eastAsia="宋体" w:hAnsi="宋体" w:cs="宋体" w:hint="eastAsia"/>
          <w:b w:val="0"/>
          <w:bCs w:val="0"/>
          <w:sz w:val="36"/>
          <w:szCs w:val="36"/>
          <w:lang w:val="en-US" w:eastAsia="zh-CN"/>
        </w:rPr>
        <w:t>2025年1月4日</w:t>
      </w:r>
      <w:bookmarkEnd w:id="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宋体" w:eastAsia="宋体" w:hAnsi="宋体" w:cs="宋体" w:hint="eastAsia"/>
          <w:b w:val="0"/>
          <w:bCs w:val="0"/>
          <w:sz w:val="36"/>
          <w:szCs w:val="36"/>
        </w:rPr>
        <w:sectPr>
          <w:pgSz w:w="11906" w:h="16839"/>
          <w:pgMar w:top="1431" w:right="1785" w:bottom="0" w:left="1785" w:header="0" w:footer="0" w:gutter="0"/>
          <w:cols w:num="1" w:space="720"/>
        </w:sectPr>
      </w:pP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1" w:line="220" w:lineRule="auto"/>
        <w:ind w:left="3710"/>
        <w:textAlignment w:val="baseline"/>
        <w:outlineLvl w:val="1"/>
        <w:rPr>
          <w:rFonts w:ascii="宋体" w:eastAsia="宋体" w:hAnsi="宋体" w:cs="宋体"/>
          <w:sz w:val="28"/>
          <w:szCs w:val="28"/>
        </w:rPr>
      </w:pPr>
      <w:bookmarkStart w:id="3" w:name="_Toc12250"/>
      <w:r>
        <w:rPr>
          <w:rFonts w:ascii="宋体" w:eastAsia="宋体" w:hAnsi="宋体" w:cs="宋体"/>
          <w:spacing w:val="-3"/>
          <w:sz w:val="28"/>
          <w:szCs w:val="28"/>
        </w:rPr>
        <w:t>文档信息</w:t>
      </w:r>
      <w:bookmarkEnd w:id="3"/>
    </w:p>
    <w:tbl>
      <w:tblPr>
        <w:tblStyle w:val="TableNormal0"/>
        <w:tblW w:w="9072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13"/>
        <w:gridCol w:w="2303"/>
        <w:gridCol w:w="1557"/>
        <w:gridCol w:w="1953"/>
      </w:tblGrid>
      <w:tr>
        <w:tblPrEx>
          <w:tblW w:w="9072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/>
        </w:trPr>
        <w:tc>
          <w:tcPr>
            <w:tcW w:w="184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296"/>
              <w:textAlignment w:val="baseline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文档名称编号</w:t>
            </w:r>
          </w:p>
        </w:tc>
        <w:tc>
          <w:tcPr>
            <w:tcW w:w="7226" w:type="dxa"/>
            <w:gridSpan w:val="4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109"/>
              <w:textAlignment w:val="baseline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1"/>
                <w:sz w:val="21"/>
                <w:szCs w:val="21"/>
              </w:rPr>
              <w:t>人员备份管理制度（JSYC-ITSS-RYBFGL）</w:t>
            </w: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/>
        </w:trPr>
        <w:tc>
          <w:tcPr>
            <w:tcW w:w="184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6" w:line="220" w:lineRule="auto"/>
              <w:ind w:left="506"/>
              <w:textAlignment w:val="baseline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编制单位</w:t>
            </w:r>
          </w:p>
        </w:tc>
        <w:tc>
          <w:tcPr>
            <w:tcW w:w="7226" w:type="dxa"/>
            <w:gridSpan w:val="4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7" w:line="219" w:lineRule="auto"/>
              <w:ind w:left="108"/>
              <w:textAlignment w:val="baseline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1"/>
                <w:sz w:val="21"/>
                <w:szCs w:val="21"/>
              </w:rPr>
              <w:t>江苏云储智能科技有限公司</w:t>
            </w: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/>
        </w:trPr>
        <w:tc>
          <w:tcPr>
            <w:tcW w:w="184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506"/>
              <w:textAlignment w:val="baseline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文档版本</w:t>
            </w:r>
          </w:p>
        </w:tc>
        <w:tc>
          <w:tcPr>
            <w:tcW w:w="141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288"/>
              <w:textAlignment w:val="baseline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版本日期</w:t>
            </w:r>
          </w:p>
        </w:tc>
        <w:tc>
          <w:tcPr>
            <w:tcW w:w="230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735"/>
              <w:textAlignment w:val="baseline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版本说明</w:t>
            </w:r>
          </w:p>
        </w:tc>
        <w:tc>
          <w:tcPr>
            <w:tcW w:w="155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574"/>
              <w:textAlignment w:val="baseline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作者</w:t>
            </w:r>
          </w:p>
        </w:tc>
        <w:tc>
          <w:tcPr>
            <w:tcW w:w="195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781"/>
              <w:textAlignment w:val="baseline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5"/>
                <w:sz w:val="21"/>
                <w:szCs w:val="21"/>
              </w:rPr>
              <w:t>审核</w:t>
            </w: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84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 w:line="239" w:lineRule="auto"/>
              <w:ind w:left="709"/>
              <w:textAlignment w:val="baseline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1"/>
                <w:sz w:val="21"/>
                <w:szCs w:val="21"/>
              </w:rPr>
              <w:t>V1.0</w:t>
            </w:r>
          </w:p>
        </w:tc>
        <w:tc>
          <w:tcPr>
            <w:tcW w:w="141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/>
              <w:ind w:left="290"/>
              <w:textAlignment w:val="baseline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2025-1-4</w:t>
            </w:r>
          </w:p>
        </w:tc>
        <w:tc>
          <w:tcPr>
            <w:tcW w:w="230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19" w:lineRule="auto"/>
              <w:ind w:left="738"/>
              <w:textAlignment w:val="baseline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发布版本</w:t>
            </w:r>
          </w:p>
        </w:tc>
        <w:tc>
          <w:tcPr>
            <w:tcW w:w="155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5" w:line="228" w:lineRule="auto"/>
              <w:ind w:left="575"/>
              <w:textAlignment w:val="baseline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pacing w:val="-3"/>
                <w:sz w:val="21"/>
                <w:szCs w:val="21"/>
              </w:rPr>
              <w:t>唐雪珊</w:t>
            </w:r>
          </w:p>
        </w:tc>
        <w:tc>
          <w:tcPr>
            <w:tcW w:w="195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20" w:lineRule="auto"/>
              <w:ind w:left="671"/>
              <w:textAlignment w:val="baseline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史晓玲</w:t>
            </w: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/>
        </w:trPr>
        <w:tc>
          <w:tcPr>
            <w:tcW w:w="184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3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03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/>
        </w:trPr>
        <w:tc>
          <w:tcPr>
            <w:tcW w:w="184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3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03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/>
        </w:trPr>
        <w:tc>
          <w:tcPr>
            <w:tcW w:w="184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3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03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/>
        </w:trPr>
        <w:tc>
          <w:tcPr>
            <w:tcW w:w="184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3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03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</w:tbl>
    <w:p>
      <w:pPr>
        <w:pStyle w:val="BodyText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sectPr>
          <w:footerReference w:type="default" r:id="rId4"/>
          <w:pgSz w:w="11906" w:h="16839"/>
          <w:pgMar w:top="1431" w:right="1127" w:bottom="1233" w:left="1696" w:header="0" w:footer="1070" w:gutter="0"/>
          <w:cols w:num="1" w:space="720"/>
        </w:sectPr>
      </w:pP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2276"/>
        <w:docPartObj>
          <w:docPartGallery w:val="Table of Contents"/>
          <w:docPartUnique/>
        </w:docPartObj>
      </w:sdtPr>
      <w:sdtEndPr>
        <w:rPr>
          <w:rFonts w:ascii="宋体" w:eastAsia="宋体" w:hAnsi="宋体" w:cs="宋体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488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/>
              <w:sz w:val="21"/>
              <w:szCs w:val="21"/>
            </w:rPr>
            <w:instrText xml:space="preserve">TOC \o "1-3" \h \u </w:instrText>
          </w:r>
          <w:r>
            <w:rPr>
              <w:rFonts w:ascii="宋体" w:eastAsia="宋体" w:hAnsi="宋体" w:cs="宋体"/>
              <w:sz w:val="21"/>
              <w:szCs w:val="21"/>
            </w:rPr>
            <w:fldChar w:fldCharType="separate"/>
          </w:r>
          <w:r>
            <w:rPr>
              <w:rFonts w:ascii="宋体" w:eastAsia="宋体" w:hAnsi="宋体" w:cs="宋体"/>
              <w:szCs w:val="21"/>
            </w:rPr>
            <w:fldChar w:fldCharType="begin"/>
          </w:r>
          <w:r>
            <w:rPr>
              <w:rFonts w:ascii="宋体" w:eastAsia="宋体" w:hAnsi="宋体" w:cs="宋体"/>
              <w:szCs w:val="21"/>
            </w:rPr>
            <w:instrText xml:space="preserve"> HYPERLINK \l _Toc297 </w:instrText>
          </w:r>
          <w:r>
            <w:rPr>
              <w:rFonts w:ascii="宋体" w:eastAsia="宋体" w:hAnsi="宋体" w:cs="宋体"/>
              <w:szCs w:val="21"/>
            </w:rPr>
            <w:fldChar w:fldCharType="separate"/>
          </w:r>
          <w:r>
            <w:t>人员备份管理制度</w:t>
          </w:r>
          <w:r>
            <w:tab/>
          </w:r>
          <w:r>
            <w:fldChar w:fldCharType="begin"/>
          </w:r>
          <w:r>
            <w:instrText xml:space="preserve"> PAGEREF _Toc297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/>
              <w:szCs w:val="21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488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/>
              <w:szCs w:val="21"/>
            </w:rPr>
            <w:fldChar w:fldCharType="begin"/>
          </w:r>
          <w:r>
            <w:rPr>
              <w:rFonts w:ascii="宋体" w:eastAsia="宋体" w:hAnsi="宋体" w:cs="宋体"/>
              <w:szCs w:val="21"/>
            </w:rPr>
            <w:instrText xml:space="preserve"> HYPERLINK \l _Toc24555 </w:instrText>
          </w:r>
          <w:r>
            <w:rPr>
              <w:rFonts w:ascii="宋体" w:eastAsia="宋体" w:hAnsi="宋体" w:cs="宋体"/>
              <w:szCs w:val="21"/>
            </w:rPr>
            <w:fldChar w:fldCharType="separate"/>
          </w:r>
          <w:r>
            <w:t>江苏云储智能科技有限公司</w:t>
          </w:r>
          <w:r>
            <w:tab/>
          </w:r>
          <w:r>
            <w:fldChar w:fldCharType="begin"/>
          </w:r>
          <w:r>
            <w:instrText xml:space="preserve"> PAGEREF _Toc24555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/>
              <w:szCs w:val="21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488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/>
              <w:szCs w:val="21"/>
            </w:rPr>
            <w:fldChar w:fldCharType="begin"/>
          </w:r>
          <w:r>
            <w:rPr>
              <w:rFonts w:ascii="宋体" w:eastAsia="宋体" w:hAnsi="宋体" w:cs="宋体"/>
              <w:szCs w:val="21"/>
            </w:rPr>
            <w:instrText xml:space="preserve"> HYPERLINK \l _Toc7092 </w:instrText>
          </w:r>
          <w:r>
            <w:rPr>
              <w:rFonts w:ascii="宋体" w:eastAsia="宋体" w:hAnsi="宋体" w:cs="宋体"/>
              <w:szCs w:val="21"/>
            </w:rPr>
            <w:fldChar w:fldCharType="separate"/>
          </w:r>
          <w:r>
            <w:rPr>
              <w:rFonts w:ascii="宋体" w:eastAsia="宋体" w:hAnsi="宋体" w:cs="宋体" w:hint="eastAsia"/>
              <w:bCs w:val="0"/>
              <w:szCs w:val="36"/>
              <w:lang w:val="en-US" w:eastAsia="zh-CN"/>
            </w:rPr>
            <w:t>2025年1月4日</w:t>
          </w:r>
          <w:r>
            <w:tab/>
          </w:r>
          <w:r>
            <w:fldChar w:fldCharType="begin"/>
          </w:r>
          <w:r>
            <w:instrText xml:space="preserve"> PAGEREF _Toc7092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/>
              <w:szCs w:val="21"/>
            </w:rP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488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/>
              <w:szCs w:val="21"/>
            </w:rPr>
            <w:fldChar w:fldCharType="begin"/>
          </w:r>
          <w:r>
            <w:rPr>
              <w:rFonts w:ascii="宋体" w:eastAsia="宋体" w:hAnsi="宋体" w:cs="宋体"/>
              <w:szCs w:val="21"/>
            </w:rPr>
            <w:instrText xml:space="preserve"> HYPERLINK \l _Toc12250 </w:instrText>
          </w:r>
          <w:r>
            <w:rPr>
              <w:rFonts w:ascii="宋体" w:eastAsia="宋体" w:hAnsi="宋体" w:cs="宋体"/>
              <w:szCs w:val="21"/>
            </w:rPr>
            <w:fldChar w:fldCharType="separate"/>
          </w:r>
          <w:r>
            <w:rPr>
              <w:rFonts w:ascii="宋体" w:eastAsia="宋体" w:hAnsi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_Toc12250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宋体" w:eastAsia="宋体" w:hAnsi="宋体" w:cs="宋体"/>
              <w:szCs w:val="21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488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/>
              <w:szCs w:val="21"/>
            </w:rPr>
            <w:fldChar w:fldCharType="begin"/>
          </w:r>
          <w:r>
            <w:rPr>
              <w:rFonts w:ascii="宋体" w:eastAsia="宋体" w:hAnsi="宋体" w:cs="宋体"/>
              <w:szCs w:val="21"/>
            </w:rPr>
            <w:instrText xml:space="preserve"> HYPERLINK \l _Toc28121 </w:instrText>
          </w:r>
          <w:r>
            <w:rPr>
              <w:rFonts w:ascii="宋体" w:eastAsia="宋体" w:hAnsi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_Toc28121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/>
              <w:szCs w:val="21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488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/>
              <w:szCs w:val="21"/>
            </w:rPr>
            <w:fldChar w:fldCharType="begin"/>
          </w:r>
          <w:r>
            <w:rPr>
              <w:rFonts w:ascii="宋体" w:eastAsia="宋体" w:hAnsi="宋体" w:cs="宋体"/>
              <w:szCs w:val="21"/>
            </w:rPr>
            <w:instrText xml:space="preserve"> HYPERLINK \l _Toc4534 </w:instrText>
          </w:r>
          <w:r>
            <w:rPr>
              <w:rFonts w:ascii="宋体" w:eastAsia="宋体" w:hAnsi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名词解释</w:t>
          </w:r>
          <w:r>
            <w:tab/>
          </w:r>
          <w:r>
            <w:fldChar w:fldCharType="begin"/>
          </w:r>
          <w:r>
            <w:instrText xml:space="preserve"> PAGEREF _Toc4534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/>
              <w:szCs w:val="21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488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/>
              <w:szCs w:val="21"/>
            </w:rPr>
            <w:fldChar w:fldCharType="begin"/>
          </w:r>
          <w:r>
            <w:rPr>
              <w:rFonts w:ascii="宋体" w:eastAsia="宋体" w:hAnsi="宋体" w:cs="宋体"/>
              <w:szCs w:val="21"/>
            </w:rPr>
            <w:instrText xml:space="preserve"> HYPERLINK \l _Toc25855 </w:instrText>
          </w:r>
          <w:r>
            <w:rPr>
              <w:rFonts w:ascii="宋体" w:eastAsia="宋体" w:hAnsi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_Toc25855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/>
              <w:szCs w:val="21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488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/>
              <w:szCs w:val="21"/>
            </w:rPr>
            <w:fldChar w:fldCharType="begin"/>
          </w:r>
          <w:r>
            <w:rPr>
              <w:rFonts w:ascii="宋体" w:eastAsia="宋体" w:hAnsi="宋体" w:cs="宋体"/>
              <w:szCs w:val="21"/>
            </w:rPr>
            <w:instrText xml:space="preserve"> HYPERLINK \l _Toc25915 </w:instrText>
          </w:r>
          <w:r>
            <w:rPr>
              <w:rFonts w:ascii="宋体" w:eastAsia="宋体" w:hAnsi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备份流程及说明</w:t>
          </w:r>
          <w:r>
            <w:tab/>
          </w:r>
          <w:r>
            <w:fldChar w:fldCharType="begin"/>
          </w:r>
          <w:r>
            <w:instrText xml:space="preserve"> PAGEREF _Toc25915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/>
              <w:szCs w:val="21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488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/>
              <w:szCs w:val="21"/>
            </w:rPr>
            <w:fldChar w:fldCharType="begin"/>
          </w:r>
          <w:r>
            <w:rPr>
              <w:rFonts w:ascii="宋体" w:eastAsia="宋体" w:hAnsi="宋体" w:cs="宋体"/>
              <w:szCs w:val="21"/>
            </w:rPr>
            <w:instrText xml:space="preserve"> HYPERLINK \l _Toc4660 </w:instrText>
          </w:r>
          <w:r>
            <w:rPr>
              <w:rFonts w:ascii="宋体" w:eastAsia="宋体" w:hAnsi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责任说明</w:t>
          </w:r>
          <w:r>
            <w:tab/>
          </w:r>
          <w:r>
            <w:fldChar w:fldCharType="begin"/>
          </w:r>
          <w:r>
            <w:instrText xml:space="preserve"> PAGEREF _Toc4660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/>
              <w:szCs w:val="21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488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/>
              <w:szCs w:val="21"/>
            </w:rPr>
            <w:fldChar w:fldCharType="begin"/>
          </w:r>
          <w:r>
            <w:rPr>
              <w:rFonts w:ascii="宋体" w:eastAsia="宋体" w:hAnsi="宋体" w:cs="宋体"/>
              <w:szCs w:val="21"/>
            </w:rPr>
            <w:instrText xml:space="preserve"> HYPERLINK \l _Toc28273 </w:instrText>
          </w:r>
          <w:r>
            <w:rPr>
              <w:rFonts w:ascii="宋体" w:eastAsia="宋体" w:hAnsi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附则</w:t>
          </w:r>
          <w:r>
            <w:tab/>
          </w:r>
          <w:r>
            <w:fldChar w:fldCharType="begin"/>
          </w:r>
          <w:r>
            <w:instrText xml:space="preserve"> PAGEREF _Toc28273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/>
              <w:szCs w:val="21"/>
            </w:rP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488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ascii="宋体" w:eastAsia="宋体" w:hAnsi="宋体" w:cs="宋体"/>
              <w:szCs w:val="21"/>
            </w:rPr>
            <w:fldChar w:fldCharType="begin"/>
          </w:r>
          <w:r>
            <w:rPr>
              <w:rFonts w:ascii="宋体" w:eastAsia="宋体" w:hAnsi="宋体" w:cs="宋体"/>
              <w:szCs w:val="21"/>
            </w:rPr>
            <w:instrText xml:space="preserve"> HYPERLINK \l _Toc11186 </w:instrText>
          </w:r>
          <w:r>
            <w:rPr>
              <w:rFonts w:ascii="宋体" w:eastAsia="宋体" w:hAnsi="宋体" w:cs="宋体"/>
              <w:szCs w:val="21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rPr>
              <w:rFonts w:hint="eastAsia"/>
              <w:lang w:val="en-US" w:eastAsia="zh-CN"/>
            </w:rPr>
            <w:t>主要考核指标</w:t>
          </w:r>
          <w:r>
            <w:tab/>
          </w:r>
          <w:r>
            <w:fldChar w:fldCharType="begin"/>
          </w:r>
          <w:r>
            <w:instrText xml:space="preserve"> PAGEREF _Toc11186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/>
              <w:szCs w:val="21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19" w:lineRule="auto"/>
            <w:textAlignment w:val="baseline"/>
            <w:rPr>
              <w:rFonts w:ascii="宋体" w:eastAsia="宋体" w:hAnsi="宋体" w:cs="宋体"/>
              <w:snapToGrid w:val="0"/>
              <w:color w:val="000000"/>
              <w:kern w:val="0"/>
              <w:sz w:val="21"/>
              <w:szCs w:val="21"/>
              <w:lang w:val="en-US" w:eastAsia="en-US" w:bidi="ar-SA"/>
            </w:rPr>
          </w:pPr>
          <w:r>
            <w:rPr>
              <w:rFonts w:ascii="宋体" w:eastAsia="宋体" w:hAnsi="宋体" w:cs="宋体"/>
              <w:szCs w:val="21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19" w:lineRule="auto"/>
        <w:textAlignment w:val="baseline"/>
        <w:rPr>
          <w:rFonts w:ascii="宋体" w:eastAsia="宋体" w:hAnsi="宋体" w:cs="宋体"/>
          <w:snapToGrid w:val="0"/>
          <w:color w:val="000000"/>
          <w:kern w:val="0"/>
          <w:sz w:val="21"/>
          <w:szCs w:val="21"/>
          <w:lang w:val="en-US" w:eastAsia="en-US" w:bidi="ar-SA"/>
        </w:rPr>
        <w:sectPr>
          <w:footerReference w:type="default" r:id="rId5"/>
          <w:pgSz w:w="11906" w:h="16839"/>
          <w:pgMar w:top="1431" w:right="1710" w:bottom="1234" w:left="1708" w:header="0" w:footer="1070" w:gutter="0"/>
          <w:cols w:num="1" w:space="720"/>
        </w:sect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_Toc28121"/>
      <w:r>
        <w:t>目的</w:t>
      </w:r>
      <w:bookmarkEnd w:id="4"/>
    </w:p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为保证公司运维服务水平和运维服务可持续性，确保为客户提供连续可靠的服务，特制定本制度。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_Toc4534"/>
      <w:r>
        <w:t>名词解释</w:t>
      </w:r>
      <w:bookmarkEnd w:id="5"/>
    </w:p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AB备份制度：是指一个岗位或环节由两人兼顾，A岗是业务主办人员，B岗是业务协办人员。当A岗因休假、培训等原因不在岗时，由熟悉A岗业务的B岗代行承办业务，保证工作的持续高效有序运转的一种工作制度。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_Toc25855"/>
      <w:r>
        <w:t>适用范围</w:t>
      </w:r>
      <w:bookmarkEnd w:id="6"/>
    </w:p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本制度适用于公司运维业务中关键岗位。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_Toc25915"/>
      <w:r>
        <w:t>备份流程及说明</w:t>
      </w:r>
      <w:bookmarkEnd w:id="7"/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B岗人选的选择要求：A岗的直接下属（优秀下属）、同级（同岗位）或者上级，对A岗主要业务及常规工作有一定的了解，能够在管理时间内熟悉A岗工作。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AB岗备份清单征集整合流程：综合部发布通知—人事专员梳理清单—运维业务分管副总审核—综合部分管领导审核—综合部备案。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AB岗备份触发：A岗人员请假(≥3天）及以上则触发该制度，A岗需要提前3天和对应B岗进行工作交接。且正式休假前3天在公司OA上发布备份通知，告知休假起止时间与备份人员姓名。当发生紧急情况，A岗电话告知B</w:t>
      </w:r>
      <w:r>
        <w:rPr>
          <w:rFonts w:ascii="宋体" w:hAnsi="宋体" w:cs="宋体" w:hint="eastAsia"/>
          <w:spacing w:val="-1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开岗进行交接，B应主动承接A岗职责。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上岗：在A正式休假后，B岗正式接任其工作，并对工作期间的工作结果负责。在此期间内，如遇到难以处理事项可向A岗本人或A岗上级进行咨询，A岗休假期间应保持电话的畅通。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工作交接：休假时间结束，B岗应告知A岗，在岗期间处理工作的有关情况，并将有关文件资料移交A岗责任人。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" w:name="_Toc4660"/>
      <w:r>
        <w:t>责任说明</w:t>
      </w:r>
      <w:bookmarkEnd w:id="8"/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将AB岗责任人合作和配合情况纳入年度考核内容，A岗责任人离开岗位未及时交代B岗位责任人，影响工作的将追究A岗责任人的责任；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B岗责任人在顶岗期间出现问题的，追究B岗责任人责任；造成不良后果，出现客户投诉的，按公司有关规定追究相关负责人和相关人员的责任。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_Toc28273"/>
      <w:r>
        <w:t>附则</w:t>
      </w:r>
      <w:bookmarkEnd w:id="9"/>
      <w:bookmarkStart w:id="10" w:name="_GoBack"/>
      <w:bookmarkEnd w:id="10"/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9" w:line="219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4"/>
          <w:sz w:val="24"/>
          <w:szCs w:val="24"/>
        </w:rPr>
        <w:t>本制度由综合部负责解释、修订。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3" w:line="219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4"/>
          <w:sz w:val="24"/>
          <w:szCs w:val="24"/>
        </w:rPr>
        <w:t>本制度自发布之日起执行。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83" w:line="219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8"/>
          <w:sz w:val="24"/>
          <w:szCs w:val="24"/>
        </w:rPr>
        <w:t>附件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_Toc11186"/>
      <w:bookmarkStart w:id="12" w:name="_Toc15732"/>
      <w:r>
        <w:rPr>
          <w:rFonts w:hint="eastAsia"/>
          <w:lang w:val="en-US" w:eastAsia="zh-CN"/>
        </w:rPr>
        <w:t>主要考核指标</w:t>
      </w:r>
      <w:bookmarkEnd w:id="11"/>
      <w:bookmarkEnd w:id="12"/>
    </w:p>
    <w:tbl>
      <w:tblPr>
        <w:tblStyle w:val="TableNormal0"/>
        <w:tblW w:w="8401" w:type="dxa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0"/>
        <w:gridCol w:w="1500"/>
        <w:gridCol w:w="3760"/>
        <w:gridCol w:w="1116"/>
        <w:gridCol w:w="885"/>
      </w:tblGrid>
      <w:tr>
        <w:tblPrEx>
          <w:tblW w:w="8401" w:type="dxa"/>
          <w:tblInd w:w="1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/>
        </w:trPr>
        <w:tc>
          <w:tcPr>
            <w:tcW w:w="1140" w:type="dxa"/>
            <w:shd w:val="clear" w:color="auto" w:fill="C0C0C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b/>
                <w:bCs/>
                <w:snapToGrid w:val="0"/>
                <w:color w:val="000000"/>
                <w:spacing w:val="-7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序号</w:t>
            </w:r>
          </w:p>
        </w:tc>
        <w:tc>
          <w:tcPr>
            <w:tcW w:w="1500" w:type="dxa"/>
            <w:shd w:val="clear" w:color="auto" w:fill="C0C0C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b/>
                <w:bCs/>
                <w:snapToGrid w:val="0"/>
                <w:color w:val="000000"/>
                <w:spacing w:val="-7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衡量指标</w:t>
            </w:r>
          </w:p>
        </w:tc>
        <w:tc>
          <w:tcPr>
            <w:tcW w:w="3760" w:type="dxa"/>
            <w:shd w:val="clear" w:color="auto" w:fill="C0C0C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b/>
                <w:bCs/>
                <w:snapToGrid w:val="0"/>
                <w:color w:val="000000"/>
                <w:spacing w:val="-7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18"/>
                <w:szCs w:val="18"/>
              </w:rPr>
              <w:t>指标计算说明</w:t>
            </w:r>
          </w:p>
        </w:tc>
        <w:tc>
          <w:tcPr>
            <w:tcW w:w="1116" w:type="dxa"/>
            <w:shd w:val="clear" w:color="auto" w:fill="C0C0C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b/>
                <w:bCs/>
                <w:snapToGrid w:val="0"/>
                <w:color w:val="000000"/>
                <w:spacing w:val="-7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b/>
                <w:bCs/>
                <w:spacing w:val="-7"/>
                <w:sz w:val="18"/>
                <w:szCs w:val="18"/>
                <w:lang w:val="en-US" w:eastAsia="zh-CN"/>
              </w:rPr>
              <w:t>考核频次</w:t>
            </w:r>
          </w:p>
        </w:tc>
        <w:tc>
          <w:tcPr>
            <w:tcW w:w="885" w:type="dxa"/>
            <w:shd w:val="clear" w:color="auto" w:fill="C0C0C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b/>
                <w:bCs/>
                <w:snapToGrid w:val="0"/>
                <w:color w:val="000000"/>
                <w:spacing w:val="-7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cs="宋体" w:hint="eastAsia"/>
                <w:b/>
                <w:bCs/>
                <w:spacing w:val="-7"/>
                <w:sz w:val="18"/>
                <w:szCs w:val="18"/>
                <w:lang w:val="en-US" w:eastAsia="zh-CN"/>
              </w:rPr>
              <w:t>目标值</w:t>
            </w:r>
          </w:p>
        </w:tc>
      </w:tr>
      <w:tr>
        <w:tblPrEx>
          <w:tblW w:w="8401" w:type="dxa"/>
          <w:tblInd w:w="1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/>
        </w:trPr>
        <w:tc>
          <w:tcPr>
            <w:tcW w:w="11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7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50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7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季度备份达成率</w:t>
            </w:r>
          </w:p>
        </w:tc>
        <w:tc>
          <w:tcPr>
            <w:tcW w:w="376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7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实际备份成功人数/计划备份人数*100%</w:t>
            </w:r>
          </w:p>
        </w:tc>
        <w:tc>
          <w:tcPr>
            <w:tcW w:w="111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7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按季度</w:t>
            </w:r>
          </w:p>
        </w:tc>
        <w:tc>
          <w:tcPr>
            <w:tcW w:w="88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7"/>
              <w:ind w:left="0" w:right="0" w:firstLine="0" w:leftChars="0" w:rightChars="0" w:firstLineChars="0"/>
              <w:jc w:val="center"/>
              <w:textAlignment w:val="baseline"/>
              <w:rPr>
                <w:rFonts w:hint="eastAsia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≥90%</w:t>
            </w:r>
          </w:p>
        </w:tc>
      </w:tr>
    </w:tbl>
    <w:p>
      <w:pPr>
        <w:pStyle w:val="BodyText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sectPr>
      <w:footerReference w:type="default" r:id="rId6"/>
      <w:pgSz w:w="11906" w:h="16839"/>
      <w:pgMar w:top="1431" w:right="1785" w:bottom="1373" w:left="1686" w:header="0" w:footer="1211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66" w:lineRule="auto"/>
      <w:ind w:left="4226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67" w:lineRule="auto"/>
      <w:ind w:left="4209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65" w:lineRule="auto"/>
      <w:ind w:left="4229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5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6A19BE6"/>
    <w:multiLevelType w:val="singleLevel"/>
    <w:tmpl w:val="B6A19BE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CD5E6D4"/>
    <w:multiLevelType w:val="singleLevel"/>
    <w:tmpl w:val="BCD5E6D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58F83CC6"/>
    <w:multiLevelType w:val="singleLevel"/>
    <w:tmpl w:val="58F83CC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doNotTrackMoves/>
  <w:defaultTabStop w:val="7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0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a1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2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footer" Target="footer3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Pages>5</Pages>
  <Words>933</Words>
  <Characters>982</Characters>
  <Application>Microsoft Office Word</Application>
  <DocSecurity>0</DocSecurity>
  <Lines>0</Lines>
  <Paragraphs>0</Paragraphs>
  <ScaleCrop>false</ScaleCrop>
  <Company/>
  <LinksUpToDate>false</LinksUpToDate>
  <CharactersWithSpaces>1022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谢永刚</dc:creator>
  <cp:lastModifiedBy>nancy杨茜</cp:lastModifiedBy>
  <cp:revision>0</cp:revision>
  <dcterms:created xsi:type="dcterms:W3CDTF">2025-08-19T20:20:00Z</dcterms:created>
  <dcterms:modified xsi:type="dcterms:W3CDTF">2026-01-07T12:49:05Z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2025-09-02T18:32:26Z</vt:filetime>
  </property>
  <property fmtid="{D5CDD505-2E9C-101B-9397-08002B2CF9AE}" pid="3" name="CRO">
    <vt:lpwstr>wqlLaW5nc29mdCBQREYgdG8gV1BTIDExNQ</vt:lpwstr>
  </property>
  <property fmtid="{D5CDD505-2E9C-101B-9397-08002B2CF9AE}" pid="4" name="ICV">
    <vt:lpwstr>5C2274D589DD4FAE898296AFEDDEE53F_13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eyJoZGlkIjoiYzZkNzQ4ZWFiZmQ4NTRhOWRkZTk3YTMwMjlmMmZhYmUiLCJ1c2VySWQiOiI0Mzg5MjI4MjYifQ==</vt:lpwstr>
  </property>
</Properties>
</file>