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  <w:rPr>
          <w:rFonts w:hint="eastAsia"/>
          <w:lang w:val="en-US" w:eastAsia="zh-CN"/>
        </w:rPr>
      </w:pPr>
      <w:bookmarkStart w:id="0" w:name="_Toc19130"/>
    </w:p>
    <w:p>
      <w:pPr>
        <w:pStyle w:val="a1"/>
        <w:bidi w:val="0"/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eastAsia"/>
          <w:lang w:val="en-US" w:eastAsia="zh-CN"/>
        </w:rPr>
        <w:t>过程框架设计管理制度</w:t>
      </w:r>
      <w:bookmarkEnd w:id="0"/>
    </w:p>
    <w:p>
      <w:pPr>
        <w:pStyle w:val="a2"/>
        <w:bidi w:val="0"/>
      </w:pPr>
      <w:bookmarkStart w:id="2" w:name="_Toc11825"/>
      <w:r>
        <w:t>江苏云储智能科技有限公司</w:t>
      </w:r>
      <w:bookmarkEnd w:id="2"/>
    </w:p>
    <w:p>
      <w:pPr>
        <w:bidi w:val="0"/>
        <w:spacing w:before="120" w:after="120"/>
        <w:jc w:val="center"/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pPr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3" w:name="_Toc9450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3"/>
    </w:p>
    <w:p>
      <w:pPr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>
        <w:tblPrEx>
          <w:tblW w:w="907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过程框架设计</w:t>
            </w:r>
            <w:r>
              <w:rPr>
                <w:rFonts w:hint="eastAsia"/>
                <w:spacing w:val="-1"/>
                <w:lang w:val="en-US" w:eastAsia="zh-CN"/>
              </w:rPr>
              <w:t>管理制度</w:t>
            </w:r>
            <w:r>
              <w:rPr>
                <w:spacing w:val="-1"/>
              </w:rPr>
              <w:t>（JSYC-ITSS-</w:t>
            </w:r>
            <w:r>
              <w:rPr>
                <w:rFonts w:eastAsia="宋体" w:hint="eastAsia"/>
                <w:spacing w:val="-1"/>
                <w:lang w:val="en-US" w:eastAsia="zh-CN"/>
              </w:rPr>
              <w:t>GCKJSJ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spacing w:before="134" w:line="220" w:lineRule="auto"/>
              <w:ind w:left="48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bidi w:val="0"/>
        <w:rPr>
          <w:rFonts w:hint="eastAsia"/>
        </w:rPr>
      </w:pPr>
    </w:p>
    <w:p>
      <w:pPr>
        <w:bidi w:val="0"/>
        <w:spacing w:line="360" w:lineRule="auto"/>
        <w:rPr>
          <w:rFonts w:ascii="宋体" w:hAnsi="宋体"/>
          <w:szCs w:val="21"/>
        </w:rPr>
      </w:pPr>
    </w:p>
    <w:p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br w:type="page"/>
      </w:r>
    </w:p>
    <w:sdt>
      <w:sdtPr>
        <w:rPr>
          <w:rFonts w:ascii="宋体" w:eastAsia="宋体" w:hAnsi="宋体" w:cs="Times New Roman"/>
          <w:kern w:val="2"/>
          <w:sz w:val="21"/>
          <w:szCs w:val="24"/>
          <w:lang w:val="en-US" w:eastAsia="zh-CN" w:bidi="ar-SA"/>
        </w:rPr>
        <w:id w:val="147464683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sz w:val="24"/>
              <w:lang w:val="en-US" w:eastAsia="zh-CN"/>
            </w:rPr>
            <w:fldChar w:fldCharType="begin"/>
          </w:r>
          <w:r>
            <w:rPr>
              <w:rFonts w:hint="default"/>
              <w:sz w:val="24"/>
              <w:lang w:val="en-US" w:eastAsia="zh-CN"/>
            </w:rPr>
            <w:instrText xml:space="preserve">TOC \o "1-3" \h \u </w:instrText>
          </w:r>
          <w:r>
            <w:rPr>
              <w:rFonts w:hint="default"/>
              <w:sz w:val="24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_Toc19130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过程框架设计管理制度</w:t>
          </w:r>
          <w:r>
            <w:tab/>
          </w:r>
          <w:r>
            <w:fldChar w:fldCharType="begin"/>
          </w:r>
          <w:r>
            <w:instrText xml:space="preserve"> PAGEREF _Toc19130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_Toc11825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_Toc11825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_Toc9450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_Toc9450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_Toc6483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_Toc6483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_Toc16010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_Toc16010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_Toc25348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_Toc25348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_Toc9959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_Toc9959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_Toc15929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运维</w:t>
          </w:r>
          <w:r>
            <w:rPr>
              <w:rFonts w:hint="default"/>
              <w:lang w:val="en-US" w:eastAsia="zh-CN"/>
            </w:rPr>
            <w:t>项目经理</w:t>
          </w:r>
          <w:r>
            <w:tab/>
          </w:r>
          <w:r>
            <w:fldChar w:fldCharType="begin"/>
          </w:r>
          <w:r>
            <w:instrText xml:space="preserve"> PAGEREF _Toc15929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_Toc10876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管理流程</w:t>
          </w:r>
          <w:r>
            <w:tab/>
          </w:r>
          <w:r>
            <w:fldChar w:fldCharType="begin"/>
          </w:r>
          <w:r>
            <w:instrText xml:space="preserve"> PAGEREF _Toc10876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_Toc32122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需求识别与分析</w:t>
          </w:r>
          <w:r>
            <w:tab/>
          </w:r>
          <w:r>
            <w:fldChar w:fldCharType="begin"/>
          </w:r>
          <w:r>
            <w:instrText xml:space="preserve"> PAGEREF _Toc32122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_Toc29152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 过程框架设计</w:t>
          </w:r>
          <w:r>
            <w:tab/>
          </w:r>
          <w:r>
            <w:fldChar w:fldCharType="begin"/>
          </w:r>
          <w:r>
            <w:instrText xml:space="preserve"> PAGEREF _Toc29152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_Toc28287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4.3. 过程框架评审</w:t>
          </w:r>
          <w:r>
            <w:tab/>
          </w:r>
          <w:r>
            <w:fldChar w:fldCharType="begin"/>
          </w:r>
          <w:r>
            <w:instrText xml:space="preserve"> PAGEREF _Toc28287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_Toc17758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4.4. 评价与改进</w:t>
          </w:r>
          <w:r>
            <w:tab/>
          </w:r>
          <w:r>
            <w:fldChar w:fldCharType="begin"/>
          </w:r>
          <w:r>
            <w:instrText xml:space="preserve"> PAGEREF _Toc17758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_Toc3064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管理原则</w:t>
          </w:r>
          <w:r>
            <w:tab/>
          </w:r>
          <w:r>
            <w:fldChar w:fldCharType="begin"/>
          </w:r>
          <w:r>
            <w:instrText xml:space="preserve"> PAGEREF _Toc3064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_Toc566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6. 关键指标</w:t>
          </w:r>
          <w:r>
            <w:tab/>
          </w:r>
          <w:r>
            <w:fldChar w:fldCharType="begin"/>
          </w:r>
          <w:r>
            <w:instrText xml:space="preserve"> PAGEREF _Toc566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_Toc32334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 相关记录和文件</w:t>
          </w:r>
          <w:r>
            <w:tab/>
          </w:r>
          <w:r>
            <w:fldChar w:fldCharType="begin"/>
          </w:r>
          <w:r>
            <w:instrText xml:space="preserve"> PAGEREF _Toc32334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>
          <w:pPr>
            <w:rPr>
              <w:rFonts w:ascii="Times New Roman" w:eastAsia="宋体" w:hAnsi="Times New Roman" w:cs="Times New Roman" w:hint="default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>
      <w:pP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Times New Roman" w:eastAsia="宋体" w:hAnsi="Times New Roman" w:cs="Times New Roman" w:hint="default"/>
          <w:kern w:val="2"/>
          <w:sz w:val="21"/>
          <w:szCs w:val="24"/>
          <w:lang w:val="en-US" w:eastAsia="zh-CN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6483"/>
      <w:r>
        <w:rPr>
          <w:rFonts w:hint="default"/>
          <w:lang w:val="en-US" w:eastAsia="zh-CN"/>
        </w:rPr>
        <w:t>目的</w:t>
      </w:r>
      <w:bookmarkEnd w:id="4"/>
    </w:p>
    <w:p>
      <w:pPr>
        <w:pStyle w:val="a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为确保公司服务过程框架能够满足运维业务和管理需求，以便指导各服务过程的设计和实施，从而提升服务质量、优化服务成本，特制定本制度。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16010"/>
      <w:r>
        <w:rPr>
          <w:rFonts w:hint="default"/>
          <w:lang w:val="en-US" w:eastAsia="zh-CN"/>
        </w:rPr>
        <w:t>范围</w:t>
      </w:r>
      <w:bookmarkEnd w:id="5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公司运维服务过程管理。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5348"/>
      <w:r>
        <w:rPr>
          <w:rFonts w:hint="default"/>
          <w:lang w:val="en-US" w:eastAsia="zh-CN"/>
        </w:rPr>
        <w:t>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9959"/>
      <w:r>
        <w:rPr>
          <w:rFonts w:hint="eastAsia"/>
          <w:lang w:val="en-US" w:eastAsia="zh-CN"/>
        </w:rPr>
        <w:t>运维实施工程师</w:t>
      </w:r>
      <w:bookmarkEnd w:id="7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1、负责开展运维业务需求、管理需求的识别与分析工作，明确过程框架管理范畴。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2、依据已确认的过程框架设计需求、相关的法律法规与标准，开展服务过程框架设计工作。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3、定期对服务过程框架进行评价，持续改进。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5929"/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</w:t>
      </w:r>
      <w:bookmarkEnd w:id="8"/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</w:t>
      </w: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开展服务过程框架设计工作。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</w:t>
      </w:r>
      <w:r>
        <w:rPr>
          <w:rFonts w:hint="eastAsia"/>
          <w:lang w:val="en-US" w:eastAsia="zh-CN"/>
        </w:rPr>
        <w:t>资源</w:t>
      </w:r>
      <w:r>
        <w:rPr>
          <w:rFonts w:hint="default"/>
          <w:lang w:val="en-US" w:eastAsia="zh-CN"/>
        </w:rPr>
        <w:t>、技术、人力、质量等各相关方对服务过程框架设计方案进行评审，确保方案符合运维业务和管理需求。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10876"/>
      <w:r>
        <w:rPr>
          <w:rFonts w:hint="default"/>
          <w:lang w:val="en-US" w:eastAsia="zh-CN"/>
        </w:rPr>
        <w:t>管理流程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32122"/>
      <w:r>
        <w:rPr>
          <w:rFonts w:hint="default"/>
          <w:lang w:val="en-US" w:eastAsia="zh-CN"/>
        </w:rPr>
        <w:t>需求识别与分析</w:t>
      </w:r>
      <w:bookmarkEnd w:id="10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充分收集和分析来自市场、技术、运维、人力、质量等各相关方关于服务需求涉及范围、目标、关键绩效指标等信息，明确过程框架涵盖范围，形成《过程框架设计需求分析报告》。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项目经理协调市场、技术、运维、人力、质量等相关方从各方面对《过程框架设计需求分析报告》进行沟通、确认，达成一致的服务过程管理需求。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9152"/>
      <w:r>
        <w:rPr>
          <w:rFonts w:hint="default"/>
          <w:lang w:val="en-US" w:eastAsia="zh-CN"/>
        </w:rPr>
        <w:t>过程框架设计</w:t>
      </w:r>
      <w:bookmarkEnd w:id="11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依据确认一致的《过程框架设计需求分析报告》以及相关标准开展服务过程框架设计工作，定义服务过程与管理范畴、服务过程之间的关系与接口、服务过程的输入输出、服务过程的关键指标等信息，形成《过程框架设计方案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8287"/>
      <w:r>
        <w:rPr>
          <w:rFonts w:hint="default"/>
          <w:lang w:val="en-US" w:eastAsia="zh-CN"/>
        </w:rPr>
        <w:t>过程框架评审</w:t>
      </w:r>
      <w:bookmarkEnd w:id="12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项目经理协调市场、技术、运维、人力、质量等相关方对《过程框架设计方案》进行评审，确保其与运维业务和管理需求的符合性。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7758"/>
      <w:r>
        <w:rPr>
          <w:rFonts w:hint="default"/>
          <w:lang w:val="en-US" w:eastAsia="zh-CN"/>
        </w:rPr>
        <w:t>评价与改进</w:t>
      </w:r>
      <w:bookmarkEnd w:id="13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运维实施工程师</w:t>
      </w:r>
      <w:r>
        <w:rPr>
          <w:rFonts w:hint="default"/>
          <w:lang w:val="en-US" w:eastAsia="zh-CN"/>
        </w:rPr>
        <w:t>定期组织市场、技术、运维、人力、质量等相关方对过程框架进行评价，针对发现的问题进行优化改进。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4" w:name="_Toc3064"/>
      <w:r>
        <w:rPr>
          <w:rFonts w:hint="default"/>
          <w:lang w:val="en-US" w:eastAsia="zh-CN"/>
        </w:rPr>
        <w:t>管理原则</w:t>
      </w:r>
      <w:bookmarkEnd w:id="14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1、过程框架应形成文件化的产出物，指导各服务过程运行。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2、过程框架应至少每</w:t>
      </w:r>
      <w:r>
        <w:rPr>
          <w:rFonts w:hint="eastAsia"/>
          <w:lang w:val="en-US" w:eastAsia="zh-CN"/>
        </w:rPr>
        <w:t>半年</w:t>
      </w:r>
      <w:r>
        <w:rPr>
          <w:rFonts w:hint="default"/>
          <w:lang w:val="en-US" w:eastAsia="zh-CN"/>
        </w:rPr>
        <w:t>评价一次，评价范围包含过程运行效能、过程指标的达成等是否满足运维业务和管理需求，视情况加以改进，确保其符合当及未来一段时间内的运维业务和管理需求。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、在服务需求发生重大变化后，应立即开展过程框架的评价与改进工作。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566"/>
      <w:r>
        <w:rPr>
          <w:rFonts w:hint="default"/>
          <w:lang w:val="en-US" w:eastAsia="zh-CN"/>
        </w:rPr>
        <w:t>关键指标</w:t>
      </w:r>
      <w:bookmarkEnd w:id="15"/>
    </w:p>
    <w:tbl>
      <w:tblPr>
        <w:tblStyle w:val="TableNormal0"/>
        <w:tblW w:w="7585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144"/>
        <w:gridCol w:w="2100"/>
        <w:gridCol w:w="1307"/>
        <w:gridCol w:w="1307"/>
      </w:tblGrid>
      <w:tr>
        <w:tblPrEx>
          <w:tblW w:w="7585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14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1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3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30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7585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144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过程框架评审次数</w:t>
            </w:r>
          </w:p>
        </w:tc>
        <w:tc>
          <w:tcPr>
            <w:tcW w:w="210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数量：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评审次数</w:t>
            </w:r>
          </w:p>
        </w:tc>
        <w:tc>
          <w:tcPr>
            <w:tcW w:w="130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半年度</w:t>
            </w:r>
          </w:p>
        </w:tc>
        <w:tc>
          <w:tcPr>
            <w:tcW w:w="1307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≥1次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32334"/>
      <w:r>
        <w:rPr>
          <w:rFonts w:hint="default"/>
          <w:lang w:val="en-US" w:eastAsia="zh-CN"/>
        </w:rPr>
        <w:t>相关记录和文件</w:t>
      </w:r>
      <w:bookmarkEnd w:id="1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《过程框架设计需求分析报告》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《过程框架设计方案》</w:t>
      </w:r>
    </w:p>
    <w:sectPr>
      <w:footerReference w:type="default" r:id="rId4"/>
      <w:pgSz w:w="11906" w:h="16838"/>
      <w:pgMar w:top="1440" w:right="1800" w:bottom="1440" w:left="180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9" w:lineRule="auto"/>
      <w:ind w:left="5927"/>
      <w:rPr>
        <w:rFonts w:ascii="Calibri" w:eastAsia="Calibri" w:hAnsi="Calibri" w:cs="Calibri"/>
        <w:sz w:val="18"/>
        <w:szCs w:val="18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1B88039"/>
    <w:multiLevelType w:val="singleLevel"/>
    <w:tmpl w:val="A1B880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styleId="NoSpacing">
    <w:name w:val="No Spacing"/>
    <w:uiPriority w:val="99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character" w:customStyle="1" w:styleId="2Char">
    <w:name w:val="标题 2 Char"/>
    <w:link w:val="Heading2"/>
    <w:qFormat/>
    <w:rPr>
      <w:rFonts w:ascii="Arial" w:eastAsia="黑体" w:hAnsi="Arial"/>
      <w:b/>
      <w:sz w:val="32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1105</Words>
  <Characters>1164</Characters>
  <Application>Microsoft Office Word</Application>
  <DocSecurity>0</DocSecurity>
  <Lines>0</Lines>
  <Paragraphs>0</Paragraphs>
  <ScaleCrop>false</ScaleCrop>
  <Company/>
  <LinksUpToDate>false</LinksUpToDate>
  <CharactersWithSpaces>1225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2025-08-03T15:18:00Z</dcterms:created>
  <dcterms:modified xsi:type="dcterms:W3CDTF">2026-01-07T11:15:54Z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