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67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服务级别管理程序</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2990"/>
      <w:r>
        <w:t>江苏云储智能科技有限公司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eastAsia="宋体" w:hAnsi="宋体" w:cs="宋体"/>
          <w:sz w:val="36"/>
          <w:szCs w:val="36"/>
        </w:rPr>
      </w:pPr>
      <w:r>
        <w:rPr>
          <w:rFonts w:ascii="宋体" w:eastAsia="宋体" w:hAnsi="宋体" w:cs="宋体"/>
          <w:spacing w:val="-2"/>
          <w:sz w:val="36"/>
          <w:szCs w:val="36"/>
        </w:rPr>
        <w:t>2025-01-04</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z w:val="36"/>
          <w:szCs w:val="36"/>
        </w:rPr>
        <w:sectPr>
          <w:pgSz w:w="11906" w:h="16839"/>
          <w:pgMar w:top="1431" w:right="1785" w:bottom="0" w:left="1785" w:header="0" w:footer="0" w:gutter="0"/>
          <w:cols w:num="1" w:space="720"/>
        </w:sectPr>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eastAsia="宋体" w:hAnsi="宋体" w:cs="宋体"/>
          <w:sz w:val="21"/>
          <w:szCs w:val="21"/>
        </w:rPr>
      </w:pPr>
      <w:bookmarkStart w:id="2" w:name="_Toc9955"/>
      <w:r>
        <w:rPr>
          <w:rFonts w:ascii="宋体" w:eastAsia="宋体" w:hAnsi="宋体" w:cs="宋体"/>
          <w:spacing w:val="-2"/>
          <w:sz w:val="21"/>
          <w:szCs w:val="21"/>
        </w:rPr>
        <w:t>文档信息</w:t>
      </w:r>
      <w:bookmarkEnd w:id="2"/>
    </w:p>
    <w:p>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rPr>
                <w:rFonts w:ascii="宋体" w:eastAsia="宋体" w:hAnsi="宋体" w:cs="宋体"/>
                <w:sz w:val="21"/>
                <w:szCs w:val="21"/>
              </w:rPr>
            </w:pPr>
            <w:r>
              <w:rPr>
                <w:rFonts w:ascii="宋体" w:eastAsia="宋体" w:hAnsi="宋体" w:cs="宋体"/>
                <w:spacing w:val="-2"/>
                <w:sz w:val="21"/>
                <w:szCs w:val="21"/>
              </w:rPr>
              <w:t>文档名称编号</w:t>
            </w:r>
          </w:p>
        </w:tc>
        <w:tc>
          <w:tcPr>
            <w:tcW w:w="7367"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rPr>
                <w:rFonts w:ascii="宋体" w:eastAsia="宋体" w:hAnsi="宋体" w:cs="宋体"/>
                <w:sz w:val="21"/>
                <w:szCs w:val="21"/>
              </w:rPr>
            </w:pPr>
            <w:r>
              <w:rPr>
                <w:rFonts w:ascii="宋体" w:eastAsia="宋体" w:hAnsi="宋体" w:cs="宋体"/>
                <w:spacing w:val="-1"/>
                <w:sz w:val="21"/>
                <w:szCs w:val="21"/>
              </w:rPr>
              <w:t>服务级别管理程序（JSYC-ITSS-FWJBGL）</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rPr>
                <w:rFonts w:ascii="宋体" w:eastAsia="宋体" w:hAnsi="宋体" w:cs="宋体"/>
                <w:sz w:val="21"/>
                <w:szCs w:val="21"/>
              </w:rPr>
            </w:pPr>
            <w:r>
              <w:rPr>
                <w:rFonts w:ascii="宋体" w:eastAsia="宋体" w:hAnsi="宋体" w:cs="宋体"/>
                <w:spacing w:val="-2"/>
                <w:sz w:val="21"/>
                <w:szCs w:val="21"/>
              </w:rPr>
              <w:t>编制单位</w:t>
            </w:r>
          </w:p>
        </w:tc>
        <w:tc>
          <w:tcPr>
            <w:tcW w:w="7367"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eastAsia="宋体" w:hAnsi="宋体" w:cs="宋体"/>
                <w:sz w:val="21"/>
                <w:szCs w:val="21"/>
              </w:rPr>
            </w:pPr>
            <w:r>
              <w:rPr>
                <w:rFonts w:ascii="宋体" w:eastAsia="宋体" w:hAnsi="宋体" w:cs="宋体"/>
                <w:spacing w:val="-1"/>
                <w:sz w:val="21"/>
                <w:szCs w:val="21"/>
              </w:rPr>
              <w:t>江苏云储智能科技有限公司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rPr>
                <w:rFonts w:ascii="宋体" w:eastAsia="宋体" w:hAnsi="宋体" w:cs="宋体"/>
                <w:sz w:val="21"/>
                <w:szCs w:val="21"/>
              </w:rPr>
            </w:pPr>
            <w:r>
              <w:rPr>
                <w:rFonts w:ascii="宋体" w:eastAsia="宋体" w:hAnsi="宋体" w:cs="宋体"/>
                <w:spacing w:val="-2"/>
                <w:sz w:val="21"/>
                <w:szCs w:val="21"/>
              </w:rPr>
              <w:t>文档版本</w:t>
            </w:r>
          </w:p>
        </w:tc>
        <w:tc>
          <w:tcPr>
            <w:tcW w:w="1555"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rPr>
                <w:rFonts w:ascii="宋体" w:eastAsia="宋体" w:hAnsi="宋体" w:cs="宋体"/>
                <w:sz w:val="21"/>
                <w:szCs w:val="21"/>
              </w:rPr>
            </w:pPr>
            <w:r>
              <w:rPr>
                <w:rFonts w:ascii="宋体" w:eastAsia="宋体" w:hAnsi="宋体" w:cs="宋体"/>
                <w:spacing w:val="-2"/>
                <w:sz w:val="21"/>
                <w:szCs w:val="21"/>
              </w:rPr>
              <w:t>版本日期</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eastAsia="宋体" w:hAnsi="宋体" w:cs="宋体"/>
                <w:sz w:val="21"/>
                <w:szCs w:val="21"/>
              </w:rPr>
            </w:pPr>
            <w:r>
              <w:rPr>
                <w:rFonts w:ascii="宋体" w:eastAsia="宋体" w:hAnsi="宋体" w:cs="宋体"/>
                <w:spacing w:val="-3"/>
                <w:sz w:val="21"/>
                <w:szCs w:val="21"/>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eastAsia="宋体" w:hAnsi="宋体" w:cs="宋体"/>
                <w:sz w:val="21"/>
                <w:szCs w:val="21"/>
              </w:rPr>
            </w:pPr>
            <w:r>
              <w:rPr>
                <w:rFonts w:ascii="宋体" w:eastAsia="宋体" w:hAnsi="宋体" w:cs="宋体"/>
                <w:spacing w:val="-5"/>
                <w:sz w:val="21"/>
                <w:szCs w:val="21"/>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rPr>
                <w:rFonts w:ascii="宋体" w:eastAsia="宋体" w:hAnsi="宋体" w:cs="宋体"/>
                <w:sz w:val="21"/>
                <w:szCs w:val="21"/>
              </w:rPr>
            </w:pPr>
            <w:r>
              <w:rPr>
                <w:rFonts w:ascii="宋体" w:eastAsia="宋体" w:hAnsi="宋体" w:cs="宋体"/>
                <w:spacing w:val="-1"/>
                <w:sz w:val="21"/>
                <w:szCs w:val="21"/>
              </w:rPr>
              <w:t>V1.0</w:t>
            </w:r>
          </w:p>
        </w:tc>
        <w:tc>
          <w:tcPr>
            <w:tcW w:w="1555" w:type="dxa"/>
          </w:tcPr>
          <w:p>
            <w:pPr>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rPr>
                <w:rFonts w:ascii="宋体" w:eastAsia="宋体" w:hAnsi="宋体" w:cs="宋体"/>
                <w:sz w:val="21"/>
                <w:szCs w:val="21"/>
              </w:rPr>
            </w:pPr>
            <w:r>
              <w:rPr>
                <w:rFonts w:ascii="宋体" w:eastAsia="宋体" w:hAnsi="宋体" w:cs="宋体"/>
                <w:spacing w:val="-2"/>
                <w:sz w:val="21"/>
                <w:szCs w:val="21"/>
              </w:rPr>
              <w:t>2025-1-4</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王朋</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rPr>
                <w:rFonts w:ascii="宋体" w:eastAsia="宋体" w:hAnsi="宋体" w:cs="宋体"/>
                <w:sz w:val="21"/>
                <w:szCs w:val="21"/>
              </w:rPr>
            </w:pPr>
            <w:r>
              <w:rPr>
                <w:rFonts w:ascii="宋体" w:eastAsia="宋体" w:hAnsi="宋体" w:cs="宋体"/>
                <w:spacing w:val="-3"/>
                <w:sz w:val="21"/>
                <w:szCs w:val="21"/>
              </w:rPr>
              <w:t>史晓玲</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236" w:bottom="0" w:left="1588" w:header="0" w:footer="0" w:gutter="0"/>
          <w:cols w:num="1" w:space="720"/>
        </w:sectPr>
      </w:pPr>
    </w:p>
    <w:p>
      <w:pPr>
        <w:pStyle w:val="BodyText"/>
        <w:keepNext w:val="0"/>
        <w:keepLines w:val="0"/>
        <w:pageBreakBefore w:val="0"/>
        <w:widowControl w:val="0"/>
        <w:kinsoku w:val="0"/>
        <w:wordWrap/>
        <w:overflowPunct/>
        <w:topLinePunct w:val="0"/>
        <w:autoSpaceDE w:val="0"/>
        <w:autoSpaceDN w:val="0"/>
        <w:bidi w:val="0"/>
        <w:adjustRightInd w:val="0"/>
        <w:snapToGrid w:val="0"/>
        <w:spacing w:line="364" w:lineRule="auto"/>
        <w:textAlignment w:val="baseline"/>
      </w:pPr>
    </w:p>
    <w:sdt>
      <w:sdtPr>
        <w:rPr>
          <w:rFonts w:ascii="宋体" w:eastAsia="宋体" w:hAnsi="宋体" w:cs="Arial"/>
          <w:snapToGrid w:val="0"/>
          <w:color w:val="000000"/>
          <w:kern w:val="0"/>
          <w:sz w:val="21"/>
          <w:szCs w:val="21"/>
          <w:lang w:val="en-US" w:eastAsia="en-US" w:bidi="ar-SA"/>
        </w:rPr>
        <w:id w:val="147480924"/>
        <w:docPartObj>
          <w:docPartGallery w:val="Table of Contents"/>
          <w:docPartUnique/>
        </w:docPartObj>
      </w:sdtPr>
      <w:sdtEndPr>
        <w:rPr>
          <w:rFonts w:ascii="Microsoft JhengHei" w:eastAsia="Microsoft JhengHei" w:hAnsi="Microsoft JhengHei" w:cs="Microsoft JhengHei"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468"/>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_Toc6763 </w:instrText>
          </w:r>
          <w:r>
            <w:rPr>
              <w:rFonts w:ascii="Microsoft JhengHei" w:eastAsia="Microsoft JhengHei" w:hAnsi="Microsoft JhengHei" w:cs="Microsoft JhengHei" w:hint="eastAsia"/>
              <w:szCs w:val="24"/>
            </w:rPr>
            <w:fldChar w:fldCharType="separate"/>
          </w:r>
          <w:r>
            <w:t>服务级别管理程序</w:t>
          </w:r>
          <w:r>
            <w:tab/>
          </w:r>
          <w:r>
            <w:fldChar w:fldCharType="begin"/>
          </w:r>
          <w:r>
            <w:instrText xml:space="preserve"> PAGEREF _Toc6763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_Toc22990 </w:instrText>
          </w:r>
          <w:r>
            <w:rPr>
              <w:rFonts w:ascii="Microsoft JhengHei" w:eastAsia="Microsoft JhengHei" w:hAnsi="Microsoft JhengHei" w:cs="Microsoft JhengHei" w:hint="eastAsia"/>
              <w:szCs w:val="24"/>
            </w:rPr>
            <w:fldChar w:fldCharType="separate"/>
          </w:r>
          <w:r>
            <w:t>江苏云储智能科技有限公司</w:t>
          </w:r>
          <w:r>
            <w:tab/>
          </w:r>
          <w:r>
            <w:fldChar w:fldCharType="begin"/>
          </w:r>
          <w:r>
            <w:instrText xml:space="preserve"> PAGEREF _Toc22990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_Toc9955 </w:instrText>
          </w:r>
          <w:r>
            <w:rPr>
              <w:rFonts w:ascii="Microsoft JhengHei" w:eastAsia="Microsoft JhengHei" w:hAnsi="Microsoft JhengHei" w:cs="Microsoft JhengHei" w:hint="eastAsia"/>
              <w:szCs w:val="24"/>
            </w:rPr>
            <w:fldChar w:fldCharType="separate"/>
          </w:r>
          <w:r>
            <w:rPr>
              <w:rFonts w:ascii="宋体" w:eastAsia="宋体" w:hAnsi="宋体" w:cs="宋体"/>
              <w:spacing w:val="-2"/>
              <w:szCs w:val="21"/>
            </w:rPr>
            <w:t>文档信息</w:t>
          </w:r>
          <w:r>
            <w:tab/>
          </w:r>
          <w:r>
            <w:fldChar w:fldCharType="begin"/>
          </w:r>
          <w:r>
            <w:instrText xml:space="preserve"> PAGEREF _Toc9955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_Toc1624 </w:instrText>
          </w:r>
          <w:r>
            <w:rPr>
              <w:rFonts w:ascii="Microsoft JhengHei" w:eastAsia="Microsoft JhengHei" w:hAnsi="Microsoft JhengHei" w:cs="Microsoft JhengHei" w:hint="eastAsia"/>
              <w:szCs w:val="24"/>
            </w:rPr>
            <w:fldChar w:fldCharType="separate"/>
          </w:r>
          <w:r>
            <w:rPr>
              <w:rFonts w:hint="default"/>
            </w:rPr>
            <w:t xml:space="preserve">1. </w:t>
          </w:r>
          <w:r>
            <w:t>目的</w:t>
          </w:r>
          <w:r>
            <w:tab/>
          </w:r>
          <w:r>
            <w:fldChar w:fldCharType="begin"/>
          </w:r>
          <w:r>
            <w:instrText xml:space="preserve"> PAGEREF _Toc1624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_Toc6803 </w:instrText>
          </w:r>
          <w:r>
            <w:rPr>
              <w:rFonts w:ascii="Microsoft JhengHei" w:eastAsia="Microsoft JhengHei" w:hAnsi="Microsoft JhengHei" w:cs="Microsoft JhengHei" w:hint="eastAsia"/>
              <w:szCs w:val="24"/>
            </w:rPr>
            <w:fldChar w:fldCharType="separate"/>
          </w:r>
          <w:r>
            <w:rPr>
              <w:rFonts w:hint="default"/>
            </w:rPr>
            <w:t xml:space="preserve">2. </w:t>
          </w:r>
          <w:r>
            <w:t>适用范围</w:t>
          </w:r>
          <w:r>
            <w:tab/>
          </w:r>
          <w:r>
            <w:fldChar w:fldCharType="begin"/>
          </w:r>
          <w:r>
            <w:instrText xml:space="preserve"> PAGEREF _Toc6803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_Toc29187 </w:instrText>
          </w:r>
          <w:r>
            <w:rPr>
              <w:rFonts w:ascii="Microsoft JhengHei" w:eastAsia="Microsoft JhengHei" w:hAnsi="Microsoft JhengHei" w:cs="Microsoft JhengHei" w:hint="eastAsia"/>
              <w:szCs w:val="24"/>
            </w:rPr>
            <w:fldChar w:fldCharType="separate"/>
          </w:r>
          <w:r>
            <w:rPr>
              <w:rFonts w:hint="default"/>
            </w:rPr>
            <w:t xml:space="preserve">3. </w:t>
          </w:r>
          <w:r>
            <w:t>术语、缩略词和定义</w:t>
          </w:r>
          <w:r>
            <w:tab/>
          </w:r>
          <w:r>
            <w:fldChar w:fldCharType="begin"/>
          </w:r>
          <w:r>
            <w:instrText xml:space="preserve"> PAGEREF _Toc29187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_Toc27519 </w:instrText>
          </w:r>
          <w:r>
            <w:rPr>
              <w:rFonts w:ascii="Microsoft JhengHei" w:eastAsia="Microsoft JhengHei" w:hAnsi="Microsoft JhengHei" w:cs="Microsoft JhengHei" w:hint="eastAsia"/>
              <w:szCs w:val="24"/>
            </w:rPr>
            <w:fldChar w:fldCharType="separate"/>
          </w:r>
          <w:r>
            <w:rPr>
              <w:rFonts w:hint="default"/>
            </w:rPr>
            <w:t xml:space="preserve">4. </w:t>
          </w:r>
          <w:r>
            <w:t>角色与职责</w:t>
          </w:r>
          <w:r>
            <w:tab/>
          </w:r>
          <w:r>
            <w:fldChar w:fldCharType="begin"/>
          </w:r>
          <w:r>
            <w:instrText xml:space="preserve"> PAGEREF _Toc27519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_Toc2838 </w:instrText>
          </w:r>
          <w:r>
            <w:rPr>
              <w:rFonts w:ascii="Microsoft JhengHei" w:eastAsia="Microsoft JhengHei" w:hAnsi="Microsoft JhengHei" w:cs="Microsoft JhengHei" w:hint="eastAsia"/>
              <w:szCs w:val="24"/>
            </w:rPr>
            <w:fldChar w:fldCharType="separate"/>
          </w:r>
          <w:r>
            <w:rPr>
              <w:rFonts w:hint="default"/>
            </w:rPr>
            <w:t xml:space="preserve">5. </w:t>
          </w:r>
          <w:r>
            <w:t>服务级别管理流程</w:t>
          </w:r>
          <w:r>
            <w:tab/>
          </w:r>
          <w:r>
            <w:fldChar w:fldCharType="begin"/>
          </w:r>
          <w:r>
            <w:instrText xml:space="preserve"> PAGEREF _Toc2838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_Toc9695 </w:instrText>
          </w:r>
          <w:r>
            <w:rPr>
              <w:rFonts w:ascii="Microsoft JhengHei" w:eastAsia="Microsoft JhengHei" w:hAnsi="Microsoft JhengHei" w:cs="Microsoft JhengHei" w:hint="eastAsia"/>
              <w:szCs w:val="24"/>
            </w:rPr>
            <w:fldChar w:fldCharType="separate"/>
          </w:r>
          <w:r>
            <w:rPr>
              <w:rFonts w:hint="default"/>
            </w:rPr>
            <w:t xml:space="preserve">5.1. </w:t>
          </w:r>
          <w:r>
            <w:t>流程原则</w:t>
          </w:r>
          <w:r>
            <w:tab/>
          </w:r>
          <w:r>
            <w:fldChar w:fldCharType="begin"/>
          </w:r>
          <w:r>
            <w:instrText xml:space="preserve"> PAGEREF _Toc9695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_Toc20429 </w:instrText>
          </w:r>
          <w:r>
            <w:rPr>
              <w:rFonts w:ascii="Microsoft JhengHei" w:eastAsia="Microsoft JhengHei" w:hAnsi="Microsoft JhengHei" w:cs="Microsoft JhengHei" w:hint="eastAsia"/>
              <w:szCs w:val="24"/>
            </w:rPr>
            <w:fldChar w:fldCharType="separate"/>
          </w:r>
          <w:r>
            <w:rPr>
              <w:rFonts w:hint="default"/>
            </w:rPr>
            <w:t xml:space="preserve">5.1.1. </w:t>
          </w:r>
          <w:r>
            <w:t>流程触发条件</w:t>
          </w:r>
          <w:r>
            <w:tab/>
          </w:r>
          <w:r>
            <w:fldChar w:fldCharType="begin"/>
          </w:r>
          <w:r>
            <w:instrText xml:space="preserve"> PAGEREF _Toc20429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_Toc28248 </w:instrText>
          </w:r>
          <w:r>
            <w:rPr>
              <w:rFonts w:ascii="Microsoft JhengHei" w:eastAsia="Microsoft JhengHei" w:hAnsi="Microsoft JhengHei" w:cs="Microsoft JhengHei" w:hint="eastAsia"/>
              <w:szCs w:val="24"/>
            </w:rPr>
            <w:fldChar w:fldCharType="separate"/>
          </w:r>
          <w:r>
            <w:rPr>
              <w:rFonts w:hint="default"/>
            </w:rPr>
            <w:t xml:space="preserve">5.1.2. </w:t>
          </w:r>
          <w:r>
            <w:t>流程输入</w:t>
          </w:r>
          <w:r>
            <w:tab/>
          </w:r>
          <w:r>
            <w:fldChar w:fldCharType="begin"/>
          </w:r>
          <w:r>
            <w:instrText xml:space="preserve"> PAGEREF _Toc28248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_Toc23592 </w:instrText>
          </w:r>
          <w:r>
            <w:rPr>
              <w:rFonts w:ascii="Microsoft JhengHei" w:eastAsia="Microsoft JhengHei" w:hAnsi="Microsoft JhengHei" w:cs="Microsoft JhengHei" w:hint="eastAsia"/>
              <w:szCs w:val="24"/>
            </w:rPr>
            <w:fldChar w:fldCharType="separate"/>
          </w:r>
          <w:r>
            <w:rPr>
              <w:rFonts w:hint="default"/>
            </w:rPr>
            <w:t xml:space="preserve">5.1.3. </w:t>
          </w:r>
          <w:r>
            <w:t>流程输出</w:t>
          </w:r>
          <w:r>
            <w:tab/>
          </w:r>
          <w:r>
            <w:fldChar w:fldCharType="begin"/>
          </w:r>
          <w:r>
            <w:instrText xml:space="preserve"> PAGEREF _Toc23592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_Toc6930 </w:instrText>
          </w:r>
          <w:r>
            <w:rPr>
              <w:rFonts w:ascii="Microsoft JhengHei" w:eastAsia="Microsoft JhengHei" w:hAnsi="Microsoft JhengHei" w:cs="Microsoft JhengHei" w:hint="eastAsia"/>
              <w:szCs w:val="24"/>
            </w:rPr>
            <w:fldChar w:fldCharType="separate"/>
          </w:r>
          <w:r>
            <w:rPr>
              <w:rFonts w:hint="default"/>
            </w:rPr>
            <w:t xml:space="preserve">5.2. </w:t>
          </w:r>
          <w:r>
            <w:t>服务级别管理流程图</w:t>
          </w:r>
          <w:r>
            <w:tab/>
          </w:r>
          <w:r>
            <w:fldChar w:fldCharType="begin"/>
          </w:r>
          <w:r>
            <w:instrText xml:space="preserve"> PAGEREF _Toc6930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_Toc22321 </w:instrText>
          </w:r>
          <w:r>
            <w:rPr>
              <w:rFonts w:ascii="Microsoft JhengHei" w:eastAsia="Microsoft JhengHei" w:hAnsi="Microsoft JhengHei" w:cs="Microsoft JhengHei" w:hint="eastAsia"/>
              <w:szCs w:val="24"/>
            </w:rPr>
            <w:fldChar w:fldCharType="separate"/>
          </w:r>
          <w:r>
            <w:rPr>
              <w:rFonts w:hint="default"/>
            </w:rPr>
            <w:t xml:space="preserve">5.3. </w:t>
          </w:r>
          <w:r>
            <w:t>活动说明</w:t>
          </w:r>
          <w:r>
            <w:tab/>
          </w:r>
          <w:r>
            <w:fldChar w:fldCharType="begin"/>
          </w:r>
          <w:r>
            <w:instrText xml:space="preserve"> PAGEREF _Toc22321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_Toc17007 </w:instrText>
          </w:r>
          <w:r>
            <w:rPr>
              <w:rFonts w:ascii="Microsoft JhengHei" w:eastAsia="Microsoft JhengHei" w:hAnsi="Microsoft JhengHei" w:cs="Microsoft JhengHei" w:hint="eastAsia"/>
              <w:szCs w:val="24"/>
            </w:rPr>
            <w:fldChar w:fldCharType="separate"/>
          </w:r>
          <w:r>
            <w:rPr>
              <w:rFonts w:hint="default"/>
            </w:rPr>
            <w:t xml:space="preserve">5.3.1. </w:t>
          </w:r>
          <w:r>
            <w:t>识别客户需求</w:t>
          </w:r>
          <w:r>
            <w:tab/>
          </w:r>
          <w:r>
            <w:fldChar w:fldCharType="begin"/>
          </w:r>
          <w:r>
            <w:instrText xml:space="preserve"> PAGEREF _Toc17007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_Toc17240 </w:instrText>
          </w:r>
          <w:r>
            <w:rPr>
              <w:rFonts w:ascii="Microsoft JhengHei" w:eastAsia="Microsoft JhengHei" w:hAnsi="Microsoft JhengHei" w:cs="Microsoft JhengHei" w:hint="eastAsia"/>
              <w:szCs w:val="24"/>
            </w:rPr>
            <w:fldChar w:fldCharType="separate"/>
          </w:r>
          <w:r>
            <w:rPr>
              <w:rFonts w:hint="default"/>
            </w:rPr>
            <w:t xml:space="preserve">5.3.2. </w:t>
          </w:r>
          <w:r>
            <w:t>定义服务级别</w:t>
          </w:r>
          <w:r>
            <w:tab/>
          </w:r>
          <w:r>
            <w:fldChar w:fldCharType="begin"/>
          </w:r>
          <w:r>
            <w:instrText xml:space="preserve"> PAGEREF _Toc17240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_Toc21603 </w:instrText>
          </w:r>
          <w:r>
            <w:rPr>
              <w:rFonts w:ascii="Microsoft JhengHei" w:eastAsia="Microsoft JhengHei" w:hAnsi="Microsoft JhengHei" w:cs="Microsoft JhengHei" w:hint="eastAsia"/>
              <w:szCs w:val="24"/>
            </w:rPr>
            <w:fldChar w:fldCharType="separate"/>
          </w:r>
          <w:r>
            <w:rPr>
              <w:rFonts w:hint="default"/>
            </w:rPr>
            <w:t xml:space="preserve">5.3.3. </w:t>
          </w:r>
          <w:r>
            <w:t>SLA的签订</w:t>
          </w:r>
          <w:r>
            <w:tab/>
          </w:r>
          <w:r>
            <w:fldChar w:fldCharType="begin"/>
          </w:r>
          <w:r>
            <w:instrText xml:space="preserve"> PAGEREF _Toc21603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_Toc4829 </w:instrText>
          </w:r>
          <w:r>
            <w:rPr>
              <w:rFonts w:ascii="Microsoft JhengHei" w:eastAsia="Microsoft JhengHei" w:hAnsi="Microsoft JhengHei" w:cs="Microsoft JhengHei" w:hint="eastAsia"/>
              <w:szCs w:val="24"/>
            </w:rPr>
            <w:fldChar w:fldCharType="separate"/>
          </w:r>
          <w:r>
            <w:rPr>
              <w:rFonts w:hint="default"/>
            </w:rPr>
            <w:t xml:space="preserve">5.3.4. </w:t>
          </w:r>
          <w:r>
            <w:t>SLA的实施和监控</w:t>
          </w:r>
          <w:r>
            <w:tab/>
          </w:r>
          <w:r>
            <w:fldChar w:fldCharType="begin"/>
          </w:r>
          <w:r>
            <w:instrText xml:space="preserve"> PAGEREF _Toc4829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_Toc15307 </w:instrText>
          </w:r>
          <w:r>
            <w:rPr>
              <w:rFonts w:ascii="Microsoft JhengHei" w:eastAsia="Microsoft JhengHei" w:hAnsi="Microsoft JhengHei" w:cs="Microsoft JhengHei" w:hint="eastAsia"/>
              <w:szCs w:val="24"/>
            </w:rPr>
            <w:fldChar w:fldCharType="separate"/>
          </w:r>
          <w:r>
            <w:rPr>
              <w:rFonts w:hint="default"/>
            </w:rPr>
            <w:t xml:space="preserve">5.3.5. </w:t>
          </w:r>
          <w:r>
            <w:t>服务级别评审</w:t>
          </w:r>
          <w:r>
            <w:tab/>
          </w:r>
          <w:r>
            <w:fldChar w:fldCharType="begin"/>
          </w:r>
          <w:r>
            <w:instrText xml:space="preserve"> PAGEREF _Toc15307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_Toc10336 </w:instrText>
          </w:r>
          <w:r>
            <w:rPr>
              <w:rFonts w:ascii="Microsoft JhengHei" w:eastAsia="Microsoft JhengHei" w:hAnsi="Microsoft JhengHei" w:cs="Microsoft JhengHei" w:hint="eastAsia"/>
              <w:szCs w:val="24"/>
            </w:rPr>
            <w:fldChar w:fldCharType="separate"/>
          </w:r>
          <w:r>
            <w:rPr>
              <w:rFonts w:hint="default"/>
              <w:lang w:val="en-US" w:eastAsia="zh-CN"/>
            </w:rPr>
            <w:t xml:space="preserve">5.3.6. </w:t>
          </w:r>
          <w:r>
            <w:rPr>
              <w:rFonts w:hint="eastAsia"/>
              <w:lang w:val="en-US" w:eastAsia="zh-CN"/>
            </w:rPr>
            <w:t>服务级别改进</w:t>
          </w:r>
          <w:r>
            <w:tab/>
          </w:r>
          <w:r>
            <w:fldChar w:fldCharType="begin"/>
          </w:r>
          <w:r>
            <w:instrText xml:space="preserve"> PAGEREF _Toc10336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_Toc12079 </w:instrText>
          </w:r>
          <w:r>
            <w:rPr>
              <w:rFonts w:ascii="Microsoft JhengHei" w:eastAsia="Microsoft JhengHei" w:hAnsi="Microsoft JhengHei" w:cs="Microsoft JhengHei" w:hint="eastAsia"/>
              <w:szCs w:val="24"/>
            </w:rPr>
            <w:fldChar w:fldCharType="separate"/>
          </w:r>
          <w:r>
            <w:rPr>
              <w:rFonts w:hint="default"/>
            </w:rPr>
            <w:t xml:space="preserve">5.4. </w:t>
          </w:r>
          <w:r>
            <w:t>关键成功因素</w:t>
          </w:r>
          <w:r>
            <w:tab/>
          </w:r>
          <w:r>
            <w:fldChar w:fldCharType="begin"/>
          </w:r>
          <w:r>
            <w:instrText xml:space="preserve"> PAGEREF _Toc12079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_Toc27916 </w:instrText>
          </w:r>
          <w:r>
            <w:rPr>
              <w:rFonts w:ascii="Microsoft JhengHei" w:eastAsia="Microsoft JhengHei" w:hAnsi="Microsoft JhengHei" w:cs="Microsoft JhengHei" w:hint="eastAsia"/>
              <w:szCs w:val="24"/>
            </w:rPr>
            <w:fldChar w:fldCharType="separate"/>
          </w:r>
          <w:r>
            <w:rPr>
              <w:rFonts w:hint="default"/>
            </w:rPr>
            <w:t xml:space="preserve">5.5. </w:t>
          </w:r>
          <w:r>
            <w:t>可能存在的风险</w:t>
          </w:r>
          <w:r>
            <w:tab/>
          </w:r>
          <w:r>
            <w:fldChar w:fldCharType="begin"/>
          </w:r>
          <w:r>
            <w:instrText xml:space="preserve"> PAGEREF _Toc27916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_Toc21708 </w:instrText>
          </w:r>
          <w:r>
            <w:rPr>
              <w:rFonts w:ascii="Microsoft JhengHei" w:eastAsia="Microsoft JhengHei" w:hAnsi="Microsoft JhengHei" w:cs="Microsoft JhengHei" w:hint="eastAsia"/>
              <w:szCs w:val="24"/>
            </w:rPr>
            <w:fldChar w:fldCharType="separate"/>
          </w:r>
          <w:r>
            <w:rPr>
              <w:rFonts w:hint="default"/>
            </w:rPr>
            <w:t xml:space="preserve">5.6. </w:t>
          </w:r>
          <w:r>
            <w:t>与其他流程的关系</w:t>
          </w:r>
          <w:r>
            <w:tab/>
          </w:r>
          <w:r>
            <w:fldChar w:fldCharType="begin"/>
          </w:r>
          <w:r>
            <w:instrText xml:space="preserve"> PAGEREF _Toc21708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_Toc12533 </w:instrText>
          </w:r>
          <w:r>
            <w:rPr>
              <w:rFonts w:ascii="Microsoft JhengHei" w:eastAsia="Microsoft JhengHei" w:hAnsi="Microsoft JhengHei" w:cs="Microsoft JhengHei" w:hint="eastAsia"/>
              <w:szCs w:val="24"/>
            </w:rPr>
            <w:fldChar w:fldCharType="separate"/>
          </w:r>
          <w:r>
            <w:rPr>
              <w:rFonts w:hint="default"/>
            </w:rPr>
            <w:t xml:space="preserve">5.6.1. </w:t>
          </w:r>
          <w:r>
            <w:t>与事件管理和问题管理</w:t>
          </w:r>
          <w:r>
            <w:tab/>
          </w:r>
          <w:r>
            <w:fldChar w:fldCharType="begin"/>
          </w:r>
          <w:r>
            <w:instrText xml:space="preserve"> PAGEREF _Toc12533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_Toc15339 </w:instrText>
          </w:r>
          <w:r>
            <w:rPr>
              <w:rFonts w:ascii="Microsoft JhengHei" w:eastAsia="Microsoft JhengHei" w:hAnsi="Microsoft JhengHei" w:cs="Microsoft JhengHei" w:hint="eastAsia"/>
              <w:szCs w:val="24"/>
            </w:rPr>
            <w:fldChar w:fldCharType="separate"/>
          </w:r>
          <w:r>
            <w:rPr>
              <w:rFonts w:hint="default"/>
            </w:rPr>
            <w:t xml:space="preserve">5.6.2. </w:t>
          </w:r>
          <w:r>
            <w:t>与变更管理和发布管理</w:t>
          </w:r>
          <w:r>
            <w:tab/>
          </w:r>
          <w:r>
            <w:fldChar w:fldCharType="begin"/>
          </w:r>
          <w:r>
            <w:instrText xml:space="preserve"> PAGEREF _Toc15339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_Toc28586 </w:instrText>
          </w:r>
          <w:r>
            <w:rPr>
              <w:rFonts w:ascii="Microsoft JhengHei" w:eastAsia="Microsoft JhengHei" w:hAnsi="Microsoft JhengHei" w:cs="Microsoft JhengHei" w:hint="eastAsia"/>
              <w:szCs w:val="24"/>
            </w:rPr>
            <w:fldChar w:fldCharType="separate"/>
          </w:r>
          <w:r>
            <w:rPr>
              <w:rFonts w:hint="default"/>
            </w:rPr>
            <w:t xml:space="preserve">5.6.3. </w:t>
          </w:r>
          <w:r>
            <w:t>与配置管理</w:t>
          </w:r>
          <w:r>
            <w:tab/>
          </w:r>
          <w:r>
            <w:fldChar w:fldCharType="begin"/>
          </w:r>
          <w:r>
            <w:instrText xml:space="preserve"> PAGEREF _Toc28586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_Toc32189 </w:instrText>
          </w:r>
          <w:r>
            <w:rPr>
              <w:rFonts w:ascii="Microsoft JhengHei" w:eastAsia="Microsoft JhengHei" w:hAnsi="Microsoft JhengHei" w:cs="Microsoft JhengHei" w:hint="eastAsia"/>
              <w:szCs w:val="24"/>
            </w:rPr>
            <w:fldChar w:fldCharType="separate"/>
          </w:r>
          <w:r>
            <w:rPr>
              <w:rFonts w:hint="default"/>
            </w:rPr>
            <w:t xml:space="preserve">5.7. </w:t>
          </w:r>
          <w:r>
            <w:t>考核指标</w:t>
          </w:r>
          <w:r>
            <w:tab/>
          </w:r>
          <w:r>
            <w:fldChar w:fldCharType="begin"/>
          </w:r>
          <w:r>
            <w:instrText xml:space="preserve"> PAGEREF _Toc32189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_Toc8708 </w:instrText>
          </w:r>
          <w:r>
            <w:rPr>
              <w:rFonts w:ascii="Microsoft JhengHei" w:eastAsia="Microsoft JhengHei" w:hAnsi="Microsoft JhengHei" w:cs="Microsoft JhengHei" w:hint="eastAsia"/>
              <w:szCs w:val="24"/>
            </w:rPr>
            <w:fldChar w:fldCharType="separate"/>
          </w:r>
          <w:r>
            <w:rPr>
              <w:rFonts w:hint="default"/>
            </w:rPr>
            <w:t xml:space="preserve">5.8. </w:t>
          </w:r>
          <w:r>
            <w:t>相关政策</w:t>
          </w:r>
          <w:r>
            <w:tab/>
          </w:r>
          <w:r>
            <w:fldChar w:fldCharType="begin"/>
          </w:r>
          <w:r>
            <w:instrText xml:space="preserve"> PAGEREF _Toc8708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_Toc10844 </w:instrText>
          </w:r>
          <w:r>
            <w:rPr>
              <w:rFonts w:ascii="Microsoft JhengHei" w:eastAsia="Microsoft JhengHei" w:hAnsi="Microsoft JhengHei" w:cs="Microsoft JhengHei" w:hint="eastAsia"/>
              <w:szCs w:val="24"/>
            </w:rPr>
            <w:fldChar w:fldCharType="separate"/>
          </w:r>
          <w:r>
            <w:rPr>
              <w:rFonts w:hint="default"/>
            </w:rPr>
            <w:t xml:space="preserve">5.8.1. </w:t>
          </w:r>
          <w:r>
            <w:t>常规方针</w:t>
          </w:r>
          <w:r>
            <w:tab/>
          </w:r>
          <w:r>
            <w:fldChar w:fldCharType="begin"/>
          </w:r>
          <w:r>
            <w:instrText xml:space="preserve"> PAGEREF _Toc10844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_Toc20408 </w:instrText>
          </w:r>
          <w:r>
            <w:rPr>
              <w:rFonts w:ascii="Microsoft JhengHei" w:eastAsia="Microsoft JhengHei" w:hAnsi="Microsoft JhengHei" w:cs="Microsoft JhengHei" w:hint="eastAsia"/>
              <w:szCs w:val="24"/>
            </w:rPr>
            <w:fldChar w:fldCharType="separate"/>
          </w:r>
          <w:r>
            <w:rPr>
              <w:rFonts w:hint="default"/>
            </w:rPr>
            <w:t xml:space="preserve">5.8.2. </w:t>
          </w:r>
          <w:r>
            <w:t>责任人方针</w:t>
          </w:r>
          <w:r>
            <w:tab/>
          </w:r>
          <w:r>
            <w:fldChar w:fldCharType="begin"/>
          </w:r>
          <w:r>
            <w:instrText xml:space="preserve"> PAGEREF _Toc20408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_Toc2728 </w:instrText>
          </w:r>
          <w:r>
            <w:rPr>
              <w:rFonts w:ascii="Microsoft JhengHei" w:eastAsia="Microsoft JhengHei" w:hAnsi="Microsoft JhengHei" w:cs="Microsoft JhengHei" w:hint="eastAsia"/>
              <w:szCs w:val="24"/>
            </w:rPr>
            <w:fldChar w:fldCharType="separate"/>
          </w:r>
          <w:r>
            <w:rPr>
              <w:rFonts w:hint="default"/>
            </w:rPr>
            <w:t xml:space="preserve">6. </w:t>
          </w:r>
          <w:r>
            <w:t>相关文件及模板</w:t>
          </w:r>
          <w:r>
            <w:tab/>
          </w:r>
          <w:r>
            <w:fldChar w:fldCharType="begin"/>
          </w:r>
          <w:r>
            <w:instrText xml:space="preserve"> PAGEREF _Toc2728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Microsoft JhengHei" w:eastAsia="Microsoft JhengHei" w:hAnsi="Microsoft JhengHei" w:cs="Microsoft JhengHei" w:hint="eastAsia"/>
              <w:snapToGrid w:val="0"/>
              <w:color w:val="000000"/>
              <w:kern w:val="0"/>
              <w:sz w:val="24"/>
              <w:szCs w:val="24"/>
              <w:lang w:val="en-US" w:eastAsia="en-US" w:bidi="ar-SA"/>
            </w:rPr>
          </w:pPr>
          <w:r>
            <w:rPr>
              <w:rFonts w:ascii="Microsoft JhengHei" w:eastAsia="Microsoft JhengHei" w:hAnsi="Microsoft JhengHei" w:cs="Microsoft JhengHei"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1624"/>
      <w:r>
        <w:t>目的</w:t>
      </w:r>
      <w:bookmarkEnd w:id="3"/>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服务级别管理（</w:t>
      </w:r>
      <w:r>
        <w:rPr>
          <w:rFonts w:ascii="Calibri" w:eastAsia="Calibri" w:hAnsi="Calibri" w:cs="Calibri"/>
          <w:sz w:val="24"/>
          <w:szCs w:val="24"/>
        </w:rPr>
        <w:t>SLM</w:t>
      </w:r>
      <w:r>
        <w:rPr>
          <w:rFonts w:ascii="宋体" w:eastAsia="宋体" w:hAnsi="宋体" w:cs="宋体"/>
          <w:sz w:val="24"/>
          <w:szCs w:val="24"/>
        </w:rPr>
        <w:t>）是为确保对整个运维服务</w:t>
      </w:r>
      <w:r>
        <w:rPr>
          <w:rFonts w:ascii="宋体" w:eastAsia="宋体" w:hAnsi="宋体" w:cs="宋体"/>
          <w:spacing w:val="-1"/>
          <w:sz w:val="24"/>
          <w:szCs w:val="24"/>
        </w:rPr>
        <w:t>组织中所有运维服务及其</w:t>
      </w:r>
      <w:r>
        <w:rPr>
          <w:rFonts w:ascii="宋体" w:eastAsia="宋体" w:hAnsi="宋体" w:cs="宋体"/>
          <w:sz w:val="24"/>
          <w:szCs w:val="24"/>
        </w:rPr>
        <w:t>绩效以专业一致的方式进行衡量，并且服务和产生</w:t>
      </w:r>
      <w:r>
        <w:rPr>
          <w:rFonts w:ascii="宋体" w:eastAsia="宋体" w:hAnsi="宋体" w:cs="宋体"/>
          <w:spacing w:val="-1"/>
          <w:sz w:val="24"/>
          <w:szCs w:val="24"/>
        </w:rPr>
        <w:t>的报告符合业务和客户的需</w:t>
      </w:r>
      <w:r>
        <w:rPr>
          <w:rFonts w:ascii="宋体" w:eastAsia="宋体" w:hAnsi="宋体" w:cs="宋体"/>
          <w:spacing w:val="-5"/>
          <w:sz w:val="24"/>
          <w:szCs w:val="24"/>
        </w:rPr>
        <w:t>要。具体目的包括以下几项：</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通过对运维服务绩效的协商、监控、评价和报告等一整套相对固定的</w:t>
      </w:r>
      <w:r>
        <w:rPr>
          <w:rFonts w:hint="eastAsia"/>
          <w:lang w:val="en-US" w:eastAsia="zh-CN"/>
        </w:rPr>
        <w:t>运维</w:t>
      </w:r>
      <w:r>
        <w:t>流程，来维持和改进运维服务的质量，使之既符合业务需求，又满足成本约束的要求；</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采取适当的行动来消除或改进不符合级别要求的运维服务；</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提高客户满意度以改善与客户的关系；</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督促运维服务提供方。为了规范服务级别管理过程，特制定本文档。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6803"/>
      <w:r>
        <w:t>适用范围</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本文档适用于服务级别管理过程。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9187"/>
      <w:r>
        <w:t>术语、缩略词和定义</w:t>
      </w:r>
      <w:bookmarkEnd w:id="5"/>
    </w:p>
    <w:p>
      <w:pPr>
        <w:keepNext w:val="0"/>
        <w:keepLines w:val="0"/>
        <w:pageBreakBefore w:val="0"/>
        <w:widowControl w:val="0"/>
        <w:kinsoku w:val="0"/>
        <w:wordWrap/>
        <w:overflowPunct/>
        <w:topLinePunct w:val="0"/>
        <w:autoSpaceDE w:val="0"/>
        <w:autoSpaceDN w:val="0"/>
        <w:bidi w:val="0"/>
        <w:adjustRightInd w:val="0"/>
        <w:snapToGrid w:val="0"/>
        <w:spacing w:line="35" w:lineRule="exact"/>
        <w:textAlignment w:val="baseline"/>
      </w:pPr>
    </w:p>
    <w:tbl>
      <w:tblPr>
        <w:tblStyle w:val="TableNormal0"/>
        <w:tblW w:w="8528" w:type="dxa"/>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1202"/>
        <w:gridCol w:w="897"/>
        <w:gridCol w:w="6429"/>
      </w:tblGrid>
      <w:tr>
        <w:tblPrEx>
          <w:tblW w:w="8528" w:type="dxa"/>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784"/>
        </w:trPr>
        <w:tc>
          <w:tcPr>
            <w:tcW w:w="1202" w:type="dxa"/>
            <w:tcBorders>
              <w:top w:val="single" w:sz="12" w:space="0" w:color="000000"/>
              <w:left w:val="single" w:sz="12" w:space="0" w:color="000000"/>
              <w:right w:val="single" w:sz="2" w:space="0" w:color="000000"/>
            </w:tcBorders>
            <w:shd w:val="clear" w:color="auto" w:fill="BFBFBF"/>
            <w:vAlign w:val="center"/>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327"/>
              <w:textAlignment w:val="baseline"/>
              <w:rPr>
                <w:rFonts w:ascii="宋体" w:eastAsia="宋体" w:hAnsi="宋体" w:cs="宋体"/>
                <w:sz w:val="21"/>
                <w:szCs w:val="21"/>
              </w:rPr>
            </w:pPr>
            <w:r>
              <w:rPr>
                <w:rFonts w:ascii="宋体" w:eastAsia="宋体" w:hAnsi="宋体" w:cs="宋体"/>
                <w:b/>
                <w:bCs/>
                <w:spacing w:val="-8"/>
                <w:sz w:val="21"/>
                <w:szCs w:val="21"/>
              </w:rPr>
              <w:t>术</w:t>
            </w:r>
            <w:r>
              <w:rPr>
                <w:rFonts w:ascii="宋体" w:eastAsia="宋体" w:hAnsi="宋体" w:cs="宋体"/>
                <w:spacing w:val="8"/>
                <w:sz w:val="21"/>
                <w:szCs w:val="21"/>
              </w:rPr>
              <w:t xml:space="preserve"> </w:t>
            </w:r>
            <w:r>
              <w:rPr>
                <w:rFonts w:ascii="宋体" w:eastAsia="宋体" w:hAnsi="宋体" w:cs="宋体"/>
                <w:b/>
                <w:bCs/>
                <w:spacing w:val="-8"/>
                <w:sz w:val="21"/>
                <w:szCs w:val="21"/>
              </w:rPr>
              <w:t>语</w:t>
            </w:r>
          </w:p>
        </w:tc>
        <w:tc>
          <w:tcPr>
            <w:tcW w:w="897" w:type="dxa"/>
            <w:tcBorders>
              <w:top w:val="single" w:sz="12" w:space="0" w:color="000000"/>
              <w:left w:val="single" w:sz="2" w:space="0" w:color="000000"/>
              <w:right w:val="single" w:sz="2" w:space="0" w:color="000000"/>
            </w:tcBorders>
            <w:shd w:val="clear" w:color="auto" w:fill="BFBFBF"/>
            <w:vAlign w:val="center"/>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ind w:left="129"/>
              <w:textAlignment w:val="baseline"/>
              <w:rPr>
                <w:rFonts w:ascii="宋体" w:eastAsia="宋体" w:hAnsi="宋体" w:cs="宋体"/>
                <w:sz w:val="21"/>
                <w:szCs w:val="21"/>
              </w:rPr>
            </w:pPr>
            <w:r>
              <w:rPr>
                <w:rFonts w:ascii="宋体" w:eastAsia="宋体" w:hAnsi="宋体" w:cs="宋体"/>
                <w:b/>
                <w:bCs/>
                <w:spacing w:val="-5"/>
                <w:sz w:val="21"/>
                <w:szCs w:val="21"/>
              </w:rPr>
              <w:t>缩略词</w:t>
            </w:r>
          </w:p>
        </w:tc>
        <w:tc>
          <w:tcPr>
            <w:tcW w:w="6429" w:type="dxa"/>
            <w:tcBorders>
              <w:top w:val="single" w:sz="12" w:space="0" w:color="000000"/>
              <w:left w:val="single" w:sz="2" w:space="0" w:color="000000"/>
              <w:right w:val="single" w:sz="12" w:space="0" w:color="000000"/>
            </w:tcBorders>
            <w:shd w:val="clear" w:color="auto" w:fill="BFBFBF"/>
            <w:vAlign w:val="center"/>
          </w:tcPr>
          <w:p>
            <w:pPr>
              <w:keepNext w:val="0"/>
              <w:keepLines w:val="0"/>
              <w:pageBreakBefore w:val="0"/>
              <w:widowControl w:val="0"/>
              <w:kinsoku w:val="0"/>
              <w:wordWrap/>
              <w:overflowPunct/>
              <w:topLinePunct w:val="0"/>
              <w:autoSpaceDE w:val="0"/>
              <w:autoSpaceDN w:val="0"/>
              <w:bidi w:val="0"/>
              <w:adjustRightInd w:val="0"/>
              <w:snapToGrid w:val="0"/>
              <w:spacing w:before="286" w:line="220" w:lineRule="auto"/>
              <w:ind w:left="2958"/>
              <w:textAlignment w:val="baseline"/>
              <w:rPr>
                <w:rFonts w:ascii="宋体" w:eastAsia="宋体" w:hAnsi="宋体" w:cs="宋体"/>
                <w:sz w:val="21"/>
                <w:szCs w:val="21"/>
              </w:rPr>
            </w:pPr>
            <w:r>
              <w:rPr>
                <w:rFonts w:ascii="宋体" w:eastAsia="宋体" w:hAnsi="宋体" w:cs="宋体"/>
                <w:b/>
                <w:bCs/>
                <w:spacing w:val="-9"/>
                <w:sz w:val="21"/>
                <w:szCs w:val="21"/>
              </w:rPr>
              <w:t>定</w:t>
            </w:r>
            <w:r>
              <w:rPr>
                <w:rFonts w:ascii="宋体" w:eastAsia="宋体" w:hAnsi="宋体" w:cs="宋体"/>
                <w:spacing w:val="10"/>
                <w:sz w:val="21"/>
                <w:szCs w:val="21"/>
              </w:rPr>
              <w:t xml:space="preserve"> </w:t>
            </w:r>
            <w:r>
              <w:rPr>
                <w:rFonts w:ascii="宋体" w:eastAsia="宋体" w:hAnsi="宋体" w:cs="宋体"/>
                <w:b/>
                <w:bCs/>
                <w:spacing w:val="-9"/>
                <w:sz w:val="21"/>
                <w:szCs w:val="21"/>
              </w:rPr>
              <w:t>义</w:t>
            </w:r>
          </w:p>
        </w:tc>
      </w:tr>
      <w:tr>
        <w:tblPrEx>
          <w:tblW w:w="8528" w:type="dxa"/>
          <w:tblInd w:w="17" w:type="dxa"/>
          <w:tblLayout w:type="fixed"/>
          <w:tblCellMar>
            <w:top w:w="0" w:type="dxa"/>
            <w:left w:w="0" w:type="dxa"/>
            <w:bottom w:w="0" w:type="dxa"/>
            <w:right w:w="0" w:type="dxa"/>
          </w:tblCellMar>
        </w:tblPrEx>
        <w:trPr>
          <w:trHeight w:val="1708"/>
        </w:trPr>
        <w:tc>
          <w:tcPr>
            <w:tcW w:w="1202"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168"/>
              <w:textAlignment w:val="baseline"/>
              <w:rPr>
                <w:rFonts w:ascii="宋体" w:eastAsia="宋体" w:hAnsi="宋体" w:cs="宋体"/>
                <w:sz w:val="21"/>
                <w:szCs w:val="21"/>
              </w:rPr>
            </w:pPr>
            <w:r>
              <w:rPr>
                <w:rFonts w:ascii="宋体" w:eastAsia="宋体" w:hAnsi="宋体" w:cs="宋体"/>
                <w:spacing w:val="-2"/>
                <w:sz w:val="21"/>
                <w:szCs w:val="21"/>
              </w:rPr>
              <w:t>服务目录</w:t>
            </w:r>
          </w:p>
        </w:tc>
        <w:tc>
          <w:tcPr>
            <w:tcW w:w="89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0" w:line="186" w:lineRule="auto"/>
              <w:ind w:left="316"/>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4"/>
                <w:sz w:val="21"/>
                <w:szCs w:val="21"/>
              </w:rPr>
              <w:t>SC</w:t>
            </w:r>
          </w:p>
        </w:tc>
        <w:tc>
          <w:tcPr>
            <w:tcW w:w="6429" w:type="dxa"/>
            <w:tcBorders>
              <w:righ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服务提供方以顾客的语言记录可提供全部服务的文件，并给出这些服务的概要信息。作为一个重要的沟通工具，服务目录可以帮助协调顾客的期望，从而有助于客户和服务提供方之间的过程整合。</w:t>
            </w:r>
          </w:p>
        </w:tc>
      </w:tr>
      <w:tr>
        <w:tblPrEx>
          <w:tblW w:w="8528" w:type="dxa"/>
          <w:tblInd w:w="17" w:type="dxa"/>
          <w:tblLayout w:type="fixed"/>
          <w:tblCellMar>
            <w:top w:w="0" w:type="dxa"/>
            <w:left w:w="0" w:type="dxa"/>
            <w:bottom w:w="0" w:type="dxa"/>
            <w:right w:w="0" w:type="dxa"/>
          </w:tblCellMar>
        </w:tblPrEx>
        <w:trPr>
          <w:trHeight w:val="784"/>
        </w:trPr>
        <w:tc>
          <w:tcPr>
            <w:tcW w:w="1202"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289" w:line="220" w:lineRule="auto"/>
              <w:ind w:left="168"/>
              <w:textAlignment w:val="baseline"/>
              <w:rPr>
                <w:rFonts w:ascii="宋体" w:eastAsia="宋体" w:hAnsi="宋体" w:cs="宋体"/>
                <w:sz w:val="21"/>
                <w:szCs w:val="21"/>
              </w:rPr>
            </w:pPr>
            <w:r>
              <w:rPr>
                <w:rFonts w:ascii="宋体" w:eastAsia="宋体" w:hAnsi="宋体" w:cs="宋体"/>
                <w:spacing w:val="-2"/>
                <w:sz w:val="21"/>
                <w:szCs w:val="21"/>
              </w:rPr>
              <w:t>服务级别</w:t>
            </w:r>
          </w:p>
        </w:tc>
        <w:tc>
          <w:tcPr>
            <w:tcW w:w="89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0" w:line="186" w:lineRule="auto"/>
              <w:ind w:left="322"/>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4"/>
                <w:sz w:val="21"/>
                <w:szCs w:val="21"/>
              </w:rPr>
              <w:t>SL</w:t>
            </w:r>
          </w:p>
        </w:tc>
        <w:tc>
          <w:tcPr>
            <w:tcW w:w="6429" w:type="dxa"/>
            <w:tcBorders>
              <w:righ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指服务提供方与客户就服务的质量、性能等方面所达成的双方共同认可的级别要求。</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7519"/>
      <w:r>
        <w:t>角色与职责</w:t>
      </w:r>
      <w:bookmarkEnd w:id="6"/>
    </w:p>
    <w:p>
      <w:pPr>
        <w:keepNext w:val="0"/>
        <w:keepLines w:val="0"/>
        <w:pageBreakBefore w:val="0"/>
        <w:widowControl w:val="0"/>
        <w:kinsoku w:val="0"/>
        <w:wordWrap/>
        <w:overflowPunct/>
        <w:topLinePunct w:val="0"/>
        <w:autoSpaceDE w:val="0"/>
        <w:autoSpaceDN w:val="0"/>
        <w:bidi w:val="0"/>
        <w:adjustRightInd w:val="0"/>
        <w:snapToGrid w:val="0"/>
        <w:spacing w:line="35" w:lineRule="exact"/>
        <w:textAlignment w:val="baseline"/>
      </w:pPr>
    </w:p>
    <w:tbl>
      <w:tblPr>
        <w:tblStyle w:val="TableNormal0"/>
        <w:tblW w:w="8471"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26"/>
        <w:gridCol w:w="5119"/>
        <w:gridCol w:w="1826"/>
      </w:tblGrid>
      <w:tr>
        <w:tblPrEx>
          <w:tblW w:w="8471"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1"/>
        </w:trPr>
        <w:tc>
          <w:tcPr>
            <w:tcW w:w="15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ind w:left="558"/>
              <w:textAlignment w:val="baseline"/>
              <w:rPr>
                <w:rFonts w:ascii="宋体" w:eastAsia="宋体" w:hAnsi="宋体" w:cs="宋体"/>
                <w:sz w:val="21"/>
                <w:szCs w:val="21"/>
              </w:rPr>
            </w:pPr>
            <w:r>
              <w:rPr>
                <w:rFonts w:ascii="宋体" w:eastAsia="宋体" w:hAnsi="宋体" w:cs="宋体"/>
                <w:b/>
                <w:bCs/>
                <w:spacing w:val="-6"/>
                <w:sz w:val="21"/>
                <w:szCs w:val="21"/>
              </w:rPr>
              <w:t>角色</w:t>
            </w:r>
          </w:p>
        </w:tc>
        <w:tc>
          <w:tcPr>
            <w:tcW w:w="5119"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ind w:left="2491"/>
              <w:textAlignment w:val="baseline"/>
              <w:rPr>
                <w:rFonts w:ascii="宋体" w:eastAsia="宋体" w:hAnsi="宋体" w:cs="宋体"/>
                <w:sz w:val="21"/>
                <w:szCs w:val="21"/>
              </w:rPr>
            </w:pPr>
            <w:r>
              <w:rPr>
                <w:rFonts w:ascii="宋体" w:eastAsia="宋体" w:hAnsi="宋体" w:cs="宋体"/>
                <w:b/>
                <w:bCs/>
                <w:spacing w:val="-5"/>
                <w:sz w:val="21"/>
                <w:szCs w:val="21"/>
              </w:rPr>
              <w:t>职责</w:t>
            </w:r>
          </w:p>
        </w:tc>
        <w:tc>
          <w:tcPr>
            <w:tcW w:w="18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474"/>
              <w:textAlignment w:val="baseline"/>
              <w:rPr>
                <w:rFonts w:ascii="宋体" w:eastAsia="宋体" w:hAnsi="宋体" w:cs="宋体"/>
                <w:sz w:val="21"/>
                <w:szCs w:val="21"/>
              </w:rPr>
            </w:pPr>
            <w:r>
              <w:rPr>
                <w:rFonts w:ascii="宋体" w:eastAsia="宋体" w:hAnsi="宋体" w:cs="宋体"/>
                <w:b/>
                <w:bCs/>
                <w:spacing w:val="-6"/>
                <w:sz w:val="21"/>
                <w:szCs w:val="21"/>
              </w:rPr>
              <w:t>责任人</w:t>
            </w:r>
          </w:p>
        </w:tc>
      </w:tr>
      <w:tr>
        <w:tblPrEx>
          <w:tblW w:w="8471" w:type="dxa"/>
          <w:tblInd w:w="43" w:type="dxa"/>
          <w:tblLayout w:type="fixed"/>
          <w:tblCellMar>
            <w:top w:w="0" w:type="dxa"/>
            <w:left w:w="0" w:type="dxa"/>
            <w:bottom w:w="0" w:type="dxa"/>
            <w:right w:w="0" w:type="dxa"/>
          </w:tblCellMar>
        </w:tblPrEx>
        <w:trPr>
          <w:trHeight w:val="1247"/>
        </w:trPr>
        <w:tc>
          <w:tcPr>
            <w:tcW w:w="1526"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服务级别经理</w:t>
            </w:r>
          </w:p>
        </w:tc>
        <w:tc>
          <w:tcPr>
            <w:tcW w:w="5119" w:type="dxa"/>
          </w:tcPr>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编制与更新服务目录</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定义和维护一个有效的服务级别管理过程</w:t>
            </w:r>
          </w:p>
        </w:tc>
        <w:tc>
          <w:tcPr>
            <w:tcW w:w="1826"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运维部经理</w:t>
            </w:r>
          </w:p>
        </w:tc>
      </w:tr>
    </w:tbl>
    <w:p>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tbl>
      <w:tblPr>
        <w:tblStyle w:val="TableNormal0"/>
        <w:tblW w:w="84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26"/>
        <w:gridCol w:w="5212"/>
        <w:gridCol w:w="1733"/>
      </w:tblGrid>
      <w:tr>
        <w:tblPrEx>
          <w:tblW w:w="84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trPr>
        <w:tc>
          <w:tcPr>
            <w:tcW w:w="15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ind w:left="558"/>
              <w:textAlignment w:val="baseline"/>
              <w:rPr>
                <w:rFonts w:ascii="宋体" w:eastAsia="宋体" w:hAnsi="宋体" w:cs="宋体"/>
                <w:sz w:val="21"/>
                <w:szCs w:val="21"/>
              </w:rPr>
            </w:pPr>
            <w:r>
              <w:rPr>
                <w:rFonts w:ascii="宋体" w:eastAsia="宋体" w:hAnsi="宋体" w:cs="宋体"/>
                <w:b/>
                <w:bCs/>
                <w:spacing w:val="-6"/>
                <w:sz w:val="21"/>
                <w:szCs w:val="21"/>
              </w:rPr>
              <w:t>角色</w:t>
            </w:r>
          </w:p>
        </w:tc>
        <w:tc>
          <w:tcPr>
            <w:tcW w:w="521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ind w:left="2491"/>
              <w:textAlignment w:val="baseline"/>
              <w:rPr>
                <w:rFonts w:ascii="宋体" w:eastAsia="宋体" w:hAnsi="宋体" w:cs="宋体"/>
                <w:sz w:val="21"/>
                <w:szCs w:val="21"/>
              </w:rPr>
            </w:pPr>
            <w:r>
              <w:rPr>
                <w:rFonts w:ascii="宋体" w:eastAsia="宋体" w:hAnsi="宋体" w:cs="宋体"/>
                <w:b/>
                <w:bCs/>
                <w:spacing w:val="-5"/>
                <w:sz w:val="21"/>
                <w:szCs w:val="21"/>
              </w:rPr>
              <w:t>职责</w:t>
            </w:r>
          </w:p>
        </w:tc>
        <w:tc>
          <w:tcPr>
            <w:tcW w:w="1733"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474"/>
              <w:textAlignment w:val="baseline"/>
              <w:rPr>
                <w:rFonts w:ascii="宋体" w:eastAsia="宋体" w:hAnsi="宋体" w:cs="宋体"/>
                <w:sz w:val="21"/>
                <w:szCs w:val="21"/>
              </w:rPr>
            </w:pPr>
            <w:r>
              <w:rPr>
                <w:rFonts w:ascii="宋体" w:eastAsia="宋体" w:hAnsi="宋体" w:cs="宋体"/>
                <w:b/>
                <w:bCs/>
                <w:spacing w:val="-6"/>
                <w:sz w:val="21"/>
                <w:szCs w:val="21"/>
              </w:rPr>
              <w:t>责任人</w:t>
            </w:r>
          </w:p>
        </w:tc>
      </w:tr>
      <w:tr>
        <w:tblPrEx>
          <w:tblW w:w="8471" w:type="dxa"/>
          <w:tblInd w:w="5" w:type="dxa"/>
          <w:tblLayout w:type="fixed"/>
          <w:tblCellMar>
            <w:top w:w="0" w:type="dxa"/>
            <w:left w:w="0" w:type="dxa"/>
            <w:bottom w:w="0" w:type="dxa"/>
            <w:right w:w="0" w:type="dxa"/>
          </w:tblCellMar>
        </w:tblPrEx>
        <w:trPr>
          <w:trHeight w:val="933"/>
        </w:trPr>
        <w:tc>
          <w:tcPr>
            <w:tcW w:w="152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212" w:type="dxa"/>
          </w:tcPr>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rFonts w:ascii="宋体" w:eastAsia="宋体" w:hAnsi="宋体" w:cs="宋体"/>
                <w:szCs w:val="24"/>
              </w:rPr>
            </w:pPr>
            <w:r>
              <w:t>跟踪服务级别管理过程，包括监控和评审服务级别</w:t>
            </w:r>
          </w:p>
        </w:tc>
        <w:tc>
          <w:tcPr>
            <w:tcW w:w="1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471" w:type="dxa"/>
          <w:tblInd w:w="5" w:type="dxa"/>
          <w:tblLayout w:type="fixed"/>
          <w:tblCellMar>
            <w:top w:w="0" w:type="dxa"/>
            <w:left w:w="0" w:type="dxa"/>
            <w:bottom w:w="0" w:type="dxa"/>
            <w:right w:w="0" w:type="dxa"/>
          </w:tblCellMar>
        </w:tblPrEx>
        <w:trPr>
          <w:trHeight w:val="2087"/>
        </w:trPr>
        <w:tc>
          <w:tcPr>
            <w:tcW w:w="1526" w:type="dxa"/>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项目经理</w:t>
            </w:r>
          </w:p>
        </w:tc>
        <w:tc>
          <w:tcPr>
            <w:tcW w:w="5212" w:type="dxa"/>
            <w:vAlign w:val="center"/>
          </w:tcPr>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识别客户需求，与客户协商谈判，负责签订和维护SLA</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依据SLA完成服务规划，完成服务部署</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监测服务质量，落实服务改进措施</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同客户进行评价，调整下一周期的SLA</w:t>
            </w:r>
          </w:p>
        </w:tc>
        <w:tc>
          <w:tcPr>
            <w:tcW w:w="1733" w:type="dxa"/>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838"/>
      <w:r>
        <w:t>服务级别管理流程</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bookmark29"/>
      <w:bookmarkEnd w:id="8"/>
      <w:bookmarkStart w:id="9" w:name="_Toc9695"/>
      <w:r>
        <w:t>流程原则</w:t>
      </w:r>
      <w:bookmarkEnd w:id="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bookmark30"/>
      <w:bookmarkEnd w:id="10"/>
      <w:bookmarkStart w:id="11" w:name="_Toc20429"/>
      <w:r>
        <w:t>流程触发条件</w:t>
      </w:r>
      <w:bookmarkEnd w:id="11"/>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新的服务被批准时；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变更的服务被批准时；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公司服务战略、运维能力及资源支持产生本质上的变动，需要更新服务级别时。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8248"/>
      <w:r>
        <w:t>流程输入</w:t>
      </w:r>
      <w:bookmarkEnd w:id="12"/>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客户需求；</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增加新服务情况；</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服务变更情况；</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资源支持变动情况；</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运维能力变动情况。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3592"/>
      <w:r>
        <w:t>流程输出</w:t>
      </w:r>
      <w:bookmarkEnd w:id="13"/>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服务目录；</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服务级别协议(SLA)；</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服务合同（SC）；</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支持合同(UC)；</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服务报告；</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服务级别评审记录。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bookmark1"/>
      <w:bookmarkEnd w:id="14"/>
      <w:bookmarkStart w:id="15" w:name="_Toc6930"/>
      <w:r>
        <w:t>服务级别管理流程图</w:t>
      </w:r>
      <w:bookmarkEnd w:id="15"/>
    </w:p>
    <w:tbl>
      <w:tblPr>
        <w:tblStyle w:val="TableNormal0"/>
        <w:tblW w:w="9164" w:type="dxa"/>
        <w:tblInd w:w="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6"/>
        <w:gridCol w:w="1642"/>
        <w:gridCol w:w="1488"/>
        <w:gridCol w:w="1539"/>
        <w:gridCol w:w="2271"/>
        <w:gridCol w:w="1808"/>
      </w:tblGrid>
      <w:tr>
        <w:tblPrEx>
          <w:tblW w:w="9164" w:type="dxa"/>
          <w:tblInd w:w="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78"/>
        </w:trPr>
        <w:tc>
          <w:tcPr>
            <w:tcW w:w="9164" w:type="dxa"/>
            <w:gridSpan w:val="6"/>
          </w:tcPr>
          <w:p>
            <w:pPr>
              <w:keepNext w:val="0"/>
              <w:keepLines w:val="0"/>
              <w:pageBreakBefore w:val="0"/>
              <w:widowControl w:val="0"/>
              <w:kinsoku w:val="0"/>
              <w:wordWrap/>
              <w:overflowPunct/>
              <w:topLinePunct w:val="0"/>
              <w:autoSpaceDE w:val="0"/>
              <w:autoSpaceDN w:val="0"/>
              <w:bidi w:val="0"/>
              <w:adjustRightInd w:val="0"/>
              <w:snapToGrid w:val="0"/>
              <w:spacing w:before="79" w:line="221" w:lineRule="auto"/>
              <w:ind w:left="45"/>
              <w:textAlignment w:val="baseline"/>
              <w:rPr>
                <w:rFonts w:ascii="宋体" w:eastAsia="宋体" w:hAnsi="宋体" w:cs="宋体"/>
                <w:sz w:val="30"/>
                <w:szCs w:val="30"/>
              </w:rPr>
            </w:pPr>
            <w:r>
              <w:drawing>
                <wp:anchor distT="0" distB="0" distL="0" distR="0" simplePos="0" relativeHeight="251658240" behindDoc="1" locked="0" layoutInCell="1" allowOverlap="1">
                  <wp:simplePos x="0" y="0"/>
                  <wp:positionH relativeFrom="column">
                    <wp:posOffset>4445</wp:posOffset>
                  </wp:positionH>
                  <wp:positionV relativeFrom="paragraph">
                    <wp:posOffset>635</wp:posOffset>
                  </wp:positionV>
                  <wp:extent cx="5805170" cy="523748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4"/>
                          <a:stretch>
                            <a:fillRect/>
                          </a:stretch>
                        </pic:blipFill>
                        <pic:spPr>
                          <a:xfrm>
                            <a:off x="0" y="0"/>
                            <a:ext cx="5804969" cy="5237548"/>
                          </a:xfrm>
                          <a:prstGeom prst="rect">
                            <a:avLst/>
                          </a:prstGeom>
                        </pic:spPr>
                      </pic:pic>
                    </a:graphicData>
                  </a:graphic>
                </wp:anchor>
              </w:drawing>
            </w:r>
            <w:r>
              <w:rPr>
                <w:rFonts w:ascii="宋体" w:eastAsia="宋体" w:hAnsi="宋体" w:cs="宋体"/>
                <w:b/>
                <w:bCs/>
                <w:spacing w:val="-24"/>
                <w:w w:val="93"/>
                <w:sz w:val="30"/>
                <w:szCs w:val="30"/>
              </w:rPr>
              <w:t>服务级别管理流程</w:t>
            </w:r>
          </w:p>
        </w:tc>
      </w:tr>
      <w:tr>
        <w:tblPrEx>
          <w:tblW w:w="9164" w:type="dxa"/>
          <w:tblInd w:w="50" w:type="dxa"/>
          <w:tblLayout w:type="fixed"/>
          <w:tblCellMar>
            <w:top w:w="0" w:type="dxa"/>
            <w:left w:w="0" w:type="dxa"/>
            <w:bottom w:w="0" w:type="dxa"/>
            <w:right w:w="0" w:type="dxa"/>
          </w:tblCellMar>
        </w:tblPrEx>
        <w:trPr>
          <w:trHeight w:val="586"/>
        </w:trPr>
        <w:tc>
          <w:tcPr>
            <w:tcW w:w="416" w:type="dxa"/>
            <w:vMerge w:val="restart"/>
            <w:tcBorders>
              <w:top w:val="single" w:sz="4" w:space="0" w:color="000000"/>
              <w:left w:val="single" w:sz="4" w:space="0" w:color="000000"/>
              <w:bottom w:val="nil"/>
              <w:right w:val="single" w:sz="4" w:space="0" w:color="000000"/>
            </w:tcBorders>
            <w:textDirection w:val="btLr"/>
          </w:tcPr>
          <w:p>
            <w:pPr>
              <w:keepNext w:val="0"/>
              <w:keepLines w:val="0"/>
              <w:pageBreakBefore w:val="0"/>
              <w:widowControl w:val="0"/>
              <w:kinsoku w:val="0"/>
              <w:wordWrap/>
              <w:overflowPunct/>
              <w:topLinePunct w:val="0"/>
              <w:autoSpaceDE w:val="0"/>
              <w:autoSpaceDN w:val="0"/>
              <w:bidi w:val="0"/>
              <w:adjustRightInd w:val="0"/>
              <w:snapToGrid w:val="0"/>
              <w:spacing w:before="125" w:line="231" w:lineRule="auto"/>
              <w:ind w:left="1258"/>
              <w:textAlignment w:val="baseline"/>
              <w:rPr>
                <w:rFonts w:ascii="宋体" w:eastAsia="宋体" w:hAnsi="宋体" w:cs="宋体"/>
                <w:sz w:val="16"/>
                <w:szCs w:val="16"/>
              </w:rPr>
            </w:pPr>
            <w:r>
              <w:rPr>
                <w:rFonts w:ascii="宋体" w:eastAsia="宋体" w:hAnsi="宋体" w:cs="宋体"/>
                <w:spacing w:val="15"/>
                <w:w w:val="116"/>
                <w:sz w:val="16"/>
                <w:szCs w:val="16"/>
              </w:rPr>
              <w:t>服务级别定义阶段</w:t>
            </w:r>
          </w:p>
        </w:tc>
        <w:tc>
          <w:tcPr>
            <w:tcW w:w="1642" w:type="dxa"/>
            <w:tcBorders>
              <w:left w:val="single" w:sz="4"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82" w:line="221" w:lineRule="auto"/>
              <w:ind w:left="648"/>
              <w:textAlignment w:val="baseline"/>
              <w:rPr>
                <w:rFonts w:ascii="宋体" w:eastAsia="宋体" w:hAnsi="宋体" w:cs="宋体"/>
                <w:sz w:val="20"/>
                <w:szCs w:val="20"/>
              </w:rPr>
            </w:pPr>
            <w:r>
              <w:rPr>
                <w:rFonts w:ascii="宋体" w:eastAsia="宋体" w:hAnsi="宋体" w:cs="宋体"/>
                <w:spacing w:val="-13"/>
                <w:w w:val="97"/>
                <w:sz w:val="20"/>
                <w:szCs w:val="20"/>
              </w:rPr>
              <w:t>输入</w:t>
            </w:r>
          </w:p>
        </w:tc>
        <w:tc>
          <w:tcPr>
            <w:tcW w:w="3027"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181" w:line="222" w:lineRule="auto"/>
              <w:ind w:left="1179"/>
              <w:textAlignment w:val="baseline"/>
              <w:rPr>
                <w:rFonts w:ascii="宋体" w:eastAsia="宋体" w:hAnsi="宋体" w:cs="宋体"/>
                <w:sz w:val="20"/>
                <w:szCs w:val="20"/>
              </w:rPr>
            </w:pPr>
            <w:r>
              <w:rPr>
                <w:rFonts w:ascii="宋体" w:hAnsi="宋体" w:cs="宋体" w:hint="eastAsia"/>
                <w:spacing w:val="-26"/>
                <w:sz w:val="20"/>
                <w:szCs w:val="20"/>
                <w:lang w:val="en-US" w:eastAsia="zh-CN"/>
              </w:rPr>
              <w:t>运维</w:t>
            </w:r>
            <w:r>
              <w:rPr>
                <w:rFonts w:ascii="宋体" w:eastAsia="宋体" w:hAnsi="宋体" w:cs="宋体"/>
                <w:spacing w:val="-26"/>
                <w:sz w:val="20"/>
                <w:szCs w:val="20"/>
              </w:rPr>
              <w:t>项目经理</w:t>
            </w:r>
          </w:p>
        </w:tc>
        <w:tc>
          <w:tcPr>
            <w:tcW w:w="2271" w:type="dxa"/>
          </w:tcPr>
          <w:p>
            <w:pPr>
              <w:keepNext w:val="0"/>
              <w:keepLines w:val="0"/>
              <w:pageBreakBefore w:val="0"/>
              <w:widowControl w:val="0"/>
              <w:kinsoku w:val="0"/>
              <w:wordWrap/>
              <w:overflowPunct/>
              <w:topLinePunct w:val="0"/>
              <w:autoSpaceDE w:val="0"/>
              <w:autoSpaceDN w:val="0"/>
              <w:bidi w:val="0"/>
              <w:adjustRightInd w:val="0"/>
              <w:snapToGrid w:val="0"/>
              <w:spacing w:before="182" w:line="221" w:lineRule="auto"/>
              <w:ind w:left="630"/>
              <w:textAlignment w:val="baseline"/>
              <w:rPr>
                <w:rFonts w:ascii="宋体" w:eastAsia="宋体" w:hAnsi="宋体" w:cs="宋体"/>
                <w:sz w:val="20"/>
                <w:szCs w:val="20"/>
              </w:rPr>
            </w:pPr>
            <w:r>
              <w:rPr>
                <w:rFonts w:ascii="宋体" w:eastAsia="宋体" w:hAnsi="宋体" w:cs="宋体"/>
                <w:spacing w:val="-17"/>
                <w:w w:val="95"/>
                <w:sz w:val="20"/>
                <w:szCs w:val="20"/>
              </w:rPr>
              <w:t>服务级别经理</w:t>
            </w:r>
          </w:p>
        </w:tc>
        <w:tc>
          <w:tcPr>
            <w:tcW w:w="1808" w:type="dxa"/>
          </w:tcPr>
          <w:p>
            <w:pPr>
              <w:keepNext w:val="0"/>
              <w:keepLines w:val="0"/>
              <w:pageBreakBefore w:val="0"/>
              <w:widowControl w:val="0"/>
              <w:kinsoku w:val="0"/>
              <w:wordWrap/>
              <w:overflowPunct/>
              <w:topLinePunct w:val="0"/>
              <w:autoSpaceDE w:val="0"/>
              <w:autoSpaceDN w:val="0"/>
              <w:bidi w:val="0"/>
              <w:adjustRightInd w:val="0"/>
              <w:snapToGrid w:val="0"/>
              <w:spacing w:before="182" w:line="221" w:lineRule="auto"/>
              <w:ind w:left="732"/>
              <w:textAlignment w:val="baseline"/>
              <w:rPr>
                <w:rFonts w:ascii="宋体" w:eastAsia="宋体" w:hAnsi="宋体" w:cs="宋体"/>
                <w:sz w:val="20"/>
                <w:szCs w:val="20"/>
              </w:rPr>
            </w:pPr>
            <w:r>
              <w:rPr>
                <w:rFonts w:ascii="宋体" w:eastAsia="宋体" w:hAnsi="宋体" w:cs="宋体"/>
                <w:spacing w:val="-19"/>
                <w:sz w:val="20"/>
                <w:szCs w:val="20"/>
              </w:rPr>
              <w:t>输出</w:t>
            </w:r>
          </w:p>
        </w:tc>
      </w:tr>
      <w:tr>
        <w:tblPrEx>
          <w:tblW w:w="9164" w:type="dxa"/>
          <w:tblInd w:w="50" w:type="dxa"/>
          <w:tblLayout w:type="fixed"/>
          <w:tblCellMar>
            <w:top w:w="0" w:type="dxa"/>
            <w:left w:w="0" w:type="dxa"/>
            <w:bottom w:w="0" w:type="dxa"/>
            <w:right w:w="0" w:type="dxa"/>
          </w:tblCellMar>
        </w:tblPrEx>
        <w:trPr>
          <w:trHeight w:val="2189"/>
        </w:trPr>
        <w:tc>
          <w:tcPr>
            <w:tcW w:w="416" w:type="dxa"/>
            <w:vMerge/>
            <w:tcBorders>
              <w:top w:val="nil"/>
              <w:left w:val="single" w:sz="4" w:space="0" w:color="000000"/>
              <w:bottom w:val="nil"/>
              <w:right w:val="single" w:sz="4" w:space="0" w:color="000000"/>
            </w:tcBorders>
            <w:textDirection w:val="btLr"/>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42" w:type="dxa"/>
            <w:vMerge w:val="restart"/>
            <w:tcBorders>
              <w:left w:val="single" w:sz="4"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57"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5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27" w:lineRule="auto"/>
              <w:ind w:left="591"/>
              <w:textAlignment w:val="baseline"/>
              <w:rPr>
                <w:rFonts w:ascii="宋体" w:eastAsia="宋体" w:hAnsi="宋体" w:cs="宋体"/>
                <w:sz w:val="13"/>
                <w:szCs w:val="13"/>
              </w:rPr>
            </w:pPr>
            <w:r>
              <w:rPr>
                <w:rFonts w:ascii="宋体" w:eastAsia="宋体" w:hAnsi="宋体" w:cs="宋体"/>
                <w:spacing w:val="-13"/>
                <w:w w:val="99"/>
                <w:sz w:val="13"/>
                <w:szCs w:val="13"/>
              </w:rPr>
              <w:t>客户需求</w:t>
            </w:r>
          </w:p>
          <w:p>
            <w:pPr>
              <w:keepNext w:val="0"/>
              <w:keepLines w:val="0"/>
              <w:pageBreakBefore w:val="0"/>
              <w:widowControl w:val="0"/>
              <w:kinsoku w:val="0"/>
              <w:wordWrap/>
              <w:overflowPunct/>
              <w:topLinePunct w:val="0"/>
              <w:autoSpaceDE w:val="0"/>
              <w:autoSpaceDN w:val="0"/>
              <w:bidi w:val="0"/>
              <w:adjustRightInd w:val="0"/>
              <w:snapToGrid w:val="0"/>
              <w:spacing w:before="17" w:line="226" w:lineRule="auto"/>
              <w:ind w:left="590"/>
              <w:textAlignment w:val="baseline"/>
              <w:rPr>
                <w:rFonts w:ascii="宋体" w:eastAsia="宋体" w:hAnsi="宋体" w:cs="宋体"/>
                <w:sz w:val="13"/>
                <w:szCs w:val="13"/>
              </w:rPr>
            </w:pPr>
            <w:r>
              <w:rPr>
                <w:rFonts w:ascii="宋体" w:eastAsia="宋体" w:hAnsi="宋体" w:cs="宋体"/>
                <w:spacing w:val="-10"/>
                <w:w w:val="97"/>
                <w:sz w:val="13"/>
                <w:szCs w:val="13"/>
              </w:rPr>
              <w:t>服务变更</w:t>
            </w:r>
          </w:p>
          <w:p>
            <w:pPr>
              <w:keepNext w:val="0"/>
              <w:keepLines w:val="0"/>
              <w:pageBreakBefore w:val="0"/>
              <w:widowControl w:val="0"/>
              <w:kinsoku w:val="0"/>
              <w:wordWrap/>
              <w:overflowPunct/>
              <w:topLinePunct w:val="0"/>
              <w:autoSpaceDE w:val="0"/>
              <w:autoSpaceDN w:val="0"/>
              <w:bidi w:val="0"/>
              <w:adjustRightInd w:val="0"/>
              <w:snapToGrid w:val="0"/>
              <w:spacing w:before="18" w:line="226" w:lineRule="auto"/>
              <w:ind w:left="477"/>
              <w:textAlignment w:val="baseline"/>
              <w:rPr>
                <w:rFonts w:ascii="宋体" w:eastAsia="宋体" w:hAnsi="宋体" w:cs="宋体"/>
                <w:sz w:val="13"/>
                <w:szCs w:val="13"/>
              </w:rPr>
            </w:pPr>
            <w:r>
              <w:rPr>
                <w:rFonts w:ascii="宋体" w:eastAsia="宋体" w:hAnsi="宋体" w:cs="宋体"/>
                <w:spacing w:val="-11"/>
                <w:w w:val="97"/>
                <w:sz w:val="13"/>
                <w:szCs w:val="13"/>
              </w:rPr>
              <w:t>服务能力变动</w:t>
            </w:r>
          </w:p>
          <w:p>
            <w:pPr>
              <w:keepNext w:val="0"/>
              <w:keepLines w:val="0"/>
              <w:pageBreakBefore w:val="0"/>
              <w:widowControl w:val="0"/>
              <w:kinsoku w:val="0"/>
              <w:wordWrap/>
              <w:overflowPunct/>
              <w:topLinePunct w:val="0"/>
              <w:autoSpaceDE w:val="0"/>
              <w:autoSpaceDN w:val="0"/>
              <w:bidi w:val="0"/>
              <w:adjustRightInd w:val="0"/>
              <w:snapToGrid w:val="0"/>
              <w:spacing w:before="17" w:line="252" w:lineRule="auto"/>
              <w:ind w:left="589" w:right="482" w:hanging="108"/>
              <w:textAlignment w:val="baseline"/>
              <w:rPr>
                <w:rFonts w:ascii="宋体" w:eastAsia="宋体" w:hAnsi="宋体" w:cs="宋体"/>
                <w:sz w:val="13"/>
                <w:szCs w:val="13"/>
              </w:rPr>
            </w:pPr>
            <w:r>
              <w:rPr>
                <w:rFonts w:ascii="宋体" w:eastAsia="宋体" w:hAnsi="宋体" w:cs="宋体"/>
                <w:spacing w:val="-11"/>
                <w:w w:val="94"/>
                <w:sz w:val="13"/>
                <w:szCs w:val="13"/>
              </w:rPr>
              <w:t>资源支持变动</w:t>
            </w:r>
            <w:r>
              <w:rPr>
                <w:rFonts w:ascii="宋体" w:eastAsia="宋体" w:hAnsi="宋体" w:cs="宋体"/>
                <w:spacing w:val="-10"/>
                <w:w w:val="97"/>
                <w:sz w:val="13"/>
                <w:szCs w:val="13"/>
              </w:rPr>
              <w:t>服务增加</w:t>
            </w:r>
          </w:p>
          <w:p>
            <w:pPr>
              <w:keepNext w:val="0"/>
              <w:keepLines w:val="0"/>
              <w:pageBreakBefore w:val="0"/>
              <w:widowControl w:val="0"/>
              <w:kinsoku w:val="0"/>
              <w:wordWrap/>
              <w:overflowPunct/>
              <w:topLinePunct w:val="0"/>
              <w:autoSpaceDE w:val="0"/>
              <w:autoSpaceDN w:val="0"/>
              <w:bidi w:val="0"/>
              <w:adjustRightInd w:val="0"/>
              <w:snapToGrid w:val="0"/>
              <w:spacing w:line="226" w:lineRule="auto"/>
              <w:ind w:left="421"/>
              <w:textAlignment w:val="baseline"/>
              <w:rPr>
                <w:rFonts w:ascii="宋体" w:eastAsia="宋体" w:hAnsi="宋体" w:cs="宋体"/>
                <w:sz w:val="13"/>
                <w:szCs w:val="13"/>
              </w:rPr>
            </w:pPr>
            <w:r>
              <w:rPr>
                <w:rFonts w:ascii="宋体" w:eastAsia="宋体" w:hAnsi="宋体" w:cs="宋体"/>
                <w:spacing w:val="-16"/>
                <w:sz w:val="13"/>
                <w:szCs w:val="13"/>
              </w:rPr>
              <w:t>组织级服务目录</w:t>
            </w:r>
          </w:p>
        </w:tc>
        <w:tc>
          <w:tcPr>
            <w:tcW w:w="3027" w:type="dxa"/>
            <w:gridSpan w:val="2"/>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97"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9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7" w:lineRule="auto"/>
              <w:ind w:left="1887"/>
              <w:textAlignment w:val="baseline"/>
              <w:rPr>
                <w:rFonts w:ascii="宋体" w:eastAsia="宋体" w:hAnsi="宋体" w:cs="宋体"/>
                <w:sz w:val="13"/>
                <w:szCs w:val="13"/>
              </w:rPr>
            </w:pPr>
            <w:r>
              <w:rPr>
                <w:rFonts w:ascii="宋体" w:eastAsia="宋体" w:hAnsi="宋体" w:cs="宋体"/>
                <w:spacing w:val="-12"/>
                <w:w w:val="97"/>
                <w:sz w:val="13"/>
                <w:szCs w:val="13"/>
              </w:rPr>
              <w:t>识别客户需求</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5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1889"/>
              <w:textAlignment w:val="baseline"/>
              <w:rPr>
                <w:rFonts w:ascii="宋体" w:eastAsia="宋体" w:hAnsi="宋体" w:cs="宋体"/>
                <w:sz w:val="13"/>
                <w:szCs w:val="13"/>
              </w:rPr>
            </w:pPr>
            <w:r>
              <w:rPr>
                <w:rFonts w:ascii="宋体" w:eastAsia="宋体" w:hAnsi="宋体" w:cs="宋体"/>
                <w:spacing w:val="-12"/>
                <w:w w:val="97"/>
                <w:sz w:val="13"/>
                <w:szCs w:val="13"/>
              </w:rPr>
              <w:t>定义服务级别</w:t>
            </w:r>
          </w:p>
          <w:p>
            <w:pPr>
              <w:keepNext w:val="0"/>
              <w:keepLines w:val="0"/>
              <w:pageBreakBefore w:val="0"/>
              <w:widowControl w:val="0"/>
              <w:kinsoku w:val="0"/>
              <w:wordWrap/>
              <w:overflowPunct/>
              <w:topLinePunct w:val="0"/>
              <w:autoSpaceDE w:val="0"/>
              <w:autoSpaceDN w:val="0"/>
              <w:bidi w:val="0"/>
              <w:adjustRightInd w:val="0"/>
              <w:snapToGrid w:val="0"/>
              <w:spacing w:before="117" w:line="227" w:lineRule="auto"/>
              <w:ind w:left="405"/>
              <w:textAlignment w:val="baseline"/>
              <w:rPr>
                <w:rFonts w:ascii="宋体" w:eastAsia="宋体" w:hAnsi="宋体" w:cs="宋体"/>
                <w:sz w:val="13"/>
                <w:szCs w:val="13"/>
              </w:rPr>
            </w:pPr>
            <w:r>
              <w:rPr>
                <w:rFonts w:ascii="宋体" w:eastAsia="宋体" w:hAnsi="宋体" w:cs="宋体"/>
                <w:spacing w:val="-13"/>
                <w:w w:val="98"/>
                <w:sz w:val="13"/>
                <w:szCs w:val="13"/>
              </w:rPr>
              <w:t>调整下一周期的</w:t>
            </w:r>
          </w:p>
          <w:p>
            <w:pPr>
              <w:keepNext w:val="0"/>
              <w:keepLines w:val="0"/>
              <w:pageBreakBefore w:val="0"/>
              <w:widowControl w:val="0"/>
              <w:kinsoku w:val="0"/>
              <w:wordWrap/>
              <w:overflowPunct/>
              <w:topLinePunct w:val="0"/>
              <w:autoSpaceDE w:val="0"/>
              <w:autoSpaceDN w:val="0"/>
              <w:bidi w:val="0"/>
              <w:adjustRightInd w:val="0"/>
              <w:snapToGrid w:val="0"/>
              <w:spacing w:before="23" w:line="187" w:lineRule="auto"/>
              <w:ind w:left="716"/>
              <w:textAlignment w:val="baseline"/>
              <w:rPr>
                <w:rFonts w:ascii="宋体" w:eastAsia="宋体" w:hAnsi="宋体" w:cs="宋体"/>
                <w:sz w:val="13"/>
                <w:szCs w:val="13"/>
              </w:rPr>
            </w:pPr>
            <w:r>
              <w:rPr>
                <w:rFonts w:ascii="宋体" w:eastAsia="宋体" w:hAnsi="宋体" w:cs="宋体"/>
                <w:spacing w:val="-8"/>
                <w:sz w:val="13"/>
                <w:szCs w:val="13"/>
              </w:rPr>
              <w:t>SLA</w:t>
            </w:r>
          </w:p>
        </w:tc>
        <w:tc>
          <w:tcPr>
            <w:tcW w:w="2271"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08"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26" w:lineRule="auto"/>
              <w:ind w:left="481"/>
              <w:textAlignment w:val="baseline"/>
              <w:rPr>
                <w:rFonts w:ascii="宋体" w:eastAsia="宋体" w:hAnsi="宋体" w:cs="宋体"/>
                <w:sz w:val="13"/>
                <w:szCs w:val="13"/>
              </w:rPr>
            </w:pPr>
            <w:r>
              <w:rPr>
                <w:rFonts w:ascii="宋体" w:eastAsia="宋体" w:hAnsi="宋体" w:cs="宋体"/>
                <w:spacing w:val="-16"/>
                <w:sz w:val="13"/>
                <w:szCs w:val="13"/>
              </w:rPr>
              <w:t>项目级服务目录</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55"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536"/>
              <w:textAlignment w:val="baseline"/>
              <w:rPr>
                <w:rFonts w:ascii="宋体" w:eastAsia="宋体" w:hAnsi="宋体" w:cs="宋体"/>
                <w:sz w:val="13"/>
                <w:szCs w:val="13"/>
              </w:rPr>
            </w:pPr>
            <w:r>
              <w:rPr>
                <w:rFonts w:ascii="宋体" w:eastAsia="宋体" w:hAnsi="宋体" w:cs="宋体"/>
                <w:spacing w:val="-11"/>
                <w:w w:val="97"/>
                <w:sz w:val="13"/>
                <w:szCs w:val="13"/>
              </w:rPr>
              <w:t>服务级别协议</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7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pacing w:val="-14"/>
                <w:sz w:val="13"/>
                <w:szCs w:val="13"/>
              </w:rPr>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z w:val="13"/>
                <w:szCs w:val="13"/>
              </w:rPr>
            </w:pPr>
            <w:r>
              <w:rPr>
                <w:rFonts w:ascii="宋体" w:eastAsia="宋体" w:hAnsi="宋体" w:cs="宋体"/>
                <w:spacing w:val="-14"/>
                <w:sz w:val="13"/>
                <w:szCs w:val="13"/>
              </w:rPr>
              <w:t>服务合同</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pacing w:val="-14"/>
                <w:sz w:val="13"/>
                <w:szCs w:val="13"/>
              </w:rPr>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z w:val="13"/>
                <w:szCs w:val="13"/>
              </w:rPr>
            </w:pPr>
            <w:r>
              <w:rPr>
                <w:rFonts w:ascii="宋体" w:eastAsia="宋体" w:hAnsi="宋体" w:cs="宋体"/>
                <w:spacing w:val="-14"/>
                <w:sz w:val="13"/>
                <w:szCs w:val="13"/>
              </w:rPr>
              <w:t>支持合同</w:t>
            </w:r>
          </w:p>
        </w:tc>
      </w:tr>
      <w:tr>
        <w:tblPrEx>
          <w:tblW w:w="9164" w:type="dxa"/>
          <w:tblInd w:w="50" w:type="dxa"/>
          <w:tblLayout w:type="fixed"/>
          <w:tblCellMar>
            <w:top w:w="0" w:type="dxa"/>
            <w:left w:w="0" w:type="dxa"/>
            <w:bottom w:w="0" w:type="dxa"/>
            <w:right w:w="0" w:type="dxa"/>
          </w:tblCellMar>
        </w:tblPrEx>
        <w:trPr>
          <w:trHeight w:val="1323"/>
        </w:trPr>
        <w:tc>
          <w:tcPr>
            <w:tcW w:w="416" w:type="dxa"/>
            <w:vMerge/>
            <w:tcBorders>
              <w:top w:val="nil"/>
              <w:left w:val="single" w:sz="4" w:space="0" w:color="000000"/>
              <w:bottom w:val="dashed" w:sz="14" w:space="0" w:color="000000"/>
              <w:right w:val="single" w:sz="4" w:space="0" w:color="000000"/>
            </w:tcBorders>
            <w:textDirection w:val="btLr"/>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42" w:type="dxa"/>
            <w:vMerge/>
            <w:tcBorders>
              <w:top w:val="nil"/>
              <w:left w:val="single" w:sz="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88" w:type="dxa"/>
            <w:tcBorders>
              <w:top w:val="nil"/>
              <w:bottom w:val="dashed" w:sz="14" w:space="0" w:color="000000"/>
              <w:right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4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5" w:lineRule="auto"/>
              <w:ind w:left="415"/>
              <w:textAlignment w:val="baseline"/>
              <w:rPr>
                <w:rFonts w:ascii="宋体" w:eastAsia="宋体" w:hAnsi="宋体" w:cs="宋体"/>
                <w:sz w:val="13"/>
                <w:szCs w:val="13"/>
              </w:rPr>
            </w:pPr>
            <w:r>
              <w:rPr>
                <w:rFonts w:ascii="宋体" w:eastAsia="宋体" w:hAnsi="宋体" w:cs="宋体"/>
                <w:spacing w:val="-11"/>
                <w:w w:val="95"/>
                <w:sz w:val="13"/>
                <w:szCs w:val="13"/>
              </w:rPr>
              <w:t>同客户进行评价</w:t>
            </w:r>
          </w:p>
        </w:tc>
        <w:tc>
          <w:tcPr>
            <w:tcW w:w="1539" w:type="dxa"/>
            <w:tcBorders>
              <w:top w:val="nil"/>
              <w:left w:val="nil"/>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4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31" w:lineRule="auto"/>
              <w:ind w:left="289" w:right="347" w:firstLine="27"/>
              <w:textAlignment w:val="baseline"/>
              <w:rPr>
                <w:rFonts w:ascii="宋体" w:eastAsia="宋体" w:hAnsi="宋体" w:cs="宋体"/>
                <w:sz w:val="13"/>
                <w:szCs w:val="13"/>
              </w:rPr>
            </w:pPr>
            <w:r>
              <w:rPr>
                <w:rFonts w:ascii="宋体" w:eastAsia="宋体" w:hAnsi="宋体" w:cs="宋体"/>
                <w:spacing w:val="-12"/>
                <w:sz w:val="13"/>
                <w:szCs w:val="13"/>
              </w:rPr>
              <w:t>SLA签约：协商、</w:t>
            </w:r>
            <w:r>
              <w:rPr>
                <w:rFonts w:ascii="宋体" w:eastAsia="宋体" w:hAnsi="宋体" w:cs="宋体"/>
                <w:spacing w:val="-14"/>
                <w:w w:val="97"/>
                <w:sz w:val="13"/>
                <w:szCs w:val="13"/>
              </w:rPr>
              <w:t>草拟、修订、终止</w:t>
            </w:r>
          </w:p>
        </w:tc>
        <w:tc>
          <w:tcPr>
            <w:tcW w:w="2271" w:type="dxa"/>
            <w:vMerge/>
            <w:tcBorders>
              <w:top w:val="nil"/>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08" w:type="dxa"/>
            <w:vMerge/>
            <w:tcBorders>
              <w:top w:val="nil"/>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164" w:type="dxa"/>
          <w:tblInd w:w="50" w:type="dxa"/>
          <w:tblLayout w:type="fixed"/>
          <w:tblCellMar>
            <w:top w:w="0" w:type="dxa"/>
            <w:left w:w="0" w:type="dxa"/>
            <w:bottom w:w="0" w:type="dxa"/>
            <w:right w:w="0" w:type="dxa"/>
          </w:tblCellMar>
        </w:tblPrEx>
        <w:trPr>
          <w:trHeight w:val="1753"/>
        </w:trPr>
        <w:tc>
          <w:tcPr>
            <w:tcW w:w="416" w:type="dxa"/>
            <w:tcBorders>
              <w:top w:val="dashed" w:sz="14" w:space="0" w:color="000000"/>
              <w:left w:val="single" w:sz="4" w:space="0" w:color="000000"/>
              <w:bottom w:val="dashed" w:sz="14" w:space="0" w:color="000000"/>
              <w:right w:val="single" w:sz="4" w:space="0" w:color="000000"/>
            </w:tcBorders>
            <w:textDirection w:val="btLr"/>
          </w:tcPr>
          <w:p>
            <w:pPr>
              <w:keepNext w:val="0"/>
              <w:keepLines w:val="0"/>
              <w:pageBreakBefore w:val="0"/>
              <w:widowControl w:val="0"/>
              <w:kinsoku w:val="0"/>
              <w:wordWrap/>
              <w:overflowPunct/>
              <w:topLinePunct w:val="0"/>
              <w:autoSpaceDE w:val="0"/>
              <w:autoSpaceDN w:val="0"/>
              <w:bidi w:val="0"/>
              <w:adjustRightInd w:val="0"/>
              <w:snapToGrid w:val="0"/>
              <w:spacing w:before="125" w:line="231" w:lineRule="auto"/>
              <w:ind w:left="94"/>
              <w:textAlignment w:val="baseline"/>
              <w:rPr>
                <w:rFonts w:ascii="宋体" w:eastAsia="宋体" w:hAnsi="宋体" w:cs="宋体"/>
                <w:sz w:val="16"/>
                <w:szCs w:val="16"/>
              </w:rPr>
            </w:pPr>
            <w:r>
              <w:rPr>
                <w:rFonts w:ascii="宋体" w:eastAsia="宋体" w:hAnsi="宋体" w:cs="宋体"/>
                <w:spacing w:val="15"/>
                <w:w w:val="116"/>
                <w:sz w:val="16"/>
                <w:szCs w:val="16"/>
              </w:rPr>
              <w:t>服务级别监控阶段</w:t>
            </w:r>
          </w:p>
        </w:tc>
        <w:tc>
          <w:tcPr>
            <w:tcW w:w="1642" w:type="dxa"/>
            <w:tcBorders>
              <w:top w:val="dashed" w:sz="14" w:space="0" w:color="000000"/>
              <w:left w:val="single" w:sz="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027" w:type="dxa"/>
            <w:gridSpan w:val="2"/>
            <w:tcBorders>
              <w:top w:val="dashed" w:sz="1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71" w:type="dxa"/>
            <w:tcBorders>
              <w:top w:val="dashed" w:sz="1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42"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42"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942"/>
              <w:textAlignment w:val="baseline"/>
              <w:rPr>
                <w:rFonts w:ascii="宋体" w:eastAsia="宋体" w:hAnsi="宋体" w:cs="宋体"/>
                <w:sz w:val="13"/>
                <w:szCs w:val="13"/>
              </w:rPr>
            </w:pPr>
            <w:r>
              <w:rPr>
                <w:rFonts w:ascii="宋体" w:eastAsia="宋体" w:hAnsi="宋体" w:cs="宋体"/>
                <w:spacing w:val="-10"/>
                <w:w w:val="96"/>
                <w:sz w:val="13"/>
                <w:szCs w:val="13"/>
              </w:rPr>
              <w:t>服务级别监控</w:t>
            </w:r>
          </w:p>
        </w:tc>
        <w:tc>
          <w:tcPr>
            <w:tcW w:w="1808" w:type="dxa"/>
            <w:tcBorders>
              <w:top w:val="dashed" w:sz="1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15"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1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5" w:lineRule="auto"/>
              <w:ind w:left="674"/>
              <w:textAlignment w:val="baseline"/>
              <w:rPr>
                <w:rFonts w:ascii="宋体" w:eastAsia="宋体" w:hAnsi="宋体" w:cs="宋体"/>
                <w:sz w:val="13"/>
                <w:szCs w:val="13"/>
              </w:rPr>
            </w:pPr>
            <w:r>
              <w:rPr>
                <w:rFonts w:ascii="宋体" w:eastAsia="宋体" w:hAnsi="宋体" w:cs="宋体"/>
                <w:spacing w:val="-10"/>
                <w:w w:val="97"/>
                <w:sz w:val="13"/>
                <w:szCs w:val="13"/>
              </w:rPr>
              <w:t>服务报告</w:t>
            </w:r>
          </w:p>
        </w:tc>
      </w:tr>
      <w:tr>
        <w:tblPrEx>
          <w:tblW w:w="9164" w:type="dxa"/>
          <w:tblInd w:w="50" w:type="dxa"/>
          <w:tblLayout w:type="fixed"/>
          <w:tblCellMar>
            <w:top w:w="0" w:type="dxa"/>
            <w:left w:w="0" w:type="dxa"/>
            <w:bottom w:w="0" w:type="dxa"/>
            <w:right w:w="0" w:type="dxa"/>
          </w:tblCellMar>
        </w:tblPrEx>
        <w:trPr>
          <w:trHeight w:val="1831"/>
        </w:trPr>
        <w:tc>
          <w:tcPr>
            <w:tcW w:w="416" w:type="dxa"/>
            <w:tcBorders>
              <w:top w:val="dashed" w:sz="14" w:space="0" w:color="000000"/>
              <w:left w:val="single" w:sz="4" w:space="0" w:color="000000"/>
              <w:bottom w:val="single" w:sz="4" w:space="0" w:color="000000"/>
              <w:right w:val="single" w:sz="4" w:space="0" w:color="000000"/>
            </w:tcBorders>
            <w:textDirection w:val="btLr"/>
          </w:tcPr>
          <w:p>
            <w:pPr>
              <w:keepNext w:val="0"/>
              <w:keepLines w:val="0"/>
              <w:pageBreakBefore w:val="0"/>
              <w:widowControl w:val="0"/>
              <w:kinsoku w:val="0"/>
              <w:wordWrap/>
              <w:overflowPunct/>
              <w:topLinePunct w:val="0"/>
              <w:autoSpaceDE w:val="0"/>
              <w:autoSpaceDN w:val="0"/>
              <w:bidi w:val="0"/>
              <w:adjustRightInd w:val="0"/>
              <w:snapToGrid w:val="0"/>
              <w:spacing w:before="125" w:line="231" w:lineRule="auto"/>
              <w:ind w:left="136"/>
              <w:textAlignment w:val="baseline"/>
              <w:rPr>
                <w:rFonts w:ascii="宋体" w:eastAsia="宋体" w:hAnsi="宋体" w:cs="宋体"/>
                <w:sz w:val="16"/>
                <w:szCs w:val="16"/>
              </w:rPr>
            </w:pPr>
            <w:r>
              <w:rPr>
                <w:rFonts w:ascii="宋体" w:eastAsia="宋体" w:hAnsi="宋体" w:cs="宋体"/>
                <w:spacing w:val="15"/>
                <w:w w:val="116"/>
                <w:sz w:val="16"/>
                <w:szCs w:val="16"/>
              </w:rPr>
              <w:t>服务级别评审阶段</w:t>
            </w:r>
          </w:p>
        </w:tc>
        <w:tc>
          <w:tcPr>
            <w:tcW w:w="1642" w:type="dxa"/>
            <w:tcBorders>
              <w:top w:val="dashed" w:sz="14" w:space="0" w:color="000000"/>
              <w:left w:val="single" w:sz="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027" w:type="dxa"/>
            <w:gridSpan w:val="2"/>
            <w:tcBorders>
              <w:top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71" w:type="dxa"/>
            <w:tcBorders>
              <w:top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84"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84"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8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26" w:lineRule="auto"/>
              <w:ind w:left="942"/>
              <w:textAlignment w:val="baseline"/>
              <w:rPr>
                <w:rFonts w:ascii="宋体" w:eastAsia="宋体" w:hAnsi="宋体" w:cs="宋体"/>
                <w:sz w:val="13"/>
                <w:szCs w:val="13"/>
              </w:rPr>
            </w:pPr>
            <w:r>
              <w:rPr>
                <w:rFonts w:ascii="宋体" w:eastAsia="宋体" w:hAnsi="宋体" w:cs="宋体"/>
                <w:spacing w:val="-12"/>
                <w:w w:val="97"/>
                <w:sz w:val="13"/>
                <w:szCs w:val="13"/>
              </w:rPr>
              <w:t>服务级别评审</w:t>
            </w:r>
          </w:p>
        </w:tc>
        <w:tc>
          <w:tcPr>
            <w:tcW w:w="1808" w:type="dxa"/>
            <w:tcBorders>
              <w:top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448"/>
              <w:textAlignment w:val="baseline"/>
              <w:rPr>
                <w:rFonts w:ascii="宋体" w:eastAsia="宋体" w:hAnsi="宋体" w:cs="宋体"/>
                <w:sz w:val="13"/>
                <w:szCs w:val="13"/>
              </w:rPr>
            </w:pPr>
            <w:r>
              <w:rPr>
                <w:rFonts w:ascii="宋体" w:eastAsia="宋体" w:hAnsi="宋体" w:cs="宋体"/>
                <w:spacing w:val="-11"/>
                <w:w w:val="96"/>
                <w:sz w:val="13"/>
                <w:szCs w:val="13"/>
              </w:rPr>
              <w:t>服务级别评审记录</w:t>
            </w:r>
          </w:p>
        </w:tc>
      </w:tr>
    </w:tbl>
    <w:p>
      <w:pPr>
        <w:keepNext w:val="0"/>
        <w:keepLines w:val="0"/>
        <w:pageBreakBefore w:val="0"/>
        <w:widowControl w:val="0"/>
        <w:kinsoku w:val="0"/>
        <w:wordWrap/>
        <w:overflowPunct/>
        <w:topLinePunct w:val="0"/>
        <w:autoSpaceDE w:val="0"/>
        <w:autoSpaceDN w:val="0"/>
        <w:bidi w:val="0"/>
        <w:adjustRightInd w:val="0"/>
        <w:snapToGrid w:val="0"/>
        <w:spacing w:before="156" w:line="220" w:lineRule="auto"/>
        <w:ind w:left="3105"/>
        <w:textAlignment w:val="baseline"/>
        <w:rPr>
          <w:rFonts w:ascii="宋体" w:eastAsia="宋体" w:hAnsi="宋体" w:cs="宋体"/>
          <w:sz w:val="18"/>
          <w:szCs w:val="18"/>
        </w:rPr>
      </w:pPr>
      <w:r>
        <w:rPr>
          <w:rFonts w:ascii="宋体" w:eastAsia="宋体" w:hAnsi="宋体" w:cs="宋体"/>
          <w:b/>
          <w:bCs/>
          <w:spacing w:val="-4"/>
          <w:sz w:val="18"/>
          <w:szCs w:val="18"/>
        </w:rPr>
        <w:t>图</w:t>
      </w:r>
      <w:r>
        <w:rPr>
          <w:rFonts w:ascii="宋体" w:eastAsia="宋体" w:hAnsi="宋体" w:cs="宋体"/>
          <w:spacing w:val="-26"/>
          <w:sz w:val="18"/>
          <w:szCs w:val="18"/>
        </w:rPr>
        <w:t xml:space="preserve"> </w:t>
      </w:r>
      <w:r>
        <w:rPr>
          <w:rFonts w:ascii="Calibri Light" w:eastAsia="Calibri Light" w:hAnsi="Calibri Light" w:cs="Calibri Light"/>
          <w:b/>
          <w:bCs/>
          <w:spacing w:val="-4"/>
          <w:sz w:val="18"/>
          <w:szCs w:val="18"/>
        </w:rPr>
        <w:t>5-1</w:t>
      </w:r>
      <w:r>
        <w:rPr>
          <w:rFonts w:ascii="Calibri Light" w:eastAsia="Calibri Light" w:hAnsi="Calibri Light" w:cs="Calibri Light"/>
          <w:spacing w:val="-4"/>
          <w:sz w:val="18"/>
          <w:szCs w:val="18"/>
        </w:rPr>
        <w:t xml:space="preserve">  </w:t>
      </w:r>
      <w:r>
        <w:rPr>
          <w:rFonts w:ascii="宋体" w:eastAsia="宋体" w:hAnsi="宋体" w:cs="宋体"/>
          <w:b/>
          <w:bCs/>
          <w:spacing w:val="-4"/>
          <w:sz w:val="18"/>
          <w:szCs w:val="18"/>
        </w:rPr>
        <w:t>服务级别管理流程图</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2321"/>
      <w:r>
        <w:t>活动说明</w:t>
      </w:r>
      <w:bookmarkEnd w:id="1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7007"/>
      <w:r>
        <w:t>识别客户需求</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项目经理通过与客户沟通（如会议、访谈等方式）收集客户对服务管理和质量的要求和期望，进行描述和整理，形成《会议纪要》。</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7240"/>
      <w:r>
        <w:t>定义服务级别</w:t>
      </w:r>
      <w:bookmarkEnd w:id="1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项目经理通过根据客户需求进行服务需求和期望进行详细分析，形成《服务级别协议》草案，和客户进行确认，以满足客户的要求。常规的 SLA 中所包含的内容：</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服务概述；</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服务周期和服务时间；</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服务范围；</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双方职责和义务；</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考核指标（即服务要达到的目标，如响应时间、可用性等）；</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服务费用；</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设备清单。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1603"/>
      <w:r>
        <w:t>SLA的签订</w:t>
      </w:r>
      <w:bookmarkEnd w:id="1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项目经理根据服务级别协议提出详细的项目级服务目录。</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项目级服务目录尽量避免技术术语，而使用一些符合相关业务的术语；尽量从客户的角度看待问题。通过协商、草拟、修订，完成SLA的签订。</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4829"/>
      <w:r>
        <w:t>SLA的实施和监控</w:t>
      </w:r>
      <w:bookmarkEnd w:id="2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签署并开通服务之后，由服务级别经理建立和监测机制，并按照确立的监控机制制定《服务级别管理监控记录表》以对我方提供的运维服务进行相关数据采集，判断服务过程中是否存在违背服务级别协议的内容，如有，请记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5307"/>
      <w:r>
        <w:t>服务级别评审</w:t>
      </w:r>
      <w:bookmarkEnd w:id="2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服务级别经理依据服务级别管理监控，组织召开 SLA 评审会议，回顾和总结检查服务级别的履行状况，形成服务改进方案和措施，形成《服务级别评审表》，同客户进行评价，并调整下一服务周期的SLA。</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0336"/>
      <w:r>
        <w:rPr>
          <w:rFonts w:hint="eastAsia"/>
          <w:lang w:val="en-US" w:eastAsia="zh-CN"/>
        </w:rPr>
        <w:t>服务级别改进</w:t>
      </w:r>
      <w:bookmarkEnd w:id="2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服务级别评审后，如发现服务未达到协议约定水平或存在改进空间，应采取系统性改进措施，确保服务持续符合或超越客户期望。改进措施包括以下环节：</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改进需求识别</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基于《服务级别评审表》和服务监控数据，识别未达标的服务项、客户反馈问题及潜在提升点。</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服务级别经理组织相关团队（如运维、项目、技术支持等）制定具体的改进计划，内容应包括：</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改进目标；</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具体行动项；</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责任人；</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完成时间；</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所需资源。</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措施实施与跟踪</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运维项目经理负责推动改进措施的执行，服务级别经理负责跟踪进度，并在《服务级别管理监控记录表》中记录改进状态。</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效果验证</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改进措施完成后，通过下一周期的服务级别监控数据及客户反馈进行效果验证，确保改进有效并可持续。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更新服务协议</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如改进涉及服务级别调整，应通过变更管理流程更新SLA，并重新与客户确认。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12079"/>
      <w:r>
        <w:t>关键成功因素</w:t>
      </w:r>
      <w:bookmarkEnd w:id="23"/>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了解服务内容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服务提供方充分了解它所能提供的各种服务，以及相关的优先权和业务重要程度；</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确定服务范围、服务对象和服务内容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参考服务目录，但是对于不同的用户，具体的服务级别设定又要有针对性</w:t>
      </w:r>
      <w:r>
        <w:rPr>
          <w:rFonts w:hint="eastAsia"/>
          <w:lang w:eastAsia="zh-CN"/>
        </w:rPr>
        <w:t>。</w:t>
      </w:r>
      <w:r>
        <w:t>和独立性；</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定义服务级别目标</w:t>
      </w:r>
    </w:p>
    <w:p>
      <w:pPr>
        <w:pStyle w:val="a"/>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rPr>
          <w:rStyle w:val="Char0"/>
        </w:rPr>
        <w:t>在服务级别设定的过程中，服务提供方和客户需要仔细的推敲指定合适的服</w:t>
      </w:r>
      <w:r>
        <w:t>务目标，既要考虑到客户的需求，又要监督到经济效益和成本因素，力求服务级别可行；</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明确双方职责</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就服务本身而言，并不是单方面的工作，许多服务级别设定后在实施过程中失败，其原因就是因为忽略了客户在服务提供过程中的角色，以及相应的权利、义务、职责等。经过双方确认，除了在服务提供方任命专人对口客户，在客户方亦需要有专人负责对服务提供方进行监督；</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对服务级别设定的评审和修改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服务级别设定后需要在公司内部进行评审，评审过程除应召集服务过程相关方，还应有质量管理人员，必要时还需邀请法务人员和财务人员进行评审；</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服务级别谈判和沟通</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在最终形成文档的 SLA中，每个细节都是经过谈判、双方同意并被记录在案的。及时的沟通服务级别设定的每项内容，对整个服务级别管理过程有着重要作用。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27916"/>
      <w:r>
        <w:t>可能存在的风险</w:t>
      </w:r>
      <w:bookmarkEnd w:id="2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在实施服务级别管理的过程中，下列问题值得关注：</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未充分考虑客户需求，导致服务级别偏离；</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没有验证服务目标是否可实现，在签约前没有对这些服务目标进行核实；</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对服务级别管理重视不够，投入的资源和时间太少；</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服务协议没有得到足够的运营级别协议或支持合同的支持；</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各方的责任定义不明确，从而可能会导致各方都推卸责任；</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SLA根据IT而不是结合业务需求来签订，尤其在业务方不清楚其业务需求时更是如此；</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SLA太长，不够简洁，对关键业务或流程关注不够；</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拟提供的服务级别未能很好地传递给客户或客户有拒绝变化的抵触情绪；</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服务级别管理未能与完整的服务周期相结合。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服务级别管理中出现的上述任何问题都可能导致服务级别管理的失败。因此，有必要提前确认这些问题并进行适当的监控，以确保服务级别管理流程成功地实施。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1708"/>
      <w:r>
        <w:t>与其他流程的关系</w:t>
      </w:r>
      <w:bookmarkEnd w:id="2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bookmark31"/>
      <w:bookmarkEnd w:id="26"/>
      <w:bookmarkStart w:id="27" w:name="_Toc12533"/>
      <w:r>
        <w:t>与事件管理和问题管理</w:t>
      </w:r>
      <w:bookmarkEnd w:id="27"/>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事件管理过程中，在接受客户上报或主动监控上报的故障时，服务人员需要依据SLA对事件进行识别判断，属于服务级别范围内的故障应尽快解决，对于协议范围外的事件原则上不提供服务，但应与客户沟通以取得客户理解。</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事件优先级顺序的判断，应参照 SLA 中所约定的标准，应保证现有故障的处理时间满足SLA中所约定的时间要求。</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问题管理过程中，通过采取永久性或彻底的措施，确保该类故障不再重复发生，以求达到 SLA 协议中约定的可用性等指标的目标。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5339"/>
      <w:r>
        <w:t>与变更管理和发布管理</w:t>
      </w:r>
      <w:bookmarkEnd w:id="28"/>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r>
        <w:t>变更管理过程中，将提供与服务级别协议相关的服务信息。</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r>
        <w:t>变更管理过程对配置项的变更评估，应充分参考对相关的运维服务及服务级别的保障。</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r>
        <w:t>任何对服务、服务级别以及 SLA 的变更，都应通过变更管理来进行控制。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28586"/>
      <w:r>
        <w:t>与配置管理</w:t>
      </w:r>
      <w:bookmarkEnd w:id="2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配置管理可将服务级别协议（SLA）作为配置项进行统一记录和管理，则当发生对SLA的变更时，配置管理库中对应 SLA 配置项的记录也应保持同步更新。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32189"/>
      <w:r>
        <w:t>考核指标</w:t>
      </w:r>
      <w:bookmarkEnd w:id="30"/>
    </w:p>
    <w:tbl>
      <w:tblPr>
        <w:tblStyle w:val="TableNormal0"/>
        <w:tblW w:w="829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7"/>
        <w:gridCol w:w="3545"/>
        <w:gridCol w:w="1344"/>
        <w:gridCol w:w="1344"/>
      </w:tblGrid>
      <w:tr>
        <w:tblPrEx>
          <w:tblW w:w="829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36"/>
          <w:jc w:val="center"/>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24"/>
                <w:szCs w:val="24"/>
              </w:rPr>
            </w:pPr>
            <w:r>
              <w:rPr>
                <w:rFonts w:ascii="宋体" w:eastAsia="宋体" w:hAnsi="宋体" w:cs="宋体"/>
                <w:b/>
                <w:bCs/>
                <w:spacing w:val="-7"/>
                <w:sz w:val="24"/>
                <w:szCs w:val="24"/>
              </w:rPr>
              <w:t>序号</w:t>
            </w:r>
          </w:p>
        </w:tc>
        <w:tc>
          <w:tcPr>
            <w:tcW w:w="1337"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24"/>
                <w:szCs w:val="24"/>
              </w:rPr>
            </w:pPr>
            <w:r>
              <w:rPr>
                <w:rFonts w:ascii="宋体" w:eastAsia="宋体" w:hAnsi="宋体" w:cs="宋体"/>
                <w:b/>
                <w:bCs/>
                <w:spacing w:val="-7"/>
                <w:sz w:val="24"/>
                <w:szCs w:val="24"/>
              </w:rPr>
              <w:t>衡量指标</w:t>
            </w:r>
          </w:p>
        </w:tc>
        <w:tc>
          <w:tcPr>
            <w:tcW w:w="3545"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24"/>
                <w:szCs w:val="24"/>
              </w:rPr>
            </w:pPr>
            <w:r>
              <w:rPr>
                <w:rFonts w:ascii="宋体" w:eastAsia="宋体" w:hAnsi="宋体" w:cs="宋体"/>
                <w:b/>
                <w:bCs/>
                <w:spacing w:val="-7"/>
                <w:sz w:val="24"/>
                <w:szCs w:val="24"/>
              </w:rPr>
              <w:t>指标计算说明</w:t>
            </w:r>
          </w:p>
        </w:tc>
        <w:tc>
          <w:tcPr>
            <w:tcW w:w="134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hint="default"/>
                <w:b/>
                <w:bCs/>
                <w:spacing w:val="-7"/>
                <w:sz w:val="24"/>
                <w:szCs w:val="24"/>
                <w:lang w:val="en-US" w:eastAsia="zh-CN"/>
              </w:rPr>
            </w:pPr>
            <w:r>
              <w:rPr>
                <w:rFonts w:ascii="宋体" w:eastAsia="宋体" w:hAnsi="宋体" w:cs="宋体" w:hint="eastAsia"/>
                <w:b/>
                <w:bCs/>
                <w:spacing w:val="-7"/>
                <w:sz w:val="24"/>
                <w:szCs w:val="24"/>
                <w:lang w:val="en-US" w:eastAsia="zh-CN"/>
              </w:rPr>
              <w:t>考核频次</w:t>
            </w:r>
          </w:p>
        </w:tc>
        <w:tc>
          <w:tcPr>
            <w:tcW w:w="134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hint="default"/>
                <w:b/>
                <w:bCs/>
                <w:spacing w:val="-7"/>
                <w:sz w:val="24"/>
                <w:szCs w:val="24"/>
                <w:lang w:val="en-US" w:eastAsia="zh-CN"/>
              </w:rPr>
            </w:pPr>
            <w:r>
              <w:rPr>
                <w:rFonts w:ascii="宋体" w:hAnsi="宋体" w:cs="宋体" w:hint="eastAsia"/>
                <w:b/>
                <w:bCs/>
                <w:spacing w:val="-7"/>
                <w:sz w:val="24"/>
                <w:szCs w:val="24"/>
                <w:lang w:val="en-US" w:eastAsia="zh-CN"/>
              </w:rPr>
              <w:t>目标值</w:t>
            </w:r>
          </w:p>
        </w:tc>
      </w:tr>
      <w:tr>
        <w:tblPrEx>
          <w:tblW w:w="8297" w:type="dxa"/>
          <w:jc w:val="center"/>
          <w:tblLayout w:type="fixed"/>
          <w:tblCellMar>
            <w:top w:w="0" w:type="dxa"/>
            <w:left w:w="0" w:type="dxa"/>
            <w:bottom w:w="0" w:type="dxa"/>
            <w:right w:w="0" w:type="dxa"/>
          </w:tblCellMar>
        </w:tblPrEx>
        <w:trPr>
          <w:trHeight w:val="429"/>
          <w:jc w:val="center"/>
        </w:trPr>
        <w:tc>
          <w:tcPr>
            <w:tcW w:w="727" w:type="dxa"/>
            <w:tcBorders>
              <w:top w:val="single" w:sz="6" w:space="0" w:color="000000"/>
              <w:left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1</w:t>
            </w:r>
          </w:p>
        </w:tc>
        <w:tc>
          <w:tcPr>
            <w:tcW w:w="1337" w:type="dxa"/>
            <w:tcBorders>
              <w:top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default"/>
                <w:spacing w:val="-2"/>
                <w:sz w:val="24"/>
                <w:szCs w:val="24"/>
                <w:lang w:val="en-US" w:eastAsia="zh-CN"/>
              </w:rPr>
            </w:pPr>
            <w:r>
              <w:rPr>
                <w:rFonts w:hint="eastAsia"/>
                <w:spacing w:val="-2"/>
                <w:sz w:val="18"/>
                <w:szCs w:val="18"/>
                <w:lang w:val="en-US" w:eastAsia="zh-CN"/>
              </w:rPr>
              <w:t>SLA达成率</w:t>
            </w:r>
          </w:p>
        </w:tc>
        <w:tc>
          <w:tcPr>
            <w:tcW w:w="3545" w:type="dxa"/>
            <w:tcBorders>
              <w:top w:val="single" w:sz="6" w:space="0" w:color="000000"/>
              <w:right w:val="single" w:sz="6" w:space="0" w:color="000000"/>
            </w:tcBorders>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hint="default"/>
                <w:spacing w:val="-2"/>
                <w:sz w:val="24"/>
                <w:szCs w:val="24"/>
                <w:lang w:val="en-US" w:eastAsia="zh-CN"/>
              </w:rPr>
            </w:pPr>
            <w:r>
              <w:rPr>
                <w:spacing w:val="-2"/>
                <w:sz w:val="18"/>
                <w:szCs w:val="18"/>
              </w:rPr>
              <w:t>（满足服务级别事件数/事件总数）*100%</w:t>
            </w:r>
          </w:p>
        </w:tc>
        <w:tc>
          <w:tcPr>
            <w:tcW w:w="1344" w:type="dxa"/>
            <w:tcBorders>
              <w:top w:val="single" w:sz="6" w:space="0" w:color="000000"/>
              <w:right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eastAsia"/>
                <w:spacing w:val="-2"/>
                <w:sz w:val="24"/>
                <w:szCs w:val="24"/>
                <w:lang w:val="en-US" w:eastAsia="zh-CN"/>
              </w:rPr>
            </w:pPr>
            <w:r>
              <w:rPr>
                <w:rFonts w:hint="eastAsia"/>
                <w:spacing w:val="-2"/>
                <w:sz w:val="18"/>
                <w:szCs w:val="18"/>
                <w:lang w:val="en-US" w:eastAsia="zh-CN"/>
              </w:rPr>
              <w:t>按季度</w:t>
            </w:r>
          </w:p>
        </w:tc>
        <w:tc>
          <w:tcPr>
            <w:tcW w:w="1344" w:type="dxa"/>
            <w:tcBorders>
              <w:top w:val="single" w:sz="6" w:space="0" w:color="000000"/>
              <w:right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hint="default"/>
                <w:spacing w:val="-2"/>
                <w:sz w:val="18"/>
                <w:szCs w:val="18"/>
                <w:lang w:val="en-US" w:eastAsia="zh-CN"/>
              </w:rPr>
            </w:pPr>
            <w:r>
              <w:rPr>
                <w:rFonts w:hint="eastAsia"/>
                <w:spacing w:val="-2"/>
                <w:sz w:val="18"/>
                <w:szCs w:val="18"/>
                <w:lang w:val="en-US" w:eastAsia="zh-CN"/>
              </w:rPr>
              <w:t>≥90%</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8708"/>
      <w:r>
        <w:t>相关政策</w:t>
      </w:r>
      <w:bookmarkEnd w:id="3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10844"/>
      <w:r>
        <w:t>常规方针</w:t>
      </w:r>
      <w:bookmarkEnd w:id="32"/>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服务范围和相应服务级别目标、工作量应得到相关各方的认同，并被记录。每项服务应在服务级别协议（SLA）中被定义、认可和记录。</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服务级别协议的变更应置于变更管理控制之下。</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服务级别协议应定期得到相关各方检查，以确保其及时更新和有效。</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定期（每</w:t>
      </w:r>
      <w:r>
        <w:rPr>
          <w:rFonts w:hint="eastAsia"/>
          <w:lang w:val="en-US" w:eastAsia="zh-CN"/>
        </w:rPr>
        <w:t>季度</w:t>
      </w:r>
      <w:r>
        <w:t>）进行服务级别管理的评审，跟踪、协调和沟通服务级别管理活动，进行服务级别管理过程的改进，提升服务交付质量。</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20408"/>
      <w:r>
        <w:t>责任人方针</w:t>
      </w:r>
      <w:bookmarkEnd w:id="3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高效管理服务级别的一个关键要素，就是任命一个合适的责任人，以确保任何时候服务级别协议的有效执行。我们制定的该流程中，服务需求识别和签订的责任人被指派给</w:t>
      </w:r>
      <w:r>
        <w:rPr>
          <w:rFonts w:hint="eastAsia"/>
          <w:lang w:val="en-US" w:eastAsia="zh-CN"/>
        </w:rPr>
        <w:t>运维</w:t>
      </w:r>
      <w:r>
        <w:t>项目经理，服务级别协议监控和评审的责任人被指派给服务级别经理。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2728"/>
      <w:r>
        <w:t>相关文件及模板</w:t>
      </w:r>
      <w:bookmarkEnd w:id="34"/>
    </w:p>
    <w:p>
      <w:pPr>
        <w:keepNext w:val="0"/>
        <w:keepLines w:val="0"/>
        <w:pageBreakBefore w:val="0"/>
        <w:widowControl w:val="0"/>
        <w:kinsoku w:val="0"/>
        <w:wordWrap/>
        <w:overflowPunct/>
        <w:topLinePunct w:val="0"/>
        <w:autoSpaceDE w:val="0"/>
        <w:autoSpaceDN w:val="0"/>
        <w:bidi w:val="0"/>
        <w:adjustRightInd w:val="0"/>
        <w:snapToGrid w:val="0"/>
        <w:spacing w:before="141" w:line="220" w:lineRule="auto"/>
        <w:ind w:left="181"/>
        <w:textAlignment w:val="baseline"/>
        <w:rPr>
          <w:rFonts w:ascii="宋体" w:eastAsia="宋体" w:hAnsi="宋体" w:cs="宋体"/>
          <w:sz w:val="24"/>
          <w:szCs w:val="24"/>
        </w:rPr>
      </w:pPr>
      <w:r>
        <w:rPr>
          <w:rFonts w:ascii="宋体" w:eastAsia="宋体" w:hAnsi="宋体" w:cs="宋体"/>
          <w:spacing w:val="-1"/>
          <w:sz w:val="24"/>
          <w:szCs w:val="24"/>
        </w:rPr>
        <w:t>《</w:t>
      </w:r>
      <w:r>
        <w:rPr>
          <w:rFonts w:ascii="宋体" w:eastAsia="宋体" w:hAnsi="宋体" w:cs="宋体" w:hint="eastAsia"/>
          <w:spacing w:val="-1"/>
          <w:sz w:val="24"/>
          <w:szCs w:val="24"/>
        </w:rPr>
        <w:t>公司运行维护服务目录</w:t>
      </w:r>
      <w:r>
        <w:rPr>
          <w:rFonts w:ascii="宋体" w:eastAsia="宋体" w:hAnsi="宋体" w:cs="宋体"/>
          <w:spacing w:val="-1"/>
          <w:sz w:val="24"/>
          <w:szCs w:val="24"/>
        </w:rPr>
        <w:t>》</w:t>
      </w:r>
    </w:p>
    <w:p>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81"/>
        <w:textAlignment w:val="baseline"/>
        <w:rPr>
          <w:rFonts w:ascii="宋体" w:eastAsia="宋体" w:hAnsi="宋体" w:cs="宋体"/>
          <w:sz w:val="24"/>
          <w:szCs w:val="24"/>
        </w:rPr>
      </w:pPr>
      <w:r>
        <w:rPr>
          <w:rFonts w:ascii="宋体" w:eastAsia="宋体" w:hAnsi="宋体" w:cs="宋体" w:hint="eastAsia"/>
          <w:spacing w:val="-1"/>
          <w:sz w:val="24"/>
          <w:szCs w:val="24"/>
        </w:rPr>
        <w:t>《服务级别管理程序》</w:t>
      </w:r>
      <w:bookmarkStart w:id="35" w:name="_GoBack"/>
      <w:bookmarkEnd w:id="35"/>
    </w:p>
    <w:sectPr>
      <w:footerReference w:type="default" r:id="rId5"/>
      <w:pgSz w:w="11906" w:h="16839"/>
      <w:pgMar w:top="1431" w:right="1653" w:bottom="1373"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5" w:lineRule="auto"/>
      <w:ind w:left="4130"/>
      <w:rPr>
        <w:rFonts w:ascii="Calibri" w:eastAsia="Calibri" w:hAnsi="Calibri" w:cs="Calibri"/>
        <w:sz w:val="18"/>
        <w:szCs w:val="18"/>
      </w:rPr>
    </w:pPr>
    <w:r>
      <w:rPr>
        <w:rFonts w:ascii="Calibri" w:eastAsia="Calibri" w:hAnsi="Calibri" w:cs="Calibri"/>
        <w:sz w:val="18"/>
        <w:szCs w:val="18"/>
      </w:rPr>
      <w:t>7</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8F1FCB75"/>
    <w:multiLevelType w:val="singleLevel"/>
    <w:tmpl w:val="8F1FCB75"/>
    <w:lvl w:ilvl="0">
      <w:start w:val="1"/>
      <w:numFmt w:val="decimal"/>
      <w:lvlText w:val="%1."/>
      <w:lvlJc w:val="left"/>
      <w:pPr>
        <w:ind w:left="425" w:hanging="425"/>
      </w:pPr>
      <w:rPr>
        <w:rFonts w:hint="default"/>
      </w:rPr>
    </w:lvl>
  </w:abstractNum>
  <w:abstractNum w:abstractNumId="2">
    <w:nsid w:val="A7365F51"/>
    <w:multiLevelType w:val="singleLevel"/>
    <w:tmpl w:val="A7365F51"/>
    <w:lvl w:ilvl="0">
      <w:start w:val="1"/>
      <w:numFmt w:val="decimal"/>
      <w:lvlText w:val="%1."/>
      <w:lvlJc w:val="left"/>
      <w:pPr>
        <w:ind w:left="425" w:hanging="425"/>
      </w:pPr>
      <w:rPr>
        <w:rFonts w:hint="default"/>
      </w:rPr>
    </w:lvl>
  </w:abstractNum>
  <w:abstractNum w:abstractNumId="3">
    <w:nsid w:val="AD5C2DBB"/>
    <w:multiLevelType w:val="singleLevel"/>
    <w:tmpl w:val="AD5C2DBB"/>
    <w:lvl w:ilvl="0">
      <w:start w:val="1"/>
      <w:numFmt w:val="decimal"/>
      <w:lvlText w:val="%1."/>
      <w:lvlJc w:val="left"/>
      <w:pPr>
        <w:ind w:left="425" w:hanging="425"/>
      </w:pPr>
      <w:rPr>
        <w:rFonts w:hint="default"/>
      </w:rPr>
    </w:lvl>
  </w:abstractNum>
  <w:abstractNum w:abstractNumId="4">
    <w:nsid w:val="BBA2B121"/>
    <w:multiLevelType w:val="singleLevel"/>
    <w:tmpl w:val="BBA2B121"/>
    <w:lvl w:ilvl="0">
      <w:start w:val="1"/>
      <w:numFmt w:val="decimal"/>
      <w:lvlText w:val="%1."/>
      <w:lvlJc w:val="left"/>
      <w:pPr>
        <w:ind w:left="425" w:hanging="425"/>
      </w:pPr>
      <w:rPr>
        <w:rFonts w:hint="default"/>
      </w:rPr>
    </w:lvl>
  </w:abstractNum>
  <w:abstractNum w:abstractNumId="5">
    <w:nsid w:val="CCE8DBF5"/>
    <w:multiLevelType w:val="singleLevel"/>
    <w:tmpl w:val="CCE8DBF5"/>
    <w:lvl w:ilvl="0">
      <w:start w:val="1"/>
      <w:numFmt w:val="decimal"/>
      <w:lvlText w:val="%1."/>
      <w:lvlJc w:val="left"/>
      <w:pPr>
        <w:ind w:left="425" w:hanging="425"/>
      </w:pPr>
      <w:rPr>
        <w:rFonts w:hint="default"/>
      </w:rPr>
    </w:lvl>
  </w:abstractNum>
  <w:abstractNum w:abstractNumId="6">
    <w:nsid w:val="DE9F8646"/>
    <w:multiLevelType w:val="singleLevel"/>
    <w:tmpl w:val="DE9F8646"/>
    <w:lvl w:ilvl="0">
      <w:start w:val="1"/>
      <w:numFmt w:val="decimal"/>
      <w:lvlText w:val="%1."/>
      <w:lvlJc w:val="left"/>
      <w:pPr>
        <w:ind w:left="425" w:hanging="425"/>
      </w:pPr>
      <w:rPr>
        <w:rFonts w:hint="default"/>
      </w:rPr>
    </w:lvl>
  </w:abstractNum>
  <w:abstractNum w:abstractNumId="7">
    <w:nsid w:val="E08F7544"/>
    <w:multiLevelType w:val="singleLevel"/>
    <w:tmpl w:val="E08F7544"/>
    <w:lvl w:ilvl="0">
      <w:start w:val="1"/>
      <w:numFmt w:val="decimal"/>
      <w:lvlText w:val="%1."/>
      <w:lvlJc w:val="left"/>
      <w:pPr>
        <w:ind w:left="425" w:hanging="425"/>
      </w:pPr>
      <w:rPr>
        <w:rFonts w:hint="default"/>
      </w:rPr>
    </w:lvl>
  </w:abstractNum>
  <w:abstractNum w:abstractNumId="8">
    <w:nsid w:val="F2380E6E"/>
    <w:multiLevelType w:val="singleLevel"/>
    <w:tmpl w:val="F2380E6E"/>
    <w:lvl w:ilvl="0">
      <w:start w:val="1"/>
      <w:numFmt w:val="decimal"/>
      <w:lvlText w:val="%1."/>
      <w:lvlJc w:val="left"/>
      <w:pPr>
        <w:ind w:left="425" w:hanging="425"/>
      </w:pPr>
      <w:rPr>
        <w:rFonts w:hint="default"/>
      </w:rPr>
    </w:lvl>
  </w:abstractNum>
  <w:abstractNum w:abstractNumId="9">
    <w:nsid w:val="F9617557"/>
    <w:multiLevelType w:val="singleLevel"/>
    <w:tmpl w:val="F9617557"/>
    <w:lvl w:ilvl="0">
      <w:start w:val="1"/>
      <w:numFmt w:val="decimal"/>
      <w:lvlText w:val="%1."/>
      <w:lvlJc w:val="left"/>
      <w:pPr>
        <w:ind w:left="425" w:hanging="425"/>
      </w:pPr>
      <w:rPr>
        <w:rFonts w:hint="default"/>
      </w:rPr>
    </w:lvl>
  </w:abstractNum>
  <w:abstractNum w:abstractNumId="10">
    <w:nsid w:val="248586F2"/>
    <w:multiLevelType w:val="singleLevel"/>
    <w:tmpl w:val="248586F2"/>
    <w:lvl w:ilvl="0">
      <w:start w:val="1"/>
      <w:numFmt w:val="decimal"/>
      <w:lvlText w:val="%1."/>
      <w:lvlJc w:val="left"/>
      <w:pPr>
        <w:ind w:left="425" w:hanging="425"/>
      </w:pPr>
      <w:rPr>
        <w:rFonts w:hint="default"/>
      </w:rPr>
    </w:lvl>
  </w:abstractNum>
  <w:abstractNum w:abstractNumId="11">
    <w:nsid w:val="3A927302"/>
    <w:multiLevelType w:val="singleLevel"/>
    <w:tmpl w:val="3A927302"/>
    <w:lvl w:ilvl="0">
      <w:start w:val="1"/>
      <w:numFmt w:val="decimal"/>
      <w:lvlText w:val="%1."/>
      <w:lvlJc w:val="left"/>
      <w:pPr>
        <w:ind w:left="425" w:hanging="425"/>
      </w:pPr>
      <w:rPr>
        <w:rFonts w:hint="default"/>
      </w:rPr>
    </w:lvl>
  </w:abstractNum>
  <w:abstractNum w:abstractNumId="12">
    <w:nsid w:val="5F0D4C11"/>
    <w:multiLevelType w:val="singleLevel"/>
    <w:tmpl w:val="5F0D4C11"/>
    <w:lvl w:ilvl="0">
      <w:start w:val="1"/>
      <w:numFmt w:val="decimal"/>
      <w:lvlText w:val="%1."/>
      <w:lvlJc w:val="left"/>
      <w:pPr>
        <w:ind w:left="425" w:hanging="425"/>
      </w:pPr>
      <w:rPr>
        <w:rFonts w:hint="default"/>
      </w:rPr>
    </w:lvl>
  </w:abstractNum>
  <w:abstractNum w:abstractNumId="13">
    <w:nsid w:val="698335A7"/>
    <w:multiLevelType w:val="singleLevel"/>
    <w:tmpl w:val="698335A7"/>
    <w:lvl w:ilvl="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7"/>
  </w:num>
  <w:num w:numId="5">
    <w:abstractNumId w:val="8"/>
  </w:num>
  <w:num w:numId="6">
    <w:abstractNumId w:val="10"/>
  </w:num>
  <w:num w:numId="7">
    <w:abstractNumId w:val="12"/>
  </w:num>
  <w:num w:numId="8">
    <w:abstractNumId w:val="11"/>
  </w:num>
  <w:num w:numId="9">
    <w:abstractNumId w:val="9"/>
  </w:num>
  <w:num w:numId="10">
    <w:abstractNumId w:val="5"/>
  </w:num>
  <w:num w:numId="11">
    <w:abstractNumId w:val="6"/>
  </w:num>
  <w:num w:numId="12">
    <w:abstractNumId w:val="13"/>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 w:type="character" w:customStyle="1" w:styleId="Char0">
    <w:name w:val="柴_正文_无缩进 Char"/>
    <w:link w:val="a3"/>
    <w:qFormat/>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12</Pages>
  <Words>3659</Words>
  <Characters>3878</Characters>
  <Application>Microsoft Office Word</Application>
  <DocSecurity>0</DocSecurity>
  <Lines>0</Lines>
  <Paragraphs>0</Paragraphs>
  <ScaleCrop>false</ScaleCrop>
  <Company/>
  <LinksUpToDate>false</LinksUpToDate>
  <CharactersWithSpaces>4017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2025-08-21T04:26:00Z</dcterms:created>
  <dcterms:modified xsi:type="dcterms:W3CDTF">2026-01-07T11:20:25Z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2025-08-27T11:01:54Z</vt:filetime>
  </property>
  <property fmtid="{D5CDD505-2E9C-101B-9397-08002B2CF9AE}" pid="3" name="CRO">
    <vt:lpwstr>wqlLaW5nc29mdCBQREYgdG8gV1BTIDExNQ</vt:lpwstr>
  </property>
  <property fmtid="{D5CDD505-2E9C-101B-9397-08002B2CF9AE}" pid="4" name="ICV">
    <vt:lpwstr>5247E785F6E44B04BCFFB03B33F09DF1_12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