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940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配置管理程序</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460"/>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b w:val="0"/>
          <w:bCs w:val="0"/>
          <w:sz w:val="36"/>
          <w:szCs w:val="36"/>
          <w:lang w:val="en-US" w:eastAsia="zh-CN"/>
        </w:rPr>
        <w:sectPr>
          <w:headerReference w:type="default" r:id="rId4"/>
          <w:footerReference w:type="default" r:id="rId5"/>
          <w:pgSz w:w="11906" w:h="16839"/>
          <w:pgMar w:top="1105" w:right="1671" w:bottom="2833" w:left="1672" w:header="1090" w:footer="2521" w:gutter="0"/>
          <w:cols w:num="1" w:space="720"/>
        </w:sectPr>
      </w:pPr>
      <w:bookmarkStart w:id="2" w:name="_Toc26787"/>
      <w:r>
        <w:rPr>
          <w:rFonts w:ascii="宋体" w:eastAsia="宋体" w:hAnsi="宋体" w:cs="宋体" w:hint="eastAsia"/>
          <w:b w:val="0"/>
          <w:bCs w:val="0"/>
          <w:sz w:val="36"/>
          <w:szCs w:val="36"/>
          <w:lang w:val="en-US" w:eastAsia="zh-CN"/>
        </w:rPr>
        <w:t>2025年1月4日</w:t>
      </w:r>
      <w:bookmarkEnd w:id="2"/>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710"/>
        <w:textAlignment w:val="baseline"/>
        <w:outlineLvl w:val="0"/>
        <w:rPr>
          <w:rFonts w:ascii="宋体" w:eastAsia="宋体" w:hAnsi="宋体" w:cs="宋体"/>
          <w:sz w:val="28"/>
          <w:szCs w:val="28"/>
        </w:rPr>
      </w:pPr>
      <w:bookmarkStart w:id="3" w:name="_Toc10298"/>
      <w:r>
        <w:rPr>
          <w:rFonts w:ascii="宋体" w:eastAsia="宋体" w:hAnsi="宋体" w:cs="宋体"/>
          <w:spacing w:val="-3"/>
          <w:sz w:val="28"/>
          <w:szCs w:val="28"/>
        </w:rPr>
        <w:t>文档信息</w:t>
      </w:r>
      <w:bookmarkEnd w:id="3"/>
    </w:p>
    <w:p>
      <w:pPr>
        <w:keepNext w:val="0"/>
        <w:keepLines w:val="0"/>
        <w:pageBreakBefore w:val="0"/>
        <w:widowControl w:val="0"/>
        <w:kinsoku w:val="0"/>
        <w:wordWrap/>
        <w:overflowPunct/>
        <w:topLinePunct w:val="0"/>
        <w:autoSpaceDE w:val="0"/>
        <w:autoSpaceDN w:val="0"/>
        <w:bidi w:val="0"/>
        <w:adjustRightInd w:val="0"/>
        <w:snapToGrid w:val="0"/>
        <w:spacing w:line="131" w:lineRule="exact"/>
        <w:textAlignment w:val="baseline"/>
      </w:pPr>
    </w:p>
    <w:tbl>
      <w:tblPr>
        <w:tblStyle w:val="TableNormal0"/>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846"/>
        <w:gridCol w:w="1413"/>
        <w:gridCol w:w="2303"/>
        <w:gridCol w:w="1557"/>
        <w:gridCol w:w="1953"/>
      </w:tblGrid>
      <w:tr>
        <w:tblPrEx>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207"/>
              <w:textAlignment w:val="baseline"/>
              <w:rPr>
                <w:rFonts w:ascii="宋体" w:eastAsia="宋体" w:hAnsi="宋体" w:cs="宋体"/>
                <w:sz w:val="24"/>
                <w:szCs w:val="24"/>
              </w:rPr>
            </w:pPr>
            <w:r>
              <w:rPr>
                <w:rFonts w:ascii="宋体" w:eastAsia="宋体" w:hAnsi="宋体" w:cs="宋体"/>
                <w:spacing w:val="-2"/>
                <w:sz w:val="24"/>
                <w:szCs w:val="24"/>
              </w:rPr>
              <w:t>文档名称编号</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5" w:line="220" w:lineRule="auto"/>
              <w:ind w:left="109"/>
              <w:textAlignment w:val="baseline"/>
              <w:rPr>
                <w:rFonts w:ascii="宋体" w:eastAsia="宋体" w:hAnsi="宋体" w:cs="宋体"/>
                <w:sz w:val="24"/>
                <w:szCs w:val="24"/>
              </w:rPr>
            </w:pPr>
            <w:r>
              <w:rPr>
                <w:rFonts w:ascii="宋体" w:eastAsia="宋体" w:hAnsi="宋体" w:cs="宋体"/>
                <w:spacing w:val="-1"/>
                <w:sz w:val="24"/>
                <w:szCs w:val="24"/>
              </w:rPr>
              <w:t>配置管理程序（JSYC-ITSS-PZGL）</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2" w:line="220" w:lineRule="auto"/>
              <w:ind w:left="447"/>
              <w:textAlignment w:val="baseline"/>
              <w:rPr>
                <w:rFonts w:ascii="宋体" w:eastAsia="宋体" w:hAnsi="宋体" w:cs="宋体"/>
                <w:sz w:val="24"/>
                <w:szCs w:val="24"/>
              </w:rPr>
            </w:pPr>
            <w:r>
              <w:rPr>
                <w:rFonts w:ascii="宋体" w:eastAsia="宋体" w:hAnsi="宋体" w:cs="宋体"/>
                <w:spacing w:val="-3"/>
                <w:sz w:val="24"/>
                <w:szCs w:val="24"/>
              </w:rPr>
              <w:t>编制单位</w:t>
            </w:r>
          </w:p>
        </w:tc>
        <w:tc>
          <w:tcPr>
            <w:tcW w:w="7226" w:type="dxa"/>
            <w:gridSpan w:val="4"/>
          </w:tcPr>
          <w:p>
            <w:pPr>
              <w:keepNext w:val="0"/>
              <w:keepLines w:val="0"/>
              <w:pageBreakBefore w:val="0"/>
              <w:widowControl w:val="0"/>
              <w:kinsoku w:val="0"/>
              <w:wordWrap/>
              <w:overflowPunct/>
              <w:topLinePunct w:val="0"/>
              <w:autoSpaceDE w:val="0"/>
              <w:autoSpaceDN w:val="0"/>
              <w:bidi w:val="0"/>
              <w:adjustRightInd w:val="0"/>
              <w:snapToGrid w:val="0"/>
              <w:spacing w:before="182" w:line="219" w:lineRule="auto"/>
              <w:ind w:left="109"/>
              <w:textAlignment w:val="baseline"/>
              <w:rPr>
                <w:rFonts w:ascii="宋体" w:eastAsia="宋体" w:hAnsi="宋体" w:cs="宋体"/>
                <w:sz w:val="24"/>
                <w:szCs w:val="24"/>
              </w:rPr>
            </w:pPr>
            <w:r>
              <w:rPr>
                <w:rFonts w:ascii="宋体" w:eastAsia="宋体" w:hAnsi="宋体" w:cs="宋体"/>
                <w:spacing w:val="-1"/>
                <w:sz w:val="24"/>
                <w:szCs w:val="24"/>
              </w:rPr>
              <w:t>江苏云储智能科技有限公司</w:t>
            </w:r>
          </w:p>
        </w:tc>
      </w:tr>
      <w:tr>
        <w:tblPrEx>
          <w:tblW w:w="9072" w:type="dxa"/>
          <w:tblInd w:w="5" w:type="dxa"/>
          <w:tblLayout w:type="fixed"/>
          <w:tblCellMar>
            <w:top w:w="0" w:type="dxa"/>
            <w:left w:w="0" w:type="dxa"/>
            <w:bottom w:w="0" w:type="dxa"/>
            <w:right w:w="0" w:type="dxa"/>
          </w:tblCellMar>
        </w:tblPrEx>
        <w:trPr>
          <w:trHeight w:val="607"/>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447"/>
              <w:textAlignment w:val="baseline"/>
              <w:rPr>
                <w:rFonts w:ascii="宋体" w:eastAsia="宋体" w:hAnsi="宋体" w:cs="宋体"/>
                <w:sz w:val="24"/>
                <w:szCs w:val="24"/>
              </w:rPr>
            </w:pPr>
            <w:r>
              <w:rPr>
                <w:rFonts w:ascii="宋体" w:eastAsia="宋体" w:hAnsi="宋体" w:cs="宋体"/>
                <w:spacing w:val="-3"/>
                <w:sz w:val="24"/>
                <w:szCs w:val="24"/>
              </w:rPr>
              <w:t>文档版本</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229"/>
              <w:textAlignment w:val="baseline"/>
              <w:rPr>
                <w:rFonts w:ascii="宋体" w:eastAsia="宋体" w:hAnsi="宋体" w:cs="宋体"/>
                <w:sz w:val="24"/>
                <w:szCs w:val="24"/>
              </w:rPr>
            </w:pPr>
            <w:r>
              <w:rPr>
                <w:rFonts w:ascii="宋体" w:eastAsia="宋体" w:hAnsi="宋体" w:cs="宋体"/>
                <w:spacing w:val="-2"/>
                <w:sz w:val="24"/>
                <w:szCs w:val="24"/>
              </w:rPr>
              <w:t>版本日期</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83" w:line="219" w:lineRule="auto"/>
              <w:ind w:left="676"/>
              <w:textAlignment w:val="baseline"/>
              <w:rPr>
                <w:rFonts w:ascii="宋体" w:eastAsia="宋体" w:hAnsi="宋体" w:cs="宋体"/>
                <w:sz w:val="24"/>
                <w:szCs w:val="24"/>
              </w:rPr>
            </w:pPr>
            <w:r>
              <w:rPr>
                <w:rFonts w:ascii="宋体" w:eastAsia="宋体" w:hAnsi="宋体" w:cs="宋体"/>
                <w:spacing w:val="-2"/>
                <w:sz w:val="24"/>
                <w:szCs w:val="24"/>
              </w:rPr>
              <w:t>版本说明</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545"/>
              <w:textAlignment w:val="baseline"/>
              <w:rPr>
                <w:rFonts w:ascii="宋体" w:eastAsia="宋体" w:hAnsi="宋体" w:cs="宋体"/>
                <w:sz w:val="24"/>
                <w:szCs w:val="24"/>
              </w:rPr>
            </w:pPr>
            <w:r>
              <w:rPr>
                <w:rFonts w:ascii="宋体" w:eastAsia="宋体" w:hAnsi="宋体" w:cs="宋体"/>
                <w:spacing w:val="-3"/>
                <w:sz w:val="24"/>
                <w:szCs w:val="24"/>
              </w:rPr>
              <w:t>作者</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84" w:line="220" w:lineRule="auto"/>
              <w:ind w:left="754"/>
              <w:textAlignment w:val="baseline"/>
              <w:rPr>
                <w:rFonts w:ascii="宋体" w:eastAsia="宋体" w:hAnsi="宋体" w:cs="宋体"/>
                <w:sz w:val="24"/>
                <w:szCs w:val="24"/>
              </w:rPr>
            </w:pPr>
            <w:r>
              <w:rPr>
                <w:rFonts w:ascii="宋体" w:eastAsia="宋体" w:hAnsi="宋体" w:cs="宋体"/>
                <w:spacing w:val="-6"/>
                <w:sz w:val="24"/>
                <w:szCs w:val="24"/>
              </w:rPr>
              <w:t>审核</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keepNext w:val="0"/>
              <w:keepLines w:val="0"/>
              <w:pageBreakBefore w:val="0"/>
              <w:widowControl w:val="0"/>
              <w:kinsoku w:val="0"/>
              <w:wordWrap/>
              <w:overflowPunct/>
              <w:topLinePunct w:val="0"/>
              <w:autoSpaceDE w:val="0"/>
              <w:autoSpaceDN w:val="0"/>
              <w:bidi w:val="0"/>
              <w:adjustRightInd w:val="0"/>
              <w:snapToGrid w:val="0"/>
              <w:spacing w:before="162" w:line="239" w:lineRule="auto"/>
              <w:ind w:left="709"/>
              <w:textAlignment w:val="baseline"/>
              <w:rPr>
                <w:rFonts w:ascii="宋体" w:eastAsia="宋体" w:hAnsi="宋体" w:cs="宋体"/>
                <w:sz w:val="21"/>
                <w:szCs w:val="21"/>
              </w:rPr>
            </w:pPr>
            <w:r>
              <w:rPr>
                <w:rFonts w:ascii="宋体" w:eastAsia="宋体" w:hAnsi="宋体" w:cs="宋体"/>
                <w:spacing w:val="-1"/>
                <w:sz w:val="21"/>
                <w:szCs w:val="21"/>
              </w:rPr>
              <w:t>V1.0</w:t>
            </w:r>
          </w:p>
        </w:tc>
        <w:tc>
          <w:tcPr>
            <w:tcW w:w="1413" w:type="dxa"/>
          </w:tcPr>
          <w:p>
            <w:pPr>
              <w:keepNext w:val="0"/>
              <w:keepLines w:val="0"/>
              <w:pageBreakBefore w:val="0"/>
              <w:widowControl w:val="0"/>
              <w:kinsoku w:val="0"/>
              <w:wordWrap/>
              <w:overflowPunct/>
              <w:topLinePunct w:val="0"/>
              <w:autoSpaceDE w:val="0"/>
              <w:autoSpaceDN w:val="0"/>
              <w:bidi w:val="0"/>
              <w:adjustRightInd w:val="0"/>
              <w:snapToGrid w:val="0"/>
              <w:spacing w:before="162"/>
              <w:ind w:left="290"/>
              <w:textAlignment w:val="baseline"/>
              <w:rPr>
                <w:rFonts w:ascii="宋体" w:eastAsia="宋体" w:hAnsi="宋体" w:cs="宋体"/>
                <w:sz w:val="21"/>
                <w:szCs w:val="21"/>
              </w:rPr>
            </w:pPr>
            <w:r>
              <w:rPr>
                <w:rFonts w:ascii="宋体" w:eastAsia="宋体" w:hAnsi="宋体" w:cs="宋体"/>
                <w:spacing w:val="-2"/>
                <w:sz w:val="21"/>
                <w:szCs w:val="21"/>
              </w:rPr>
              <w:t>2025-1-4</w:t>
            </w:r>
          </w:p>
        </w:tc>
        <w:tc>
          <w:tcPr>
            <w:tcW w:w="2303" w:type="dxa"/>
          </w:tcPr>
          <w:p>
            <w:pPr>
              <w:keepNext w:val="0"/>
              <w:keepLines w:val="0"/>
              <w:pageBreakBefore w:val="0"/>
              <w:widowControl w:val="0"/>
              <w:kinsoku w:val="0"/>
              <w:wordWrap/>
              <w:overflowPunct/>
              <w:topLinePunct w:val="0"/>
              <w:autoSpaceDE w:val="0"/>
              <w:autoSpaceDN w:val="0"/>
              <w:bidi w:val="0"/>
              <w:adjustRightInd w:val="0"/>
              <w:snapToGrid w:val="0"/>
              <w:spacing w:before="132" w:line="219" w:lineRule="auto"/>
              <w:ind w:left="738"/>
              <w:textAlignment w:val="baseline"/>
              <w:rPr>
                <w:rFonts w:ascii="宋体" w:eastAsia="宋体" w:hAnsi="宋体" w:cs="宋体"/>
                <w:sz w:val="21"/>
                <w:szCs w:val="21"/>
              </w:rPr>
            </w:pPr>
            <w:r>
              <w:rPr>
                <w:rFonts w:ascii="宋体" w:eastAsia="宋体" w:hAnsi="宋体" w:cs="宋体"/>
                <w:spacing w:val="-3"/>
                <w:sz w:val="21"/>
                <w:szCs w:val="21"/>
              </w:rPr>
              <w:t>发布版本</w:t>
            </w: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spacing w:before="133" w:line="219" w:lineRule="auto"/>
              <w:ind w:left="472"/>
              <w:textAlignment w:val="baseline"/>
              <w:rPr>
                <w:rFonts w:ascii="宋体" w:eastAsia="宋体" w:hAnsi="宋体" w:cs="宋体"/>
                <w:sz w:val="21"/>
                <w:szCs w:val="21"/>
              </w:rPr>
            </w:pPr>
            <w:r>
              <w:rPr>
                <w:rFonts w:ascii="宋体" w:eastAsia="宋体" w:hAnsi="宋体" w:cs="宋体"/>
                <w:color w:val="000000"/>
                <w:spacing w:val="-3"/>
                <w:sz w:val="21"/>
                <w:szCs w:val="21"/>
              </w:rPr>
              <w:t>王朋</w:t>
            </w: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spacing w:before="132" w:line="220" w:lineRule="auto"/>
              <w:ind w:left="671"/>
              <w:textAlignment w:val="baseline"/>
              <w:rPr>
                <w:rFonts w:ascii="宋体" w:eastAsia="宋体" w:hAnsi="宋体" w:cs="宋体"/>
                <w:sz w:val="21"/>
                <w:szCs w:val="21"/>
              </w:rPr>
            </w:pPr>
            <w:r>
              <w:rPr>
                <w:rFonts w:ascii="宋体" w:eastAsia="宋体" w:hAnsi="宋体" w:cs="宋体"/>
                <w:spacing w:val="-3"/>
                <w:sz w:val="21"/>
                <w:szCs w:val="21"/>
              </w:rPr>
              <w:t>史晓玲</w:t>
            </w: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474"/>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28"/>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r>
        <w:tblPrEx>
          <w:tblW w:w="9072" w:type="dxa"/>
          <w:tblInd w:w="5" w:type="dxa"/>
          <w:tblLayout w:type="fixed"/>
          <w:tblCellMar>
            <w:top w:w="0" w:type="dxa"/>
            <w:left w:w="0" w:type="dxa"/>
            <w:bottom w:w="0" w:type="dxa"/>
            <w:right w:w="0" w:type="dxa"/>
          </w:tblCellMar>
        </w:tblPrEx>
        <w:trPr>
          <w:trHeight w:val="589"/>
        </w:trPr>
        <w:tc>
          <w:tcPr>
            <w:tcW w:w="1846"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41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230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textAlignment w:val="baseline"/>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headerReference w:type="default" r:id="rId6"/>
          <w:footerReference w:type="default" r:id="rId7"/>
          <w:pgSz w:w="11906" w:h="16839"/>
          <w:pgMar w:top="1460" w:right="1127" w:bottom="1233" w:left="1696" w:header="0" w:footer="1070" w:gutter="0"/>
          <w:cols w:num="1" w:space="720"/>
        </w:sectPr>
      </w:pPr>
    </w:p>
    <w:sdt>
      <w:sdtPr>
        <w:rPr>
          <w:rFonts w:ascii="宋体" w:eastAsia="宋体" w:hAnsi="宋体" w:cs="Arial"/>
          <w:snapToGrid w:val="0"/>
          <w:color w:val="000000"/>
          <w:kern w:val="0"/>
          <w:sz w:val="21"/>
          <w:szCs w:val="21"/>
          <w:lang w:val="en-US" w:eastAsia="en-US" w:bidi="ar-SA"/>
        </w:rPr>
        <w:id w:val="147451428"/>
        <w:docPartObj>
          <w:docPartGallery w:val="Table of Contents"/>
          <w:docPartUnique/>
        </w:docPartObj>
      </w:sdtPr>
      <w:sdtEndPr>
        <w:rPr>
          <w:rFonts w:ascii="Times New Roman" w:eastAsia="Times New Roman" w:hAnsi="Times New Roman" w:cs="Times New Roman"/>
          <w:snapToGrid w:val="0"/>
          <w:color w:val="000000"/>
          <w:kern w:val="0"/>
          <w:sz w:val="21"/>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492"/>
            </w:tabs>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TOC \o "1-3" \h \u </w:instrText>
          </w:r>
          <w:r>
            <w:rPr>
              <w:rFonts w:ascii="Times New Roman" w:eastAsia="Times New Roman" w:hAnsi="Times New Roman" w:cs="Times New Roman"/>
              <w:sz w:val="24"/>
              <w:szCs w:val="24"/>
            </w:rPr>
            <w:fldChar w:fldCharType="separate"/>
          </w: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_Toc9404 </w:instrText>
          </w:r>
          <w:r>
            <w:rPr>
              <w:rFonts w:ascii="Times New Roman" w:eastAsia="Times New Roman" w:hAnsi="Times New Roman" w:cs="Times New Roman"/>
              <w:szCs w:val="24"/>
            </w:rPr>
            <w:fldChar w:fldCharType="separate"/>
          </w:r>
          <w:r>
            <w:t>配置管理程序</w:t>
          </w:r>
          <w:r>
            <w:tab/>
          </w:r>
          <w:r>
            <w:fldChar w:fldCharType="begin"/>
          </w:r>
          <w:r>
            <w:instrText xml:space="preserve"> PAGEREF _Toc9404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_Toc460 </w:instrText>
          </w:r>
          <w:r>
            <w:rPr>
              <w:rFonts w:ascii="Times New Roman" w:eastAsia="Times New Roman" w:hAnsi="Times New Roman" w:cs="Times New Roman"/>
              <w:szCs w:val="24"/>
            </w:rPr>
            <w:fldChar w:fldCharType="separate"/>
          </w:r>
          <w:r>
            <w:t>江苏云储智能科技有限公司</w:t>
          </w:r>
          <w:r>
            <w:tab/>
          </w:r>
          <w:r>
            <w:fldChar w:fldCharType="begin"/>
          </w:r>
          <w:r>
            <w:instrText xml:space="preserve"> PAGEREF _Toc460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_Toc26787 </w:instrText>
          </w:r>
          <w:r>
            <w:rPr>
              <w:rFonts w:ascii="Times New Roman" w:eastAsia="Times New Roman" w:hAnsi="Times New Roman" w:cs="Times New Roman"/>
              <w:szCs w:val="24"/>
            </w:rPr>
            <w:fldChar w:fldCharType="separate"/>
          </w:r>
          <w:r>
            <w:rPr>
              <w:rFonts w:ascii="宋体" w:eastAsia="宋体" w:hAnsi="宋体" w:cs="宋体" w:hint="eastAsia"/>
              <w:bCs w:val="0"/>
              <w:szCs w:val="36"/>
              <w:lang w:val="en-US" w:eastAsia="zh-CN"/>
            </w:rPr>
            <w:t>2025年1月4日</w:t>
          </w:r>
          <w:r>
            <w:tab/>
          </w:r>
          <w:r>
            <w:fldChar w:fldCharType="begin"/>
          </w:r>
          <w:r>
            <w:instrText xml:space="preserve"> PAGEREF _Toc26787 \h </w:instrText>
          </w:r>
          <w:r>
            <w:fldChar w:fldCharType="separate"/>
          </w:r>
          <w:r>
            <w:t>1</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_Toc10298 </w:instrText>
          </w:r>
          <w:r>
            <w:rPr>
              <w:rFonts w:ascii="Times New Roman" w:eastAsia="Times New Roman" w:hAnsi="Times New Roman" w:cs="Times New Roman"/>
              <w:szCs w:val="24"/>
            </w:rPr>
            <w:fldChar w:fldCharType="separate"/>
          </w:r>
          <w:r>
            <w:rPr>
              <w:rFonts w:ascii="宋体" w:eastAsia="宋体" w:hAnsi="宋体" w:cs="宋体"/>
              <w:spacing w:val="-3"/>
              <w:szCs w:val="28"/>
            </w:rPr>
            <w:t>文档信息</w:t>
          </w:r>
          <w:r>
            <w:tab/>
          </w:r>
          <w:r>
            <w:fldChar w:fldCharType="begin"/>
          </w:r>
          <w:r>
            <w:instrText xml:space="preserve"> PAGEREF _Toc10298 \h </w:instrText>
          </w:r>
          <w:r>
            <w:fldChar w:fldCharType="separate"/>
          </w:r>
          <w:r>
            <w:t>2</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_Toc650 </w:instrText>
          </w:r>
          <w:r>
            <w:rPr>
              <w:rFonts w:ascii="Times New Roman" w:eastAsia="Times New Roman" w:hAnsi="Times New Roman" w:cs="Times New Roman"/>
              <w:szCs w:val="24"/>
            </w:rPr>
            <w:fldChar w:fldCharType="separate"/>
          </w:r>
          <w:r>
            <w:rPr>
              <w:rFonts w:hint="default"/>
            </w:rPr>
            <w:t xml:space="preserve">1. </w:t>
          </w:r>
          <w:r>
            <w:t>目的</w:t>
          </w:r>
          <w:r>
            <w:tab/>
          </w:r>
          <w:r>
            <w:fldChar w:fldCharType="begin"/>
          </w:r>
          <w:r>
            <w:instrText xml:space="preserve"> PAGEREF _Toc650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_Toc2064 </w:instrText>
          </w:r>
          <w:r>
            <w:rPr>
              <w:rFonts w:ascii="Times New Roman" w:eastAsia="Times New Roman" w:hAnsi="Times New Roman" w:cs="Times New Roman"/>
              <w:szCs w:val="24"/>
            </w:rPr>
            <w:fldChar w:fldCharType="separate"/>
          </w:r>
          <w:r>
            <w:rPr>
              <w:rFonts w:hint="default"/>
            </w:rPr>
            <w:t xml:space="preserve">2. </w:t>
          </w:r>
          <w:r>
            <w:t>适应范围</w:t>
          </w:r>
          <w:r>
            <w:tab/>
          </w:r>
          <w:r>
            <w:fldChar w:fldCharType="begin"/>
          </w:r>
          <w:r>
            <w:instrText xml:space="preserve"> PAGEREF _Toc2064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_Toc23315 </w:instrText>
          </w:r>
          <w:r>
            <w:rPr>
              <w:rFonts w:ascii="Times New Roman" w:eastAsia="Times New Roman" w:hAnsi="Times New Roman" w:cs="Times New Roman"/>
              <w:szCs w:val="24"/>
            </w:rPr>
            <w:fldChar w:fldCharType="separate"/>
          </w:r>
          <w:r>
            <w:rPr>
              <w:rFonts w:hint="default"/>
            </w:rPr>
            <w:t xml:space="preserve">3. </w:t>
          </w:r>
          <w:r>
            <w:t>术语定义</w:t>
          </w:r>
          <w:r>
            <w:tab/>
          </w:r>
          <w:r>
            <w:fldChar w:fldCharType="begin"/>
          </w:r>
          <w:r>
            <w:instrText xml:space="preserve"> PAGEREF _Toc23315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_Toc5239 </w:instrText>
          </w:r>
          <w:r>
            <w:rPr>
              <w:rFonts w:ascii="Times New Roman" w:eastAsia="Times New Roman" w:hAnsi="Times New Roman" w:cs="Times New Roman"/>
              <w:szCs w:val="24"/>
            </w:rPr>
            <w:fldChar w:fldCharType="separate"/>
          </w:r>
          <w:r>
            <w:rPr>
              <w:rFonts w:hint="default"/>
            </w:rPr>
            <w:t xml:space="preserve">4. </w:t>
          </w:r>
          <w:r>
            <w:t>角色及职责</w:t>
          </w:r>
          <w:r>
            <w:tab/>
          </w:r>
          <w:r>
            <w:fldChar w:fldCharType="begin"/>
          </w:r>
          <w:r>
            <w:instrText xml:space="preserve"> PAGEREF _Toc5239 \h </w:instrText>
          </w:r>
          <w:r>
            <w:fldChar w:fldCharType="separate"/>
          </w:r>
          <w:r>
            <w:t>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_Toc31085 </w:instrText>
          </w:r>
          <w:r>
            <w:rPr>
              <w:rFonts w:ascii="Times New Roman" w:eastAsia="Times New Roman" w:hAnsi="Times New Roman" w:cs="Times New Roman"/>
              <w:szCs w:val="24"/>
            </w:rPr>
            <w:fldChar w:fldCharType="separate"/>
          </w:r>
          <w:r>
            <w:rPr>
              <w:rFonts w:hint="default"/>
            </w:rPr>
            <w:t xml:space="preserve">5. </w:t>
          </w:r>
          <w:r>
            <w:t>配置管理过程说明</w:t>
          </w:r>
          <w:r>
            <w:tab/>
          </w:r>
          <w:r>
            <w:fldChar w:fldCharType="begin"/>
          </w:r>
          <w:r>
            <w:instrText xml:space="preserve"> PAGEREF _Toc31085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_Toc24023 </w:instrText>
          </w:r>
          <w:r>
            <w:rPr>
              <w:rFonts w:ascii="Times New Roman" w:eastAsia="Times New Roman" w:hAnsi="Times New Roman" w:cs="Times New Roman"/>
              <w:szCs w:val="24"/>
            </w:rPr>
            <w:fldChar w:fldCharType="separate"/>
          </w:r>
          <w:r>
            <w:rPr>
              <w:rFonts w:hint="default"/>
            </w:rPr>
            <w:t xml:space="preserve">5.1. </w:t>
          </w:r>
          <w:r>
            <w:t>触发关闭及输入输出</w:t>
          </w:r>
          <w:r>
            <w:tab/>
          </w:r>
          <w:r>
            <w:fldChar w:fldCharType="begin"/>
          </w:r>
          <w:r>
            <w:instrText xml:space="preserve"> PAGEREF _Toc24023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_Toc25258 </w:instrText>
          </w:r>
          <w:r>
            <w:rPr>
              <w:rFonts w:ascii="Times New Roman" w:eastAsia="Times New Roman" w:hAnsi="Times New Roman" w:cs="Times New Roman"/>
              <w:szCs w:val="24"/>
            </w:rPr>
            <w:fldChar w:fldCharType="separate"/>
          </w:r>
          <w:r>
            <w:rPr>
              <w:rFonts w:hint="default"/>
            </w:rPr>
            <w:t xml:space="preserve">5.2. </w:t>
          </w:r>
          <w:r>
            <w:t>过程执行原则</w:t>
          </w:r>
          <w:r>
            <w:tab/>
          </w:r>
          <w:r>
            <w:fldChar w:fldCharType="begin"/>
          </w:r>
          <w:r>
            <w:instrText xml:space="preserve"> PAGEREF _Toc25258 \h </w:instrText>
          </w:r>
          <w:r>
            <w:fldChar w:fldCharType="separate"/>
          </w:r>
          <w:r>
            <w:t>5</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_Toc14891 </w:instrText>
          </w:r>
          <w:r>
            <w:rPr>
              <w:rFonts w:ascii="Times New Roman" w:eastAsia="Times New Roman" w:hAnsi="Times New Roman" w:cs="Times New Roman"/>
              <w:szCs w:val="24"/>
            </w:rPr>
            <w:fldChar w:fldCharType="separate"/>
          </w:r>
          <w:r>
            <w:rPr>
              <w:rFonts w:hint="default"/>
            </w:rPr>
            <w:t xml:space="preserve">5.3. </w:t>
          </w:r>
          <w:r>
            <w:t>过程阶段</w:t>
          </w:r>
          <w:r>
            <w:tab/>
          </w:r>
          <w:r>
            <w:fldChar w:fldCharType="begin"/>
          </w:r>
          <w:r>
            <w:instrText xml:space="preserve"> PAGEREF _Toc14891 \h </w:instrText>
          </w:r>
          <w:r>
            <w:fldChar w:fldCharType="separate"/>
          </w:r>
          <w:r>
            <w:t>7</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_Toc19748 </w:instrText>
          </w:r>
          <w:r>
            <w:rPr>
              <w:rFonts w:ascii="Times New Roman" w:eastAsia="Times New Roman" w:hAnsi="Times New Roman" w:cs="Times New Roman"/>
              <w:szCs w:val="24"/>
            </w:rPr>
            <w:fldChar w:fldCharType="separate"/>
          </w:r>
          <w:r>
            <w:rPr>
              <w:rFonts w:hint="default"/>
            </w:rPr>
            <w:t xml:space="preserve">5.4. </w:t>
          </w:r>
          <w:r>
            <w:t>详细活动</w:t>
          </w:r>
          <w:r>
            <w:tab/>
          </w:r>
          <w:r>
            <w:fldChar w:fldCharType="begin"/>
          </w:r>
          <w:r>
            <w:instrText xml:space="preserve"> PAGEREF _Toc19748 \h </w:instrText>
          </w:r>
          <w:r>
            <w:fldChar w:fldCharType="separate"/>
          </w:r>
          <w:r>
            <w:t>9</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_Toc9591 </w:instrText>
          </w:r>
          <w:r>
            <w:rPr>
              <w:rFonts w:ascii="Times New Roman" w:eastAsia="Times New Roman" w:hAnsi="Times New Roman" w:cs="Times New Roman"/>
              <w:szCs w:val="24"/>
            </w:rPr>
            <w:fldChar w:fldCharType="separate"/>
          </w:r>
          <w:r>
            <w:rPr>
              <w:rFonts w:hint="default"/>
            </w:rPr>
            <w:t xml:space="preserve">6. </w:t>
          </w:r>
          <w:r>
            <w:t>配置过程与其他过程的关系</w:t>
          </w:r>
          <w:r>
            <w:tab/>
          </w:r>
          <w:r>
            <w:fldChar w:fldCharType="begin"/>
          </w:r>
          <w:r>
            <w:instrText xml:space="preserve"> PAGEREF _Toc9591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_Toc4024 </w:instrText>
          </w:r>
          <w:r>
            <w:rPr>
              <w:rFonts w:ascii="Times New Roman" w:eastAsia="Times New Roman" w:hAnsi="Times New Roman" w:cs="Times New Roman"/>
              <w:szCs w:val="24"/>
            </w:rPr>
            <w:fldChar w:fldCharType="separate"/>
          </w:r>
          <w:r>
            <w:rPr>
              <w:rFonts w:hint="default"/>
            </w:rPr>
            <w:t xml:space="preserve">6.1.1. </w:t>
          </w:r>
          <w:r>
            <w:t>与事件管理过程的关系</w:t>
          </w:r>
          <w:r>
            <w:tab/>
          </w:r>
          <w:r>
            <w:fldChar w:fldCharType="begin"/>
          </w:r>
          <w:r>
            <w:instrText xml:space="preserve"> PAGEREF _Toc4024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_Toc17017 </w:instrText>
          </w:r>
          <w:r>
            <w:rPr>
              <w:rFonts w:ascii="Times New Roman" w:eastAsia="Times New Roman" w:hAnsi="Times New Roman" w:cs="Times New Roman"/>
              <w:szCs w:val="24"/>
            </w:rPr>
            <w:fldChar w:fldCharType="separate"/>
          </w:r>
          <w:r>
            <w:rPr>
              <w:rFonts w:hint="default"/>
            </w:rPr>
            <w:t xml:space="preserve">6.1.2. </w:t>
          </w:r>
          <w:r>
            <w:t>与问题管理过程的关系</w:t>
          </w:r>
          <w:r>
            <w:tab/>
          </w:r>
          <w:r>
            <w:fldChar w:fldCharType="begin"/>
          </w:r>
          <w:r>
            <w:instrText xml:space="preserve"> PAGEREF _Toc17017 \h </w:instrText>
          </w:r>
          <w:r>
            <w:fldChar w:fldCharType="separate"/>
          </w:r>
          <w:r>
            <w:t>13</w:t>
          </w:r>
          <w:r>
            <w:fldChar w:fldCharType="end"/>
          </w:r>
          <w:r>
            <w:rPr>
              <w:rFonts w:ascii="Times New Roman" w:eastAsia="Times New Roman" w:hAnsi="Times New Roman" w:cs="Times New Roman"/>
              <w:szCs w:val="24"/>
            </w:rPr>
            <w:fldChar w:fldCharType="end"/>
          </w:r>
        </w:p>
        <w:p>
          <w:pPr>
            <w:pStyle w:val="TOC3"/>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_Toc13337 </w:instrText>
          </w:r>
          <w:r>
            <w:rPr>
              <w:rFonts w:ascii="Times New Roman" w:eastAsia="Times New Roman" w:hAnsi="Times New Roman" w:cs="Times New Roman"/>
              <w:szCs w:val="24"/>
            </w:rPr>
            <w:fldChar w:fldCharType="separate"/>
          </w:r>
          <w:r>
            <w:rPr>
              <w:rFonts w:hint="default"/>
            </w:rPr>
            <w:t xml:space="preserve">6.1.3. </w:t>
          </w:r>
          <w:r>
            <w:t>与变更管理过程的关系</w:t>
          </w:r>
          <w:r>
            <w:tab/>
          </w:r>
          <w:r>
            <w:fldChar w:fldCharType="begin"/>
          </w:r>
          <w:r>
            <w:instrText xml:space="preserve"> PAGEREF _Toc13337 \h </w:instrText>
          </w:r>
          <w:r>
            <w:fldChar w:fldCharType="separate"/>
          </w:r>
          <w:r>
            <w:t>13</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_Toc26179 </w:instrText>
          </w:r>
          <w:r>
            <w:rPr>
              <w:rFonts w:ascii="Times New Roman" w:eastAsia="Times New Roman" w:hAnsi="Times New Roman" w:cs="Times New Roman"/>
              <w:szCs w:val="24"/>
            </w:rPr>
            <w:fldChar w:fldCharType="separate"/>
          </w:r>
          <w:r>
            <w:rPr>
              <w:rFonts w:hint="default"/>
            </w:rPr>
            <w:t xml:space="preserve">7. </w:t>
          </w:r>
          <w:r>
            <w:rPr>
              <w:rFonts w:hint="eastAsia"/>
              <w:lang w:val="en-US" w:eastAsia="zh-CN"/>
            </w:rPr>
            <w:t>配置审计周期</w:t>
          </w:r>
          <w:r>
            <w:tab/>
          </w:r>
          <w:r>
            <w:fldChar w:fldCharType="begin"/>
          </w:r>
          <w:r>
            <w:instrText xml:space="preserve"> PAGEREF _Toc26179 \h </w:instrText>
          </w:r>
          <w:r>
            <w:fldChar w:fldCharType="separate"/>
          </w:r>
          <w:r>
            <w:t>14</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_Toc3217 </w:instrText>
          </w:r>
          <w:r>
            <w:rPr>
              <w:rFonts w:ascii="Times New Roman" w:eastAsia="Times New Roman" w:hAnsi="Times New Roman" w:cs="Times New Roman"/>
              <w:szCs w:val="24"/>
            </w:rPr>
            <w:fldChar w:fldCharType="separate"/>
          </w:r>
          <w:r>
            <w:rPr>
              <w:rFonts w:hint="default"/>
            </w:rPr>
            <w:t xml:space="preserve">7.1. </w:t>
          </w:r>
          <w:r>
            <w:rPr>
              <w:rFonts w:hint="eastAsia"/>
            </w:rPr>
            <w:t>定期审计</w:t>
          </w:r>
          <w:r>
            <w:tab/>
          </w:r>
          <w:r>
            <w:fldChar w:fldCharType="begin"/>
          </w:r>
          <w:r>
            <w:instrText xml:space="preserve"> PAGEREF _Toc3217 \h </w:instrText>
          </w:r>
          <w:r>
            <w:fldChar w:fldCharType="separate"/>
          </w:r>
          <w:r>
            <w:t>14</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_Toc11633 </w:instrText>
          </w:r>
          <w:r>
            <w:rPr>
              <w:rFonts w:ascii="Times New Roman" w:eastAsia="Times New Roman" w:hAnsi="Times New Roman" w:cs="Times New Roman"/>
              <w:szCs w:val="24"/>
            </w:rPr>
            <w:fldChar w:fldCharType="separate"/>
          </w:r>
          <w:r>
            <w:rPr>
              <w:rFonts w:hint="default"/>
            </w:rPr>
            <w:t xml:space="preserve">7.2. </w:t>
          </w:r>
          <w:r>
            <w:rPr>
              <w:rFonts w:hint="eastAsia"/>
            </w:rPr>
            <w:t>事件触发审计</w:t>
          </w:r>
          <w:r>
            <w:tab/>
          </w:r>
          <w:r>
            <w:fldChar w:fldCharType="begin"/>
          </w:r>
          <w:r>
            <w:instrText xml:space="preserve"> PAGEREF _Toc11633 \h </w:instrText>
          </w:r>
          <w:r>
            <w:fldChar w:fldCharType="separate"/>
          </w:r>
          <w:r>
            <w:t>14</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_Toc28900 </w:instrText>
          </w:r>
          <w:r>
            <w:rPr>
              <w:rFonts w:ascii="Times New Roman" w:eastAsia="Times New Roman" w:hAnsi="Times New Roman" w:cs="Times New Roman"/>
              <w:szCs w:val="24"/>
            </w:rPr>
            <w:fldChar w:fldCharType="separate"/>
          </w:r>
          <w:r>
            <w:rPr>
              <w:rFonts w:hint="default"/>
            </w:rPr>
            <w:t xml:space="preserve">7.3. </w:t>
          </w:r>
          <w:r>
            <w:rPr>
              <w:rFonts w:hint="eastAsia"/>
            </w:rPr>
            <w:t>审计范围与内容</w:t>
          </w:r>
          <w:r>
            <w:tab/>
          </w:r>
          <w:r>
            <w:fldChar w:fldCharType="begin"/>
          </w:r>
          <w:r>
            <w:instrText xml:space="preserve"> PAGEREF _Toc28900 \h </w:instrText>
          </w:r>
          <w:r>
            <w:fldChar w:fldCharType="separate"/>
          </w:r>
          <w:r>
            <w:t>14</w:t>
          </w:r>
          <w:r>
            <w:fldChar w:fldCharType="end"/>
          </w:r>
          <w:r>
            <w:rPr>
              <w:rFonts w:ascii="Times New Roman" w:eastAsia="Times New Roman" w:hAnsi="Times New Roman" w:cs="Times New Roman"/>
              <w:szCs w:val="24"/>
            </w:rPr>
            <w:fldChar w:fldCharType="end"/>
          </w:r>
        </w:p>
        <w:p>
          <w:pPr>
            <w:pStyle w:val="TOC2"/>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_Toc20483 </w:instrText>
          </w:r>
          <w:r>
            <w:rPr>
              <w:rFonts w:ascii="Times New Roman" w:eastAsia="Times New Roman" w:hAnsi="Times New Roman" w:cs="Times New Roman"/>
              <w:szCs w:val="24"/>
            </w:rPr>
            <w:fldChar w:fldCharType="separate"/>
          </w:r>
          <w:r>
            <w:rPr>
              <w:rFonts w:hint="default"/>
            </w:rPr>
            <w:t xml:space="preserve">7.4. </w:t>
          </w:r>
          <w:r>
            <w:rPr>
              <w:rFonts w:hint="eastAsia"/>
            </w:rPr>
            <w:t>审计结果处理</w:t>
          </w:r>
          <w:r>
            <w:tab/>
          </w:r>
          <w:r>
            <w:fldChar w:fldCharType="begin"/>
          </w:r>
          <w:r>
            <w:instrText xml:space="preserve"> PAGEREF _Toc20483 \h </w:instrText>
          </w:r>
          <w:r>
            <w:fldChar w:fldCharType="separate"/>
          </w:r>
          <w:r>
            <w:t>14</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_Toc9011 </w:instrText>
          </w:r>
          <w:r>
            <w:rPr>
              <w:rFonts w:ascii="Times New Roman" w:eastAsia="Times New Roman" w:hAnsi="Times New Roman" w:cs="Times New Roman"/>
              <w:szCs w:val="24"/>
            </w:rPr>
            <w:fldChar w:fldCharType="separate"/>
          </w:r>
          <w:r>
            <w:rPr>
              <w:rFonts w:hint="default"/>
            </w:rPr>
            <w:t xml:space="preserve">8. </w:t>
          </w:r>
          <w:r>
            <w:t>关键指标</w:t>
          </w:r>
          <w:r>
            <w:tab/>
          </w:r>
          <w:r>
            <w:fldChar w:fldCharType="begin"/>
          </w:r>
          <w:r>
            <w:instrText xml:space="preserve"> PAGEREF _Toc9011 \h </w:instrText>
          </w:r>
          <w:r>
            <w:fldChar w:fldCharType="separate"/>
          </w:r>
          <w:r>
            <w:t>15</w:t>
          </w:r>
          <w:r>
            <w:fldChar w:fldCharType="end"/>
          </w:r>
          <w:r>
            <w:rPr>
              <w:rFonts w:ascii="Times New Roman" w:eastAsia="Times New Roman" w:hAnsi="Times New Roman" w:cs="Times New Roman"/>
              <w:szCs w:val="24"/>
            </w:rPr>
            <w:fldChar w:fldCharType="end"/>
          </w:r>
        </w:p>
        <w:p>
          <w:pPr>
            <w:pStyle w:val="TOC1"/>
            <w:tabs>
              <w:tab w:val="right" w:leader="dot" w:pos="8492"/>
            </w:tabs>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HYPERLINK \l _Toc20781 </w:instrText>
          </w:r>
          <w:r>
            <w:rPr>
              <w:rFonts w:ascii="Times New Roman" w:eastAsia="Times New Roman" w:hAnsi="Times New Roman" w:cs="Times New Roman"/>
              <w:szCs w:val="24"/>
            </w:rPr>
            <w:fldChar w:fldCharType="separate"/>
          </w:r>
          <w:r>
            <w:rPr>
              <w:rFonts w:hint="default"/>
            </w:rPr>
            <w:t xml:space="preserve">9. </w:t>
          </w:r>
          <w:r>
            <w:t>相关模板</w:t>
          </w:r>
          <w:r>
            <w:tab/>
          </w:r>
          <w:r>
            <w:fldChar w:fldCharType="begin"/>
          </w:r>
          <w:r>
            <w:instrText xml:space="preserve"> PAGEREF _Toc20781 \h </w:instrText>
          </w:r>
          <w:r>
            <w:fldChar w:fldCharType="separate"/>
          </w:r>
          <w:r>
            <w:t>15</w:t>
          </w:r>
          <w:r>
            <w:fldChar w:fldCharType="end"/>
          </w:r>
          <w:r>
            <w:rPr>
              <w:rFonts w:ascii="Times New Roman" w:eastAsia="Times New Roman" w:hAnsi="Times New Roman" w:cs="Times New Roman"/>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eastAsia="Times New Roman" w:hAnsi="Times New Roman" w:cs="Times New Roman"/>
              <w:snapToGrid w:val="0"/>
              <w:color w:val="000000"/>
              <w:kern w:val="0"/>
              <w:sz w:val="21"/>
              <w:szCs w:val="24"/>
              <w:lang w:val="en-US" w:eastAsia="en-US" w:bidi="ar-SA"/>
            </w:rPr>
          </w:pPr>
          <w:r>
            <w:rPr>
              <w:rFonts w:ascii="Times New Roman" w:eastAsia="Times New Roman" w:hAnsi="Times New Roman" w:cs="Times New Roman"/>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Times New Roman" w:eastAsia="Times New Roman" w:hAnsi="Times New Roman" w:cs="Times New Roman"/>
          <w:snapToGrid w:val="0"/>
          <w:color w:val="000000"/>
          <w:kern w:val="0"/>
          <w:sz w:val="21"/>
          <w:szCs w:val="24"/>
          <w:lang w:val="en-US" w:eastAsia="en-US" w:bidi="ar-SA"/>
        </w:rPr>
        <w:sectPr>
          <w:footerReference w:type="default" r:id="rId8"/>
          <w:pgSz w:w="11906" w:h="16839"/>
          <w:pgMar w:top="1460" w:right="1710" w:bottom="1234" w:left="1704" w:header="0" w:footer="1070"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_Toc650"/>
      <w:r>
        <w:t>目的</w:t>
      </w:r>
      <w:bookmarkEnd w:id="4"/>
    </w:p>
    <w:p>
      <w:pPr>
        <w:pStyle w:val="a"/>
        <w:bidi w:val="0"/>
      </w:pPr>
      <w:r>
        <w:t>为了更好的管理公司的IT运维能力体系，向其他管理过程提供相关信息和支持。</w:t>
      </w:r>
    </w:p>
    <w:p>
      <w:pPr>
        <w:pStyle w:val="a"/>
        <w:bidi w:val="0"/>
      </w:pPr>
      <w:r>
        <w:t>通过配置管理过程的定义，将建立一个完整的配置项能力体系，从而实现：</w:t>
      </w:r>
    </w:p>
    <w:p>
      <w:pPr>
        <w:pStyle w:val="a3"/>
        <w:numPr>
          <w:ilvl w:val="0"/>
          <w:numId w:val="2"/>
        </w:numPr>
        <w:bidi w:val="0"/>
      </w:pPr>
      <w:r>
        <w:t>所有范围内的配置项（CI） 被识别和记录下来</w:t>
      </w:r>
    </w:p>
    <w:p>
      <w:pPr>
        <w:pStyle w:val="a3"/>
        <w:numPr>
          <w:ilvl w:val="0"/>
          <w:numId w:val="2"/>
        </w:numPr>
        <w:bidi w:val="0"/>
      </w:pPr>
      <w:r>
        <w:t>配置项当前和历史状态得到汇报</w:t>
      </w:r>
    </w:p>
    <w:p>
      <w:pPr>
        <w:pStyle w:val="a3"/>
        <w:numPr>
          <w:ilvl w:val="0"/>
          <w:numId w:val="2"/>
        </w:numPr>
        <w:bidi w:val="0"/>
      </w:pPr>
      <w:r>
        <w:t>配置项记录的完整性得到维护和确认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064"/>
      <w:r>
        <w:t>适应范围</w:t>
      </w:r>
      <w:bookmarkEnd w:id="5"/>
    </w:p>
    <w:p>
      <w:pPr>
        <w:pStyle w:val="a"/>
        <w:bidi w:val="0"/>
        <w:rPr>
          <w:rFonts w:hint="eastAsia"/>
          <w:lang w:val="en-US" w:eastAsia="zh-CN"/>
        </w:rPr>
      </w:pPr>
      <w:r>
        <w:t>配置管理范围是指公司服务客户的生产环境中所有运维管理对象，包括</w:t>
      </w:r>
      <w:r>
        <w:rPr>
          <w:rFonts w:hint="eastAsia"/>
          <w:lang w:eastAsia="zh-CN"/>
        </w:rPr>
        <w:t>：</w:t>
      </w:r>
    </w:p>
    <w:p>
      <w:pPr>
        <w:pStyle w:val="a3"/>
        <w:numPr>
          <w:ilvl w:val="0"/>
          <w:numId w:val="3"/>
        </w:numPr>
        <w:bidi w:val="0"/>
      </w:pPr>
      <w:r>
        <w:t>基础环境</w:t>
      </w:r>
    </w:p>
    <w:p>
      <w:pPr>
        <w:pStyle w:val="a3"/>
        <w:numPr>
          <w:ilvl w:val="0"/>
          <w:numId w:val="3"/>
        </w:numPr>
        <w:bidi w:val="0"/>
      </w:pPr>
      <w:r>
        <w:t>专用硬件设备</w:t>
      </w:r>
    </w:p>
    <w:p>
      <w:pPr>
        <w:pStyle w:val="a3"/>
        <w:numPr>
          <w:ilvl w:val="0"/>
          <w:numId w:val="3"/>
        </w:numPr>
        <w:bidi w:val="0"/>
      </w:pPr>
      <w:r>
        <w:t>软件</w:t>
      </w:r>
    </w:p>
    <w:p>
      <w:pPr>
        <w:pStyle w:val="a3"/>
        <w:numPr>
          <w:ilvl w:val="0"/>
          <w:numId w:val="3"/>
        </w:numPr>
        <w:bidi w:val="0"/>
      </w:pPr>
      <w:r>
        <w:t>组织人员</w:t>
      </w:r>
    </w:p>
    <w:p>
      <w:pPr>
        <w:pStyle w:val="a3"/>
        <w:numPr>
          <w:ilvl w:val="0"/>
          <w:numId w:val="3"/>
        </w:numPr>
        <w:bidi w:val="0"/>
      </w:pPr>
      <w:r>
        <w:t>文档</w:t>
      </w:r>
    </w:p>
    <w:p>
      <w:pPr>
        <w:pStyle w:val="a3"/>
        <w:numPr>
          <w:ilvl w:val="0"/>
          <w:numId w:val="3"/>
        </w:numPr>
        <w:bidi w:val="0"/>
      </w:pPr>
      <w:r>
        <w:t>合同</w:t>
      </w:r>
    </w:p>
    <w:p>
      <w:pPr>
        <w:pStyle w:val="a"/>
        <w:bidi w:val="0"/>
      </w:pPr>
      <w:r>
        <w:t>具体以运维合同中的服务项目及影响服务效果的必要信息为准。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3315"/>
      <w:r>
        <w:t>术语定义</w:t>
      </w:r>
      <w:bookmarkEnd w:id="6"/>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351"/>
        <w:gridCol w:w="1970"/>
        <w:gridCol w:w="5201"/>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0"/>
          <w:jc w:val="center"/>
        </w:trPr>
        <w:tc>
          <w:tcPr>
            <w:tcW w:w="1351" w:type="dxa"/>
            <w:tcBorders>
              <w:top w:val="single" w:sz="12" w:space="0" w:color="000000"/>
              <w:left w:val="single" w:sz="12" w:space="0" w:color="000000"/>
            </w:tcBorders>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343"/>
              <w:textAlignment w:val="baseline"/>
              <w:rPr>
                <w:rFonts w:ascii="宋体" w:eastAsia="宋体" w:hAnsi="宋体" w:cs="宋体"/>
                <w:sz w:val="18"/>
                <w:szCs w:val="18"/>
              </w:rPr>
            </w:pPr>
            <w:r>
              <w:rPr>
                <w:rFonts w:ascii="宋体" w:eastAsia="宋体" w:hAnsi="宋体" w:cs="宋体"/>
                <w:b/>
                <w:bCs/>
                <w:spacing w:val="-5"/>
                <w:sz w:val="18"/>
                <w:szCs w:val="18"/>
              </w:rPr>
              <w:t>术语</w:t>
            </w:r>
          </w:p>
        </w:tc>
        <w:tc>
          <w:tcPr>
            <w:tcW w:w="1970" w:type="dxa"/>
            <w:tcBorders>
              <w:top w:val="single" w:sz="12" w:space="0" w:color="000000"/>
            </w:tcBorders>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19" w:lineRule="auto"/>
              <w:ind w:left="849"/>
              <w:textAlignment w:val="baseline"/>
              <w:rPr>
                <w:rFonts w:ascii="宋体" w:eastAsia="宋体" w:hAnsi="宋体" w:cs="宋体"/>
                <w:sz w:val="18"/>
                <w:szCs w:val="18"/>
              </w:rPr>
            </w:pPr>
            <w:r>
              <w:rPr>
                <w:rFonts w:ascii="宋体" w:eastAsia="宋体" w:hAnsi="宋体" w:cs="宋体"/>
                <w:b/>
                <w:bCs/>
                <w:spacing w:val="-4"/>
                <w:sz w:val="18"/>
                <w:szCs w:val="18"/>
              </w:rPr>
              <w:t>缩略词</w:t>
            </w:r>
          </w:p>
        </w:tc>
        <w:tc>
          <w:tcPr>
            <w:tcW w:w="5201" w:type="dxa"/>
            <w:tcBorders>
              <w:top w:val="single" w:sz="12" w:space="0" w:color="000000"/>
              <w:right w:val="single" w:sz="12" w:space="0" w:color="000000"/>
            </w:tcBorders>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423"/>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22" w:type="dxa"/>
          <w:jc w:val="center"/>
          <w:tblLayout w:type="fixed"/>
          <w:tblCellMar>
            <w:top w:w="0" w:type="dxa"/>
            <w:left w:w="0" w:type="dxa"/>
            <w:bottom w:w="0" w:type="dxa"/>
            <w:right w:w="0" w:type="dxa"/>
          </w:tblCellMar>
        </w:tblPrEx>
        <w:trPr>
          <w:trHeight w:val="1406"/>
          <w:jc w:val="center"/>
        </w:trPr>
        <w:tc>
          <w:tcPr>
            <w:tcW w:w="1351"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08"/>
              <w:textAlignment w:val="baseline"/>
              <w:rPr>
                <w:rFonts w:ascii="宋体" w:eastAsia="宋体" w:hAnsi="宋体" w:cs="宋体"/>
                <w:sz w:val="21"/>
                <w:szCs w:val="21"/>
              </w:rPr>
            </w:pPr>
            <w:r>
              <w:rPr>
                <w:rFonts w:ascii="宋体" w:eastAsia="宋体" w:hAnsi="宋体" w:cs="宋体"/>
                <w:spacing w:val="-2"/>
                <w:sz w:val="21"/>
                <w:szCs w:val="21"/>
              </w:rPr>
              <w:t>配置项</w:t>
            </w:r>
          </w:p>
        </w:tc>
        <w:tc>
          <w:tcPr>
            <w:tcW w:w="19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73" w:line="181" w:lineRule="auto"/>
              <w:ind w:left="1014"/>
              <w:textAlignment w:val="baseline"/>
              <w:rPr>
                <w:rFonts w:ascii="宋体" w:eastAsia="宋体" w:hAnsi="宋体" w:cs="宋体"/>
                <w:sz w:val="21"/>
                <w:szCs w:val="21"/>
              </w:rPr>
            </w:pPr>
            <w:r>
              <w:rPr>
                <w:rFonts w:ascii="宋体" w:eastAsia="宋体" w:hAnsi="宋体" w:cs="宋体"/>
                <w:spacing w:val="-2"/>
                <w:sz w:val="21"/>
                <w:szCs w:val="21"/>
              </w:rPr>
              <w:t>CI</w:t>
            </w:r>
          </w:p>
          <w:p>
            <w:pPr>
              <w:keepNext w:val="0"/>
              <w:keepLines w:val="0"/>
              <w:pageBreakBefore w:val="0"/>
              <w:widowControl w:val="0"/>
              <w:kinsoku w:val="0"/>
              <w:wordWrap/>
              <w:overflowPunct/>
              <w:topLinePunct w:val="0"/>
              <w:autoSpaceDE w:val="0"/>
              <w:autoSpaceDN w:val="0"/>
              <w:bidi w:val="0"/>
              <w:adjustRightInd w:val="0"/>
              <w:snapToGrid w:val="0"/>
              <w:spacing w:before="226" w:line="214" w:lineRule="auto"/>
              <w:ind w:left="422"/>
              <w:textAlignment w:val="baseline"/>
              <w:rPr>
                <w:rFonts w:ascii="宋体" w:eastAsia="宋体" w:hAnsi="宋体" w:cs="宋体"/>
                <w:sz w:val="21"/>
                <w:szCs w:val="21"/>
              </w:rPr>
            </w:pPr>
            <w:r>
              <w:rPr>
                <w:rFonts w:ascii="宋体" w:eastAsia="宋体" w:hAnsi="宋体" w:cs="宋体"/>
                <w:spacing w:val="-3"/>
                <w:sz w:val="21"/>
                <w:szCs w:val="21"/>
              </w:rPr>
              <w:t>(Configuration</w:t>
            </w:r>
          </w:p>
          <w:p>
            <w:pPr>
              <w:keepNext w:val="0"/>
              <w:keepLines w:val="0"/>
              <w:pageBreakBefore w:val="0"/>
              <w:widowControl w:val="0"/>
              <w:kinsoku w:val="0"/>
              <w:wordWrap/>
              <w:overflowPunct/>
              <w:topLinePunct w:val="0"/>
              <w:autoSpaceDE w:val="0"/>
              <w:autoSpaceDN w:val="0"/>
              <w:bidi w:val="0"/>
              <w:adjustRightInd w:val="0"/>
              <w:snapToGrid w:val="0"/>
              <w:spacing w:before="69" w:line="222" w:lineRule="auto"/>
              <w:ind w:left="869"/>
              <w:textAlignment w:val="baseline"/>
              <w:rPr>
                <w:rFonts w:ascii="宋体" w:eastAsia="宋体" w:hAnsi="宋体" w:cs="宋体"/>
                <w:sz w:val="21"/>
                <w:szCs w:val="21"/>
              </w:rPr>
            </w:pPr>
            <w:r>
              <w:rPr>
                <w:rFonts w:ascii="宋体" w:eastAsia="宋体" w:hAnsi="宋体" w:cs="宋体"/>
                <w:spacing w:val="-4"/>
                <w:sz w:val="21"/>
                <w:szCs w:val="21"/>
              </w:rPr>
              <w:t>Item)</w:t>
            </w:r>
          </w:p>
        </w:tc>
        <w:tc>
          <w:tcPr>
            <w:tcW w:w="5201" w:type="dxa"/>
            <w:tcBorders>
              <w:righ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208" w:line="219" w:lineRule="auto"/>
              <w:ind w:left="110"/>
              <w:textAlignment w:val="baseline"/>
              <w:rPr>
                <w:rFonts w:ascii="宋体" w:eastAsia="宋体" w:hAnsi="宋体" w:cs="宋体"/>
                <w:sz w:val="21"/>
                <w:szCs w:val="21"/>
              </w:rPr>
            </w:pPr>
            <w:r>
              <w:rPr>
                <w:rFonts w:ascii="宋体" w:eastAsia="宋体" w:hAnsi="宋体" w:cs="宋体"/>
                <w:spacing w:val="-4"/>
                <w:sz w:val="21"/>
                <w:szCs w:val="21"/>
              </w:rPr>
              <w:t>为提供某</w:t>
            </w:r>
            <w:r>
              <w:rPr>
                <w:rFonts w:ascii="宋体" w:eastAsia="宋体" w:hAnsi="宋体" w:cs="宋体"/>
                <w:spacing w:val="-17"/>
                <w:sz w:val="21"/>
                <w:szCs w:val="21"/>
              </w:rPr>
              <w:t xml:space="preserve"> </w:t>
            </w:r>
            <w:r>
              <w:rPr>
                <w:rFonts w:ascii="宋体" w:eastAsia="宋体" w:hAnsi="宋体" w:cs="宋体"/>
                <w:spacing w:val="-4"/>
                <w:sz w:val="21"/>
                <w:szCs w:val="21"/>
              </w:rPr>
              <w:t>IT</w:t>
            </w:r>
            <w:r>
              <w:rPr>
                <w:rFonts w:ascii="宋体" w:eastAsia="宋体" w:hAnsi="宋体" w:cs="宋体"/>
                <w:spacing w:val="-44"/>
                <w:sz w:val="21"/>
                <w:szCs w:val="21"/>
              </w:rPr>
              <w:t xml:space="preserve"> </w:t>
            </w:r>
            <w:r>
              <w:rPr>
                <w:rFonts w:ascii="宋体" w:eastAsia="宋体" w:hAnsi="宋体" w:cs="宋体"/>
                <w:spacing w:val="-4"/>
                <w:sz w:val="21"/>
                <w:szCs w:val="21"/>
              </w:rPr>
              <w:t>服务而需要进行管理的任何组件。</w:t>
            </w:r>
          </w:p>
        </w:tc>
      </w:tr>
      <w:tr>
        <w:tblPrEx>
          <w:tblW w:w="8522" w:type="dxa"/>
          <w:jc w:val="center"/>
          <w:tblLayout w:type="fixed"/>
          <w:tblCellMar>
            <w:top w:w="0" w:type="dxa"/>
            <w:left w:w="0" w:type="dxa"/>
            <w:bottom w:w="0" w:type="dxa"/>
            <w:right w:w="0" w:type="dxa"/>
          </w:tblCellMar>
        </w:tblPrEx>
        <w:trPr>
          <w:trHeight w:val="1401"/>
          <w:jc w:val="center"/>
        </w:trPr>
        <w:tc>
          <w:tcPr>
            <w:tcW w:w="1351"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76" w:lineRule="auto"/>
              <w:ind w:left="418" w:right="116" w:hanging="315"/>
              <w:textAlignment w:val="baseline"/>
              <w:rPr>
                <w:rFonts w:ascii="宋体" w:eastAsia="宋体" w:hAnsi="宋体" w:cs="宋体"/>
                <w:sz w:val="21"/>
                <w:szCs w:val="21"/>
              </w:rPr>
            </w:pPr>
            <w:r>
              <w:rPr>
                <w:rFonts w:ascii="宋体" w:eastAsia="宋体" w:hAnsi="宋体" w:cs="宋体"/>
                <w:spacing w:val="-3"/>
                <w:sz w:val="21"/>
                <w:szCs w:val="21"/>
              </w:rPr>
              <w:t>配置管理</w:t>
            </w:r>
            <w:r>
              <w:rPr>
                <w:rFonts w:ascii="宋体" w:eastAsia="宋体" w:hAnsi="宋体" w:cs="宋体"/>
                <w:sz w:val="21"/>
                <w:szCs w:val="21"/>
              </w:rPr>
              <w:t>库</w:t>
            </w:r>
          </w:p>
        </w:tc>
        <w:tc>
          <w:tcPr>
            <w:tcW w:w="19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914"/>
              <w:textAlignment w:val="baseline"/>
              <w:rPr>
                <w:rFonts w:ascii="宋体" w:eastAsia="宋体" w:hAnsi="宋体" w:cs="宋体"/>
                <w:sz w:val="21"/>
                <w:szCs w:val="21"/>
              </w:rPr>
            </w:pPr>
            <w:r>
              <w:rPr>
                <w:rFonts w:ascii="宋体" w:eastAsia="宋体" w:hAnsi="宋体" w:cs="宋体"/>
                <w:spacing w:val="-4"/>
                <w:sz w:val="21"/>
                <w:szCs w:val="21"/>
              </w:rPr>
              <w:t>cmdb</w:t>
            </w:r>
          </w:p>
        </w:tc>
        <w:tc>
          <w:tcPr>
            <w:tcW w:w="5201" w:type="dxa"/>
            <w:tcBorders>
              <w:righ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205" w:line="220" w:lineRule="auto"/>
              <w:ind w:left="109"/>
              <w:textAlignment w:val="baseline"/>
              <w:rPr>
                <w:rFonts w:ascii="宋体" w:eastAsia="宋体" w:hAnsi="宋体" w:cs="宋体"/>
                <w:sz w:val="21"/>
                <w:szCs w:val="21"/>
              </w:rPr>
            </w:pPr>
            <w:r>
              <w:rPr>
                <w:rFonts w:ascii="宋体" w:eastAsia="宋体" w:hAnsi="宋体" w:cs="宋体"/>
                <w:spacing w:val="-3"/>
                <w:sz w:val="21"/>
                <w:szCs w:val="21"/>
              </w:rPr>
              <w:t>用于在整个生命周期保存配置记录的数据；</w:t>
            </w:r>
          </w:p>
          <w:p>
            <w:pPr>
              <w:keepNext w:val="0"/>
              <w:keepLines w:val="0"/>
              <w:pageBreakBefore w:val="0"/>
              <w:widowControl w:val="0"/>
              <w:kinsoku w:val="0"/>
              <w:wordWrap/>
              <w:overflowPunct/>
              <w:topLinePunct w:val="0"/>
              <w:autoSpaceDE w:val="0"/>
              <w:autoSpaceDN w:val="0"/>
              <w:bidi w:val="0"/>
              <w:adjustRightInd w:val="0"/>
              <w:snapToGrid w:val="0"/>
              <w:spacing w:before="217" w:line="277" w:lineRule="auto"/>
              <w:ind w:left="125" w:right="251" w:hanging="17"/>
              <w:textAlignment w:val="baseline"/>
              <w:rPr>
                <w:rFonts w:ascii="宋体" w:eastAsia="宋体" w:hAnsi="宋体" w:cs="宋体"/>
                <w:sz w:val="21"/>
                <w:szCs w:val="21"/>
              </w:rPr>
            </w:pPr>
            <w:r>
              <w:rPr>
                <w:rFonts w:ascii="宋体" w:eastAsia="宋体" w:hAnsi="宋体" w:cs="宋体"/>
                <w:spacing w:val="-1"/>
                <w:sz w:val="21"/>
                <w:szCs w:val="21"/>
              </w:rPr>
              <w:t>配置管理库记录每个配置项的属性以及与其它配置项</w:t>
            </w:r>
            <w:r>
              <w:rPr>
                <w:rFonts w:ascii="宋体" w:eastAsia="宋体" w:hAnsi="宋体" w:cs="宋体"/>
                <w:spacing w:val="-11"/>
                <w:sz w:val="21"/>
                <w:szCs w:val="21"/>
              </w:rPr>
              <w:t>的关系。</w:t>
            </w:r>
          </w:p>
        </w:tc>
      </w:tr>
      <w:tr>
        <w:tblPrEx>
          <w:tblW w:w="8522" w:type="dxa"/>
          <w:jc w:val="center"/>
          <w:tblLayout w:type="fixed"/>
          <w:tblCellMar>
            <w:top w:w="0" w:type="dxa"/>
            <w:left w:w="0" w:type="dxa"/>
            <w:bottom w:w="0" w:type="dxa"/>
            <w:right w:w="0" w:type="dxa"/>
          </w:tblCellMar>
        </w:tblPrEx>
        <w:trPr>
          <w:trHeight w:val="1245"/>
          <w:jc w:val="center"/>
        </w:trPr>
        <w:tc>
          <w:tcPr>
            <w:tcW w:w="1351"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103"/>
              <w:textAlignment w:val="baseline"/>
              <w:rPr>
                <w:rFonts w:ascii="宋体" w:eastAsia="宋体" w:hAnsi="宋体" w:cs="宋体"/>
                <w:sz w:val="21"/>
                <w:szCs w:val="21"/>
              </w:rPr>
            </w:pPr>
            <w:r>
              <w:rPr>
                <w:rFonts w:ascii="宋体" w:eastAsia="宋体" w:hAnsi="宋体" w:cs="宋体"/>
                <w:spacing w:val="-2"/>
                <w:sz w:val="21"/>
                <w:szCs w:val="21"/>
              </w:rPr>
              <w:t>配置管理</w:t>
            </w:r>
          </w:p>
        </w:tc>
        <w:tc>
          <w:tcPr>
            <w:tcW w:w="19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77" w:lineRule="auto"/>
              <w:ind w:left="588" w:right="444" w:hanging="152"/>
              <w:textAlignment w:val="baseline"/>
              <w:rPr>
                <w:rFonts w:ascii="宋体" w:eastAsia="宋体" w:hAnsi="宋体" w:cs="宋体"/>
                <w:sz w:val="21"/>
                <w:szCs w:val="21"/>
              </w:rPr>
            </w:pPr>
            <w:r>
              <w:rPr>
                <w:rFonts w:ascii="宋体" w:eastAsia="宋体" w:hAnsi="宋体" w:cs="宋体"/>
                <w:spacing w:val="-1"/>
                <w:sz w:val="21"/>
                <w:szCs w:val="21"/>
              </w:rPr>
              <w:t>Configuration</w:t>
            </w:r>
            <w:r>
              <w:rPr>
                <w:rFonts w:ascii="宋体" w:eastAsia="宋体" w:hAnsi="宋体" w:cs="宋体"/>
                <w:spacing w:val="5"/>
                <w:sz w:val="21"/>
                <w:szCs w:val="21"/>
              </w:rPr>
              <w:t xml:space="preserve"> </w:t>
            </w:r>
            <w:r>
              <w:rPr>
                <w:rFonts w:ascii="宋体" w:eastAsia="宋体" w:hAnsi="宋体" w:cs="宋体"/>
                <w:spacing w:val="-1"/>
                <w:sz w:val="21"/>
                <w:szCs w:val="21"/>
              </w:rPr>
              <w:t>Management</w:t>
            </w:r>
          </w:p>
        </w:tc>
        <w:tc>
          <w:tcPr>
            <w:tcW w:w="5201" w:type="dxa"/>
            <w:tcBorders>
              <w:righ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208" w:line="276" w:lineRule="auto"/>
              <w:ind w:left="108" w:right="250" w:firstLine="2"/>
              <w:jc w:val="both"/>
              <w:textAlignment w:val="baseline"/>
              <w:rPr>
                <w:rFonts w:ascii="宋体" w:eastAsia="宋体" w:hAnsi="宋体" w:cs="宋体"/>
                <w:sz w:val="21"/>
                <w:szCs w:val="21"/>
              </w:rPr>
            </w:pPr>
            <w:r>
              <w:rPr>
                <w:rFonts w:ascii="宋体" w:eastAsia="宋体" w:hAnsi="宋体" w:cs="宋体"/>
                <w:spacing w:val="-1"/>
                <w:sz w:val="21"/>
                <w:szCs w:val="21"/>
              </w:rPr>
              <w:t>指由识别和确认系统的配置项、记录和报告配置项状态和变更请求、检验配置项的正确性和完整性等活动</w:t>
            </w:r>
            <w:r>
              <w:rPr>
                <w:rFonts w:ascii="宋体" w:eastAsia="宋体" w:hAnsi="宋体" w:cs="宋体"/>
                <w:spacing w:val="-4"/>
                <w:sz w:val="21"/>
                <w:szCs w:val="21"/>
              </w:rPr>
              <w:t>构成的服务管理过程。</w:t>
            </w:r>
          </w:p>
        </w:tc>
      </w:tr>
      <w:tr>
        <w:tblPrEx>
          <w:tblW w:w="8522" w:type="dxa"/>
          <w:jc w:val="center"/>
          <w:tblLayout w:type="fixed"/>
          <w:tblCellMar>
            <w:top w:w="0" w:type="dxa"/>
            <w:left w:w="0" w:type="dxa"/>
            <w:bottom w:w="0" w:type="dxa"/>
            <w:right w:w="0" w:type="dxa"/>
          </w:tblCellMar>
        </w:tblPrEx>
        <w:trPr>
          <w:trHeight w:val="627"/>
          <w:jc w:val="center"/>
        </w:trPr>
        <w:tc>
          <w:tcPr>
            <w:tcW w:w="1351" w:type="dxa"/>
            <w:tcBorders>
              <w:left w:val="single" w:sz="12" w:space="0" w:color="000000"/>
            </w:tcBorders>
            <w:vAlign w:val="center"/>
          </w:tcPr>
          <w:p>
            <w:pPr>
              <w:keepNext w:val="0"/>
              <w:keepLines w:val="0"/>
              <w:pageBreakBefore w:val="0"/>
              <w:widowControl w:val="0"/>
              <w:kinsoku w:val="0"/>
              <w:wordWrap/>
              <w:overflowPunct/>
              <w:topLinePunct w:val="0"/>
              <w:autoSpaceDE w:val="0"/>
              <w:autoSpaceDN w:val="0"/>
              <w:bidi w:val="0"/>
              <w:adjustRightInd w:val="0"/>
              <w:snapToGrid w:val="0"/>
              <w:spacing w:before="212" w:line="220" w:lineRule="auto"/>
              <w:ind w:left="313"/>
              <w:textAlignment w:val="baseline"/>
              <w:rPr>
                <w:rFonts w:ascii="宋体" w:eastAsia="宋体" w:hAnsi="宋体" w:cs="宋体"/>
                <w:sz w:val="21"/>
                <w:szCs w:val="21"/>
              </w:rPr>
            </w:pPr>
            <w:r>
              <w:rPr>
                <w:rFonts w:ascii="宋体" w:eastAsia="宋体" w:hAnsi="宋体" w:cs="宋体"/>
                <w:spacing w:val="-3"/>
                <w:sz w:val="21"/>
                <w:szCs w:val="21"/>
              </w:rPr>
              <w:t>基线</w:t>
            </w:r>
          </w:p>
        </w:tc>
        <w:tc>
          <w:tcPr>
            <w:tcW w:w="1970"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41"/>
              <w:ind w:left="695"/>
              <w:textAlignment w:val="baseline"/>
              <w:rPr>
                <w:rFonts w:ascii="宋体" w:eastAsia="宋体" w:hAnsi="宋体" w:cs="宋体"/>
                <w:sz w:val="21"/>
                <w:szCs w:val="21"/>
              </w:rPr>
            </w:pPr>
            <w:r>
              <w:rPr>
                <w:rFonts w:ascii="宋体" w:eastAsia="宋体" w:hAnsi="宋体" w:cs="宋体"/>
                <w:spacing w:val="-1"/>
                <w:sz w:val="21"/>
                <w:szCs w:val="21"/>
              </w:rPr>
              <w:t>Baseline</w:t>
            </w:r>
          </w:p>
        </w:tc>
        <w:tc>
          <w:tcPr>
            <w:tcW w:w="5201" w:type="dxa"/>
            <w:tcBorders>
              <w:right w:val="single" w:sz="12" w:space="0" w:color="000000"/>
            </w:tcBorders>
          </w:tcPr>
          <w:p>
            <w:pPr>
              <w:keepNext w:val="0"/>
              <w:keepLines w:val="0"/>
              <w:pageBreakBefore w:val="0"/>
              <w:widowControl w:val="0"/>
              <w:kinsoku w:val="0"/>
              <w:wordWrap/>
              <w:overflowPunct/>
              <w:topLinePunct w:val="0"/>
              <w:autoSpaceDE w:val="0"/>
              <w:autoSpaceDN w:val="0"/>
              <w:bidi w:val="0"/>
              <w:adjustRightInd w:val="0"/>
              <w:snapToGrid w:val="0"/>
              <w:spacing w:before="211" w:line="220" w:lineRule="auto"/>
              <w:ind w:left="111"/>
              <w:textAlignment w:val="baseline"/>
              <w:rPr>
                <w:rFonts w:ascii="宋体" w:eastAsia="宋体" w:hAnsi="宋体" w:cs="宋体"/>
                <w:sz w:val="21"/>
                <w:szCs w:val="21"/>
              </w:rPr>
            </w:pPr>
            <w:r>
              <w:rPr>
                <w:rFonts w:ascii="宋体" w:eastAsia="宋体" w:hAnsi="宋体" w:cs="宋体"/>
                <w:spacing w:val="-3"/>
                <w:sz w:val="21"/>
                <w:szCs w:val="21"/>
              </w:rPr>
              <w:t>一组配置项在某一特定时间点的状态记录。</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5239"/>
      <w:r>
        <w:t>角色及职责</w:t>
      </w:r>
      <w:bookmarkEnd w:id="7"/>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936"/>
        <w:gridCol w:w="6586"/>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jc w:val="center"/>
        </w:trPr>
        <w:tc>
          <w:tcPr>
            <w:tcW w:w="1936"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19"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5"/>
                <w:sz w:val="18"/>
                <w:szCs w:val="18"/>
              </w:rPr>
              <w:t>角色</w:t>
            </w:r>
          </w:p>
        </w:tc>
        <w:tc>
          <w:tcPr>
            <w:tcW w:w="6586"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4"/>
                <w:sz w:val="18"/>
                <w:szCs w:val="18"/>
              </w:rPr>
              <w:t>主要职责</w:t>
            </w:r>
          </w:p>
        </w:tc>
      </w:tr>
      <w:tr>
        <w:tblPrEx>
          <w:tblW w:w="8522" w:type="dxa"/>
          <w:jc w:val="center"/>
          <w:tblLayout w:type="fixed"/>
          <w:tblCellMar>
            <w:top w:w="0" w:type="dxa"/>
            <w:left w:w="0" w:type="dxa"/>
            <w:bottom w:w="0" w:type="dxa"/>
            <w:right w:w="0" w:type="dxa"/>
          </w:tblCellMar>
        </w:tblPrEx>
        <w:trPr>
          <w:trHeight w:val="1245"/>
          <w:jc w:val="center"/>
        </w:trPr>
        <w:tc>
          <w:tcPr>
            <w:tcW w:w="193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0" w:right="0" w:firstLine="0" w:leftChars="0" w:rightChars="0" w:firstLineChars="0"/>
              <w:jc w:val="center"/>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运维项目经理</w:t>
            </w:r>
          </w:p>
        </w:tc>
        <w:tc>
          <w:tcPr>
            <w:tcW w:w="6586" w:type="dxa"/>
          </w:tcPr>
          <w:p>
            <w:pPr>
              <w:keepNext w:val="0"/>
              <w:keepLines w:val="0"/>
              <w:pageBreakBefore w:val="0"/>
              <w:widowControl w:val="0"/>
              <w:kinsoku w:val="0"/>
              <w:wordWrap/>
              <w:overflowPunct/>
              <w:topLinePunct w:val="0"/>
              <w:autoSpaceDE w:val="0"/>
              <w:autoSpaceDN w:val="0"/>
              <w:bidi w:val="0"/>
              <w:adjustRightInd w:val="0"/>
              <w:snapToGrid w:val="0"/>
              <w:spacing w:before="204" w:line="220" w:lineRule="auto"/>
              <w:ind w:left="0" w:right="0" w:firstLine="0" w:leftChars="0" w:rightChars="0" w:firstLineChars="0"/>
              <w:jc w:val="left"/>
              <w:textAlignment w:val="baseline"/>
              <w:rPr>
                <w:rFonts w:ascii="宋体" w:eastAsia="宋体" w:hAnsi="宋体" w:cs="宋体"/>
                <w:sz w:val="21"/>
                <w:szCs w:val="21"/>
              </w:rPr>
            </w:pPr>
            <w:r>
              <w:rPr>
                <w:rFonts w:ascii="宋体" w:eastAsia="宋体" w:hAnsi="宋体" w:cs="宋体"/>
                <w:spacing w:val="-3"/>
                <w:sz w:val="21"/>
                <w:szCs w:val="21"/>
              </w:rPr>
              <w:t>负责配置管理流程中所有具体活动的协调和监控；</w:t>
            </w:r>
          </w:p>
          <w:p>
            <w:pPr>
              <w:keepNext w:val="0"/>
              <w:keepLines w:val="0"/>
              <w:pageBreakBefore w:val="0"/>
              <w:widowControl w:val="0"/>
              <w:kinsoku w:val="0"/>
              <w:wordWrap/>
              <w:overflowPunct/>
              <w:topLinePunct w:val="0"/>
              <w:autoSpaceDE w:val="0"/>
              <w:autoSpaceDN w:val="0"/>
              <w:bidi w:val="0"/>
              <w:adjustRightInd w:val="0"/>
              <w:snapToGrid w:val="0"/>
              <w:spacing w:before="61" w:line="277" w:lineRule="auto"/>
              <w:ind w:left="0" w:right="0" w:firstLine="0" w:leftChars="0" w:rightChars="0" w:firstLineChars="0"/>
              <w:jc w:val="left"/>
              <w:textAlignment w:val="baseline"/>
              <w:rPr>
                <w:rFonts w:ascii="宋体" w:eastAsia="宋体" w:hAnsi="宋体" w:cs="宋体"/>
                <w:sz w:val="21"/>
                <w:szCs w:val="21"/>
              </w:rPr>
            </w:pPr>
            <w:r>
              <w:rPr>
                <w:rFonts w:ascii="宋体" w:eastAsia="宋体" w:hAnsi="宋体" w:cs="宋体"/>
                <w:spacing w:val="-1"/>
                <w:sz w:val="21"/>
                <w:szCs w:val="21"/>
              </w:rPr>
              <w:t>发起和协调配置项的规划、识别、监控、控制、维护、审计、审批等</w:t>
            </w:r>
            <w:r>
              <w:rPr>
                <w:rFonts w:ascii="宋体" w:eastAsia="宋体" w:hAnsi="宋体" w:cs="宋体"/>
                <w:spacing w:val="-14"/>
                <w:sz w:val="21"/>
                <w:szCs w:val="21"/>
              </w:rPr>
              <w:t>工作；</w:t>
            </w:r>
          </w:p>
        </w:tc>
      </w:tr>
      <w:tr>
        <w:tblPrEx>
          <w:tblW w:w="8522" w:type="dxa"/>
          <w:jc w:val="center"/>
          <w:tblLayout w:type="fixed"/>
          <w:tblCellMar>
            <w:top w:w="0" w:type="dxa"/>
            <w:left w:w="0" w:type="dxa"/>
            <w:bottom w:w="0" w:type="dxa"/>
            <w:right w:w="0" w:type="dxa"/>
          </w:tblCellMar>
        </w:tblPrEx>
        <w:trPr>
          <w:trHeight w:val="1872"/>
          <w:jc w:val="center"/>
        </w:trPr>
        <w:tc>
          <w:tcPr>
            <w:tcW w:w="1936"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0" w:right="0" w:firstLine="0" w:leftChars="0" w:rightChars="0" w:firstLineChars="0"/>
              <w:jc w:val="center"/>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6586" w:type="dxa"/>
          </w:tcPr>
          <w:p>
            <w:pPr>
              <w:keepNext w:val="0"/>
              <w:keepLines w:val="0"/>
              <w:pageBreakBefore w:val="0"/>
              <w:widowControl w:val="0"/>
              <w:kinsoku w:val="0"/>
              <w:wordWrap/>
              <w:overflowPunct/>
              <w:topLinePunct w:val="0"/>
              <w:autoSpaceDE w:val="0"/>
              <w:autoSpaceDN w:val="0"/>
              <w:bidi w:val="0"/>
              <w:adjustRightInd w:val="0"/>
              <w:snapToGrid w:val="0"/>
              <w:spacing w:before="209" w:line="276" w:lineRule="auto"/>
              <w:ind w:left="0" w:right="0" w:firstLine="0" w:leftChars="0" w:rightChars="0" w:firstLineChars="0"/>
              <w:jc w:val="left"/>
              <w:textAlignment w:val="baseline"/>
              <w:rPr>
                <w:rFonts w:ascii="宋体" w:eastAsia="宋体" w:hAnsi="宋体" w:cs="宋体"/>
                <w:sz w:val="21"/>
                <w:szCs w:val="21"/>
              </w:rPr>
            </w:pPr>
            <w:r>
              <w:rPr>
                <w:rFonts w:ascii="宋体" w:eastAsia="宋体" w:hAnsi="宋体" w:cs="宋体"/>
                <w:spacing w:val="-1"/>
                <w:sz w:val="21"/>
                <w:szCs w:val="21"/>
              </w:rPr>
              <w:t>负责维护配置数据的完整性，并保障提供给运行管理相关各个流程的</w:t>
            </w:r>
            <w:r>
              <w:rPr>
                <w:rFonts w:ascii="宋体" w:eastAsia="宋体" w:hAnsi="宋体" w:cs="宋体"/>
                <w:spacing w:val="-8"/>
                <w:sz w:val="21"/>
                <w:szCs w:val="21"/>
              </w:rPr>
              <w:t>信息准确性；</w:t>
            </w:r>
          </w:p>
          <w:p>
            <w:pPr>
              <w:keepNext w:val="0"/>
              <w:keepLines w:val="0"/>
              <w:pageBreakBefore w:val="0"/>
              <w:widowControl w:val="0"/>
              <w:kinsoku w:val="0"/>
              <w:wordWrap/>
              <w:overflowPunct/>
              <w:topLinePunct w:val="0"/>
              <w:autoSpaceDE w:val="0"/>
              <w:autoSpaceDN w:val="0"/>
              <w:bidi w:val="0"/>
              <w:adjustRightInd w:val="0"/>
              <w:snapToGrid w:val="0"/>
              <w:spacing w:before="151" w:line="219" w:lineRule="auto"/>
              <w:ind w:left="0" w:right="0" w:firstLine="0" w:leftChars="0" w:rightChars="0" w:firstLineChars="0"/>
              <w:jc w:val="left"/>
              <w:textAlignment w:val="baseline"/>
              <w:rPr>
                <w:rFonts w:ascii="宋体" w:eastAsia="宋体" w:hAnsi="宋体" w:cs="宋体"/>
                <w:sz w:val="21"/>
                <w:szCs w:val="21"/>
              </w:rPr>
            </w:pPr>
            <w:r>
              <w:rPr>
                <w:rFonts w:ascii="宋体" w:eastAsia="宋体" w:hAnsi="宋体" w:cs="宋体"/>
                <w:spacing w:val="-5"/>
                <w:sz w:val="21"/>
                <w:szCs w:val="21"/>
              </w:rPr>
              <w:t>配置信息维护表的发布；</w:t>
            </w:r>
          </w:p>
          <w:p>
            <w:pPr>
              <w:keepNext w:val="0"/>
              <w:keepLines w:val="0"/>
              <w:pageBreakBefore w:val="0"/>
              <w:widowControl w:val="0"/>
              <w:kinsoku w:val="0"/>
              <w:wordWrap/>
              <w:overflowPunct/>
              <w:topLinePunct w:val="0"/>
              <w:autoSpaceDE w:val="0"/>
              <w:autoSpaceDN w:val="0"/>
              <w:bidi w:val="0"/>
              <w:adjustRightInd w:val="0"/>
              <w:snapToGrid w:val="0"/>
              <w:spacing w:before="219" w:line="218" w:lineRule="auto"/>
              <w:ind w:left="0" w:right="0" w:firstLine="0" w:leftChars="0" w:rightChars="0" w:firstLineChars="0"/>
              <w:jc w:val="left"/>
              <w:textAlignment w:val="baseline"/>
              <w:rPr>
                <w:rFonts w:ascii="宋体" w:eastAsia="宋体" w:hAnsi="宋体" w:cs="宋体"/>
                <w:sz w:val="21"/>
                <w:szCs w:val="21"/>
              </w:rPr>
            </w:pPr>
            <w:r>
              <w:rPr>
                <w:rFonts w:ascii="宋体" w:eastAsia="宋体" w:hAnsi="宋体" w:cs="宋体"/>
                <w:spacing w:val="-2"/>
                <w:sz w:val="21"/>
                <w:szCs w:val="21"/>
              </w:rPr>
              <w:t>负责对配置管理库的配置项做审计，制定审</w:t>
            </w:r>
            <w:r>
              <w:rPr>
                <w:rFonts w:ascii="宋体" w:eastAsia="宋体" w:hAnsi="宋体" w:cs="宋体"/>
                <w:spacing w:val="-3"/>
                <w:sz w:val="21"/>
                <w:szCs w:val="21"/>
              </w:rPr>
              <w:t>计计划及审计报告；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31085"/>
      <w:r>
        <w:t>配置管理过程说明</w:t>
      </w:r>
      <w:bookmarkEnd w:id="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4023"/>
      <w:r>
        <w:t>触发关闭及输入输出</w:t>
      </w:r>
      <w:bookmarkEnd w:id="9"/>
    </w:p>
    <w:p>
      <w:pPr>
        <w:pStyle w:val="a3"/>
        <w:numPr>
          <w:ilvl w:val="0"/>
          <w:numId w:val="4"/>
        </w:numPr>
        <w:bidi w:val="0"/>
      </w:pPr>
      <w:r>
        <w:t>配置库的建立</w:t>
      </w:r>
    </w:p>
    <w:p>
      <w:pPr>
        <w:pStyle w:val="a3"/>
        <w:numPr>
          <w:ilvl w:val="0"/>
          <w:numId w:val="5"/>
        </w:numPr>
        <w:bidi w:val="0"/>
        <w:ind w:left="845" w:leftChars="0"/>
      </w:pPr>
      <w:r>
        <w:t>新项目在项目策划阶段要建立项目的配置管理库</w:t>
      </w:r>
    </w:p>
    <w:p>
      <w:pPr>
        <w:pStyle w:val="a3"/>
        <w:numPr>
          <w:ilvl w:val="0"/>
          <w:numId w:val="4"/>
        </w:numPr>
        <w:bidi w:val="0"/>
      </w:pPr>
      <w:r>
        <w:t>变更配置库</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IT服务管理范围扩大时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配置项中新增配置项类别时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删除某配置项类别时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某配置项扩展新的配置属性时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某配置项删除配置属性时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新增配置项实例</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删除配置项实例</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配置项信息发生变化时</w:t>
      </w:r>
    </w:p>
    <w:p>
      <w:pPr>
        <w:pStyle w:val="a3"/>
        <w:keepNext w:val="0"/>
        <w:keepLines w:val="0"/>
        <w:pageBreakBefore w:val="0"/>
        <w:widowControl w:val="0"/>
        <w:numPr>
          <w:ilvl w:val="0"/>
          <w:numId w:val="6"/>
        </w:numPr>
        <w:kinsoku w:val="0"/>
        <w:wordWrap/>
        <w:overflowPunct/>
        <w:topLinePunct w:val="0"/>
        <w:autoSpaceDE w:val="0"/>
        <w:autoSpaceDN w:val="0"/>
        <w:bidi w:val="0"/>
        <w:adjustRightInd w:val="0"/>
        <w:snapToGrid w:val="0"/>
        <w:ind w:left="845" w:leftChars="0"/>
        <w:textAlignment w:val="baseline"/>
      </w:pPr>
      <w:r>
        <w:t>对配置项进行审计时</w:t>
      </w:r>
    </w:p>
    <w:p>
      <w:pPr>
        <w:pStyle w:val="a3"/>
        <w:numPr>
          <w:ilvl w:val="0"/>
          <w:numId w:val="4"/>
        </w:numPr>
        <w:bidi w:val="0"/>
      </w:pPr>
      <w:r>
        <w:t>过程输入</w:t>
      </w:r>
    </w:p>
    <w:p>
      <w:pPr>
        <w:pStyle w:val="a3"/>
        <w:keepNext w:val="0"/>
        <w:keepLines w:val="0"/>
        <w:pageBreakBefore w:val="0"/>
        <w:widowControl w:val="0"/>
        <w:numPr>
          <w:ilvl w:val="0"/>
          <w:numId w:val="7"/>
        </w:numPr>
        <w:kinsoku w:val="0"/>
        <w:wordWrap/>
        <w:overflowPunct/>
        <w:topLinePunct w:val="0"/>
        <w:autoSpaceDE w:val="0"/>
        <w:autoSpaceDN w:val="0"/>
        <w:bidi w:val="0"/>
        <w:adjustRightInd w:val="0"/>
        <w:snapToGrid w:val="0"/>
        <w:ind w:left="845" w:hanging="425" w:leftChars="0" w:firstLineChars="0"/>
        <w:textAlignment w:val="baseline"/>
      </w:pPr>
      <w:r>
        <w:t>服务对象的 IT 运维现状</w:t>
      </w:r>
    </w:p>
    <w:p>
      <w:pPr>
        <w:pStyle w:val="a3"/>
        <w:numPr>
          <w:ilvl w:val="0"/>
          <w:numId w:val="4"/>
        </w:numPr>
        <w:bidi w:val="0"/>
      </w:pPr>
      <w:r>
        <w:t>过程输出</w:t>
      </w:r>
    </w:p>
    <w:p>
      <w:pPr>
        <w:pStyle w:val="a3"/>
        <w:keepNext w:val="0"/>
        <w:keepLines w:val="0"/>
        <w:pageBreakBefore w:val="0"/>
        <w:widowControl w:val="0"/>
        <w:numPr>
          <w:ilvl w:val="0"/>
          <w:numId w:val="8"/>
        </w:numPr>
        <w:kinsoku w:val="0"/>
        <w:wordWrap/>
        <w:overflowPunct/>
        <w:topLinePunct w:val="0"/>
        <w:autoSpaceDE w:val="0"/>
        <w:autoSpaceDN w:val="0"/>
        <w:bidi w:val="0"/>
        <w:adjustRightInd w:val="0"/>
        <w:snapToGrid w:val="0"/>
        <w:ind w:left="845" w:hanging="425" w:leftChars="0" w:firstLineChars="0"/>
        <w:textAlignment w:val="baseline"/>
      </w:pPr>
      <w:r>
        <w:t>配置管理库审计报告</w:t>
      </w:r>
    </w:p>
    <w:p>
      <w:pPr>
        <w:pStyle w:val="a3"/>
        <w:numPr>
          <w:ilvl w:val="0"/>
          <w:numId w:val="4"/>
        </w:numPr>
        <w:bidi w:val="0"/>
      </w:pPr>
      <w:r>
        <w:t>关闭条件</w:t>
      </w:r>
    </w:p>
    <w:p>
      <w:pPr>
        <w:pStyle w:val="a3"/>
        <w:numPr>
          <w:ilvl w:val="0"/>
          <w:numId w:val="9"/>
        </w:numPr>
        <w:bidi w:val="0"/>
      </w:pPr>
      <w:r>
        <w:t>配置项经过审计并经</w:t>
      </w:r>
      <w:r>
        <w:rPr>
          <w:rFonts w:hint="eastAsia"/>
          <w:lang w:eastAsia="zh-CN"/>
        </w:rPr>
        <w:t>运维项目经理</w:t>
      </w:r>
      <w:r>
        <w:t>审核后</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_Toc25258"/>
      <w:r>
        <w:t>过程执行原则</w:t>
      </w:r>
      <w:bookmarkEnd w:id="10"/>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常规原则</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hanging="425" w:leftChars="0" w:firstLineChars="0"/>
        <w:textAlignment w:val="baseline"/>
      </w:pPr>
      <w:r>
        <w:t>使用统一的配置管理过程，并且使用标准的文档记录和汇报机制。</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hanging="425" w:leftChars="0" w:firstLineChars="0"/>
        <w:textAlignment w:val="baseline"/>
      </w:pPr>
      <w:r>
        <w:t>在公司信息管理整个组织的参与下，所有配置管理范围内的部件和信息采用集中式管理。这些信息在其他过程需要的时候可以随时调用，如事件、问题、变更管理。</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hanging="425" w:leftChars="0" w:firstLineChars="0"/>
        <w:textAlignment w:val="baseline"/>
      </w:pPr>
      <w:r>
        <w:t>对配置管理信息的请求可以通过事件、问题、变更管理提出。</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hanging="425" w:leftChars="0" w:firstLineChars="0"/>
        <w:textAlignment w:val="baseline"/>
      </w:pPr>
      <w:r>
        <w:t>定期由</w:t>
      </w:r>
      <w:r>
        <w:rPr>
          <w:rFonts w:hint="eastAsia"/>
          <w:lang w:eastAsia="zh-CN"/>
        </w:rPr>
        <w:t>运维项目经理</w:t>
      </w:r>
      <w:r>
        <w:t>发起对配置状态、属性及关系等信息的审计和验证，并产生相关的审计报表。</w:t>
      </w:r>
    </w:p>
    <w:p>
      <w:pPr>
        <w:pStyle w:val="a3"/>
        <w:keepNext w:val="0"/>
        <w:keepLines w:val="0"/>
        <w:pageBreakBefore w:val="0"/>
        <w:widowControl w:val="0"/>
        <w:numPr>
          <w:ilvl w:val="0"/>
          <w:numId w:val="11"/>
        </w:numPr>
        <w:kinsoku w:val="0"/>
        <w:wordWrap/>
        <w:overflowPunct/>
        <w:topLinePunct w:val="0"/>
        <w:autoSpaceDE w:val="0"/>
        <w:autoSpaceDN w:val="0"/>
        <w:bidi w:val="0"/>
        <w:adjustRightInd w:val="0"/>
        <w:snapToGrid w:val="0"/>
        <w:ind w:left="845" w:hanging="425" w:leftChars="0" w:firstLineChars="0"/>
        <w:textAlignment w:val="baseline"/>
      </w:pPr>
      <w:r>
        <w:t>只有当前和短期的历史配置信息是可用的。长期的历史信息将被归档，独立保存。</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配置项分类</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（见</w:t>
      </w:r>
      <w:r>
        <w:rPr>
          <w:rFonts w:hint="eastAsia"/>
          <w:lang w:val="en-US" w:eastAsia="zh-CN"/>
        </w:rPr>
        <w:t>附件1：</w:t>
      </w:r>
      <w:r>
        <w:t>配置信息维护表）</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配置项编号命名规范</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为了便于在配置管理库中快速搜索记录并唯一引用某一配置项，对于配置项应进行编号定义，考虑原则如下：</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逻辑性：配置项的命名应该可以帮助记忆与判别。</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一致性：配置项的命名在其整个生命周期内保持不变。</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公司运维配置项命名采用英文字符加数字的方式。</w:t>
      </w:r>
    </w:p>
    <w:p>
      <w:pPr>
        <w:pStyle w:val="a3"/>
        <w:keepNext w:val="0"/>
        <w:keepLines w:val="0"/>
        <w:pageBreakBefore w:val="0"/>
        <w:widowControl w:val="0"/>
        <w:numPr>
          <w:ilvl w:val="0"/>
          <w:numId w:val="12"/>
        </w:numPr>
        <w:kinsoku w:val="0"/>
        <w:wordWrap/>
        <w:overflowPunct/>
        <w:topLinePunct w:val="0"/>
        <w:autoSpaceDE w:val="0"/>
        <w:autoSpaceDN w:val="0"/>
        <w:bidi w:val="0"/>
        <w:adjustRightInd w:val="0"/>
        <w:snapToGrid w:val="0"/>
        <w:ind w:left="845" w:leftChars="0"/>
        <w:textAlignment w:val="baseline"/>
      </w:pPr>
      <w:r>
        <w:t>例如：硬件资产配置编号的命名方式为：XX（设备型号，2位字符）-XX（子类，2位字符，设备名称）-XX（2位设备编号）。</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审计时机</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合同签订后需要进行对配置项的审计；</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配置项发生变更后进行审计；</w:t>
      </w:r>
    </w:p>
    <w:p>
      <w:pPr>
        <w:pStyle w:val="a3"/>
        <w:keepNext w:val="0"/>
        <w:keepLines w:val="0"/>
        <w:pageBreakBefore w:val="0"/>
        <w:widowControl w:val="0"/>
        <w:numPr>
          <w:ilvl w:val="0"/>
          <w:numId w:val="13"/>
        </w:numPr>
        <w:kinsoku w:val="0"/>
        <w:wordWrap/>
        <w:overflowPunct/>
        <w:topLinePunct w:val="0"/>
        <w:autoSpaceDE w:val="0"/>
        <w:autoSpaceDN w:val="0"/>
        <w:bidi w:val="0"/>
        <w:adjustRightInd w:val="0"/>
        <w:snapToGrid w:val="0"/>
        <w:ind w:left="845" w:leftChars="0"/>
        <w:textAlignment w:val="baseline"/>
      </w:pPr>
      <w:r>
        <w:t>每半年由</w:t>
      </w:r>
      <w:r>
        <w:rPr>
          <w:rFonts w:hint="eastAsia"/>
          <w:lang w:eastAsia="zh-CN"/>
        </w:rPr>
        <w:t>运维项目经理</w:t>
      </w:r>
      <w:r>
        <w:t>发起审计活动。</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审计原则</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审计的内容包括 CI 状态、属性、关系及相关的变更记录；</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审计的范围要覆盖所有的 CI；</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审计活动由</w:t>
      </w:r>
      <w:r>
        <w:rPr>
          <w:rFonts w:hint="eastAsia"/>
          <w:lang w:eastAsia="zh-CN"/>
        </w:rPr>
        <w:t>运维项目经理</w:t>
      </w:r>
      <w:r>
        <w:t>统一安排协调，各</w:t>
      </w:r>
      <w:r>
        <w:rPr>
          <w:rFonts w:hint="eastAsia"/>
          <w:lang w:eastAsia="zh-CN"/>
        </w:rPr>
        <w:t>运维实施工程师</w:t>
      </w:r>
      <w:r>
        <w:t>具体实施；</w:t>
      </w:r>
    </w:p>
    <w:p>
      <w:pPr>
        <w:pStyle w:val="a3"/>
        <w:keepNext w:val="0"/>
        <w:keepLines w:val="0"/>
        <w:pageBreakBefore w:val="0"/>
        <w:widowControl w:val="0"/>
        <w:numPr>
          <w:ilvl w:val="0"/>
          <w:numId w:val="14"/>
        </w:numPr>
        <w:kinsoku w:val="0"/>
        <w:wordWrap/>
        <w:overflowPunct/>
        <w:topLinePunct w:val="0"/>
        <w:autoSpaceDE w:val="0"/>
        <w:autoSpaceDN w:val="0"/>
        <w:bidi w:val="0"/>
        <w:adjustRightInd w:val="0"/>
        <w:snapToGrid w:val="0"/>
        <w:ind w:left="845" w:leftChars="0"/>
        <w:textAlignment w:val="baseline"/>
      </w:pPr>
      <w:r>
        <w:t>每次审计活动控制在半个月以内完成</w:t>
      </w:r>
      <w:r>
        <w:rPr>
          <w:rFonts w:hint="eastAsia"/>
          <w:lang w:eastAsia="zh-CN"/>
        </w:rPr>
        <w:t>。</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审计完成后要产生相应的审计报告，并提交</w:t>
      </w:r>
      <w:r>
        <w:rPr>
          <w:rFonts w:hint="eastAsia"/>
          <w:lang w:eastAsia="zh-CN"/>
        </w:rPr>
        <w:t>运维项目经理</w:t>
      </w:r>
      <w:r>
        <w:t>签字。</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数据保留原则</w:t>
      </w:r>
    </w:p>
    <w:p>
      <w:pPr>
        <w:keepNext w:val="0"/>
        <w:keepLines w:val="0"/>
        <w:pageBreakBefore w:val="0"/>
        <w:widowControl w:val="0"/>
        <w:kinsoku w:val="0"/>
        <w:wordWrap/>
        <w:overflowPunct/>
        <w:topLinePunct w:val="0"/>
        <w:autoSpaceDE w:val="0"/>
        <w:autoSpaceDN w:val="0"/>
        <w:bidi w:val="0"/>
        <w:adjustRightInd w:val="0"/>
        <w:snapToGrid w:val="0"/>
        <w:spacing w:before="39" w:line="362" w:lineRule="auto"/>
        <w:ind w:left="28" w:right="160" w:firstLine="475"/>
        <w:textAlignment w:val="baseline"/>
        <w:rPr>
          <w:rFonts w:ascii="宋体" w:eastAsia="宋体" w:hAnsi="宋体" w:cs="宋体"/>
          <w:sz w:val="24"/>
          <w:szCs w:val="24"/>
        </w:rPr>
      </w:pPr>
      <w:r>
        <w:rPr>
          <w:rFonts w:ascii="宋体" w:eastAsia="宋体" w:hAnsi="宋体" w:cs="宋体"/>
          <w:sz w:val="24"/>
          <w:szCs w:val="24"/>
        </w:rPr>
        <w:t>配置管理库资料由各</w:t>
      </w:r>
      <w:r>
        <w:rPr>
          <w:rFonts w:ascii="宋体" w:eastAsia="宋体" w:hAnsi="宋体" w:cs="宋体" w:hint="eastAsia"/>
          <w:sz w:val="24"/>
          <w:szCs w:val="24"/>
          <w:lang w:eastAsia="zh-CN"/>
        </w:rPr>
        <w:t>运维实施工程师</w:t>
      </w:r>
      <w:r>
        <w:rPr>
          <w:rFonts w:ascii="宋体" w:eastAsia="宋体" w:hAnsi="宋体" w:cs="宋体"/>
          <w:sz w:val="24"/>
          <w:szCs w:val="24"/>
        </w:rPr>
        <w:t>进行整理归档，</w:t>
      </w:r>
      <w:r>
        <w:rPr>
          <w:rFonts w:ascii="宋体" w:eastAsia="宋体" w:hAnsi="宋体" w:cs="宋体"/>
          <w:spacing w:val="-1"/>
          <w:sz w:val="24"/>
          <w:szCs w:val="24"/>
        </w:rPr>
        <w:t>按照不销毁、不删除的原</w:t>
      </w:r>
      <w:r>
        <w:rPr>
          <w:rFonts w:ascii="宋体" w:eastAsia="宋体" w:hAnsi="宋体" w:cs="宋体"/>
          <w:spacing w:val="-7"/>
          <w:sz w:val="24"/>
          <w:szCs w:val="24"/>
        </w:rPr>
        <w:t>则长期保存。</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数据备份和恢复原则</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t>应当定期对配置管理库进行备份，可采用以下备份策略：</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845" w:leftChars="0"/>
        <w:textAlignment w:val="baseline"/>
      </w:pPr>
      <w:r>
        <w:t>每周由</w:t>
      </w:r>
      <w:r>
        <w:rPr>
          <w:rFonts w:hint="eastAsia"/>
          <w:lang w:eastAsia="zh-CN"/>
        </w:rPr>
        <w:t>运维实施工程师</w:t>
      </w:r>
      <w:r>
        <w:t>对配置管理库进行全库备份，年底时进行全库光盘备份；</w:t>
      </w:r>
    </w:p>
    <w:p>
      <w:pPr>
        <w:pStyle w:val="a3"/>
        <w:keepNext w:val="0"/>
        <w:keepLines w:val="0"/>
        <w:pageBreakBefore w:val="0"/>
        <w:widowControl w:val="0"/>
        <w:numPr>
          <w:ilvl w:val="0"/>
          <w:numId w:val="15"/>
        </w:numPr>
        <w:kinsoku w:val="0"/>
        <w:wordWrap/>
        <w:overflowPunct/>
        <w:topLinePunct w:val="0"/>
        <w:autoSpaceDE w:val="0"/>
        <w:autoSpaceDN w:val="0"/>
        <w:bidi w:val="0"/>
        <w:adjustRightInd w:val="0"/>
        <w:snapToGrid w:val="0"/>
        <w:ind w:left="845" w:leftChars="0"/>
        <w:textAlignment w:val="baseline"/>
      </w:pPr>
      <w:r>
        <w:t>备份工作由</w:t>
      </w:r>
      <w:r>
        <w:rPr>
          <w:rFonts w:hint="eastAsia"/>
          <w:lang w:eastAsia="zh-CN"/>
        </w:rPr>
        <w:t>运维项目经理</w:t>
      </w:r>
      <w:r>
        <w:t>控制，</w:t>
      </w:r>
      <w:r>
        <w:rPr>
          <w:rFonts w:hint="eastAsia"/>
          <w:lang w:eastAsia="zh-CN"/>
        </w:rPr>
        <w:t>运维实施工程师</w:t>
      </w:r>
      <w:r>
        <w:t>操作。</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保密原则</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审计后的配置管理库应设置相应的权限；</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拥有配置管理库使用权限的人员才能打开；</w:t>
      </w:r>
    </w:p>
    <w:p>
      <w:pPr>
        <w:pStyle w:val="a3"/>
        <w:keepNext w:val="0"/>
        <w:keepLines w:val="0"/>
        <w:pageBreakBefore w:val="0"/>
        <w:widowControl w:val="0"/>
        <w:numPr>
          <w:ilvl w:val="0"/>
          <w:numId w:val="16"/>
        </w:numPr>
        <w:kinsoku w:val="0"/>
        <w:wordWrap/>
        <w:overflowPunct/>
        <w:topLinePunct w:val="0"/>
        <w:autoSpaceDE w:val="0"/>
        <w:autoSpaceDN w:val="0"/>
        <w:bidi w:val="0"/>
        <w:adjustRightInd w:val="0"/>
        <w:snapToGrid w:val="0"/>
        <w:ind w:left="845" w:leftChars="0"/>
        <w:textAlignment w:val="baseline"/>
      </w:pPr>
      <w:r>
        <w:t>只有</w:t>
      </w:r>
      <w:r>
        <w:rPr>
          <w:rFonts w:hint="eastAsia"/>
          <w:lang w:eastAsia="zh-CN"/>
        </w:rPr>
        <w:t>运维实施工程师</w:t>
      </w:r>
      <w:r>
        <w:t>有权修改配置信息，其他人员只能查看。</w:t>
      </w:r>
    </w:p>
    <w:p>
      <w:pPr>
        <w:pStyle w:val="a3"/>
        <w:keepNext w:val="0"/>
        <w:keepLines w:val="0"/>
        <w:pageBreakBefore w:val="0"/>
        <w:widowControl w:val="0"/>
        <w:numPr>
          <w:ilvl w:val="0"/>
          <w:numId w:val="10"/>
        </w:numPr>
        <w:kinsoku w:val="0"/>
        <w:wordWrap/>
        <w:overflowPunct/>
        <w:topLinePunct w:val="0"/>
        <w:autoSpaceDE w:val="0"/>
        <w:autoSpaceDN w:val="0"/>
        <w:bidi w:val="0"/>
        <w:adjustRightInd w:val="0"/>
        <w:snapToGrid w:val="0"/>
        <w:textAlignment w:val="baseline"/>
      </w:pPr>
      <w:r>
        <w:t>分发原则</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textAlignment w:val="baseline"/>
      </w:pPr>
      <w:r>
        <w:t>审计后的配置管理库才能被分发；</w:t>
      </w:r>
    </w:p>
    <w:p>
      <w:pPr>
        <w:pStyle w:val="a3"/>
        <w:keepNext w:val="0"/>
        <w:keepLines w:val="0"/>
        <w:pageBreakBefore w:val="0"/>
        <w:widowControl w:val="0"/>
        <w:numPr>
          <w:ilvl w:val="0"/>
          <w:numId w:val="17"/>
        </w:numPr>
        <w:kinsoku w:val="0"/>
        <w:wordWrap/>
        <w:overflowPunct/>
        <w:topLinePunct w:val="0"/>
        <w:autoSpaceDE w:val="0"/>
        <w:autoSpaceDN w:val="0"/>
        <w:bidi w:val="0"/>
        <w:adjustRightInd w:val="0"/>
        <w:snapToGrid w:val="0"/>
        <w:ind w:left="845" w:leftChars="0"/>
        <w:textAlignment w:val="baseline"/>
      </w:pPr>
      <w:r>
        <w:t>根据需要分发给相关人员。</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_Toc14891"/>
      <w:r>
        <w:t>过程阶段</w:t>
      </w:r>
      <w:bookmarkEnd w:id="11"/>
    </w:p>
    <w:p>
      <w:pPr>
        <w:keepNext w:val="0"/>
        <w:keepLines w:val="0"/>
        <w:pageBreakBefore w:val="0"/>
        <w:widowControl w:val="0"/>
        <w:kinsoku w:val="0"/>
        <w:wordWrap/>
        <w:overflowPunct/>
        <w:topLinePunct w:val="0"/>
        <w:autoSpaceDE w:val="0"/>
        <w:autoSpaceDN w:val="0"/>
        <w:bidi w:val="0"/>
        <w:adjustRightInd w:val="0"/>
        <w:snapToGrid w:val="0"/>
        <w:spacing w:before="79" w:line="220" w:lineRule="auto"/>
        <w:ind w:left="0" w:firstLine="0" w:leftChars="0" w:firstLineChars="0"/>
        <w:textAlignment w:val="baseline"/>
      </w:pPr>
      <w:r>
        <w:rPr>
          <w:rStyle w:val="Char"/>
        </w:rPr>
        <w:t>配置管理</w:t>
      </w:r>
      <w:r>
        <w:drawing>
          <wp:inline distT="0" distB="0" distL="114300" distR="114300">
            <wp:extent cx="5466715" cy="5852160"/>
            <wp:effectExtent l="0" t="0" r="63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9"/>
                    <a:stretch>
                      <a:fillRect/>
                    </a:stretch>
                  </pic:blipFill>
                  <pic:spPr>
                    <a:xfrm>
                      <a:off x="0" y="0"/>
                      <a:ext cx="5466715" cy="5852160"/>
                    </a:xfrm>
                    <a:prstGeom prst="rect">
                      <a:avLst/>
                    </a:prstGeom>
                    <a:noFill/>
                    <a:ln>
                      <a:noFill/>
                    </a:ln>
                  </pic:spPr>
                </pic:pic>
              </a:graphicData>
            </a:graphic>
          </wp:inline>
        </w:drawing>
      </w:r>
    </w:p>
    <w:p>
      <w:pPr>
        <w:pStyle w:val="a"/>
        <w:bidi w:val="0"/>
      </w:pPr>
      <w:r>
        <w:t>基本活动说明如下：</w:t>
      </w: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18"/>
        <w:gridCol w:w="1609"/>
        <w:gridCol w:w="1539"/>
        <w:gridCol w:w="4656"/>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3"/>
          <w:jc w:val="center"/>
        </w:trPr>
        <w:tc>
          <w:tcPr>
            <w:tcW w:w="718"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609"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539"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4656"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7"/>
                <w:sz w:val="18"/>
                <w:szCs w:val="18"/>
              </w:rPr>
              <w:t>说</w:t>
            </w:r>
            <w:r>
              <w:rPr>
                <w:rFonts w:ascii="宋体" w:eastAsia="宋体" w:hAnsi="宋体" w:cs="宋体"/>
                <w:spacing w:val="23"/>
                <w:w w:val="101"/>
                <w:sz w:val="18"/>
                <w:szCs w:val="18"/>
              </w:rPr>
              <w:t xml:space="preserve"> </w:t>
            </w:r>
            <w:r>
              <w:rPr>
                <w:rFonts w:ascii="宋体" w:eastAsia="宋体" w:hAnsi="宋体" w:cs="宋体"/>
                <w:b/>
                <w:bCs/>
                <w:spacing w:val="-7"/>
                <w:sz w:val="18"/>
                <w:szCs w:val="18"/>
              </w:rPr>
              <w:t>明</w:t>
            </w:r>
          </w:p>
        </w:tc>
      </w:tr>
      <w:tr>
        <w:tblPrEx>
          <w:tblW w:w="8522" w:type="dxa"/>
          <w:jc w:val="center"/>
          <w:tblLayout w:type="fixed"/>
          <w:tblCellMar>
            <w:top w:w="0" w:type="dxa"/>
            <w:left w:w="0" w:type="dxa"/>
            <w:bottom w:w="0" w:type="dxa"/>
            <w:right w:w="0" w:type="dxa"/>
          </w:tblCellMar>
        </w:tblPrEx>
        <w:trPr>
          <w:trHeight w:val="1245"/>
          <w:jc w:val="center"/>
        </w:trPr>
        <w:tc>
          <w:tcPr>
            <w:tcW w:w="71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160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资产识别</w:t>
            </w:r>
          </w:p>
        </w:tc>
        <w:tc>
          <w:tcPr>
            <w:tcW w:w="153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运维实施工程师</w:t>
            </w:r>
          </w:p>
        </w:tc>
        <w:tc>
          <w:tcPr>
            <w:tcW w:w="465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t>在合同签订后，由项目实施组的一线工程师与二线工程师按照《配置信息维护表》进行资产识别。</w:t>
            </w:r>
          </w:p>
        </w:tc>
      </w:tr>
      <w:tr>
        <w:tblPrEx>
          <w:tblW w:w="8522" w:type="dxa"/>
          <w:jc w:val="center"/>
          <w:tblLayout w:type="fixed"/>
          <w:tblCellMar>
            <w:top w:w="0" w:type="dxa"/>
            <w:left w:w="0" w:type="dxa"/>
            <w:bottom w:w="0" w:type="dxa"/>
            <w:right w:w="0" w:type="dxa"/>
          </w:tblCellMar>
        </w:tblPrEx>
        <w:trPr>
          <w:trHeight w:val="1874"/>
          <w:jc w:val="center"/>
        </w:trPr>
        <w:tc>
          <w:tcPr>
            <w:tcW w:w="71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2</w:t>
            </w:r>
          </w:p>
        </w:tc>
        <w:tc>
          <w:tcPr>
            <w:tcW w:w="160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配置管理规划</w:t>
            </w:r>
          </w:p>
        </w:tc>
        <w:tc>
          <w:tcPr>
            <w:tcW w:w="153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运维实施工程师</w:t>
            </w:r>
          </w:p>
        </w:tc>
        <w:tc>
          <w:tcPr>
            <w:tcW w:w="465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制定配置管理政策和原则，包括配置信息识别、收集、录入、维护、审计、审批等相关管理活动的政策和原则。</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确定配置管理的范围和分类。</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定义配置项的属性、关系和命名</w:t>
            </w:r>
            <w:r>
              <w:rPr>
                <w:rFonts w:hint="eastAsia"/>
                <w:lang w:val="en-US" w:eastAsia="zh-CN"/>
              </w:rPr>
              <w:t>规则</w:t>
            </w:r>
            <w:r>
              <w:t>。</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定义《配置信息维护表》。</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定义和组织相关资源搭建配置管理库技术架构。</w:t>
            </w:r>
          </w:p>
        </w:tc>
      </w:tr>
      <w:tr>
        <w:tblPrEx>
          <w:tblW w:w="8522" w:type="dxa"/>
          <w:jc w:val="center"/>
          <w:tblLayout w:type="fixed"/>
          <w:tblCellMar>
            <w:top w:w="0" w:type="dxa"/>
            <w:left w:w="0" w:type="dxa"/>
            <w:bottom w:w="0" w:type="dxa"/>
            <w:right w:w="0" w:type="dxa"/>
          </w:tblCellMar>
        </w:tblPrEx>
        <w:trPr>
          <w:trHeight w:val="2235"/>
          <w:jc w:val="center"/>
        </w:trPr>
        <w:tc>
          <w:tcPr>
            <w:tcW w:w="71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3</w:t>
            </w:r>
          </w:p>
        </w:tc>
        <w:tc>
          <w:tcPr>
            <w:tcW w:w="160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配置项定义与识别</w:t>
            </w:r>
          </w:p>
        </w:tc>
        <w:tc>
          <w:tcPr>
            <w:tcW w:w="153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运维实施工程师</w:t>
            </w:r>
          </w:p>
        </w:tc>
        <w:tc>
          <w:tcPr>
            <w:tcW w:w="465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发起配置项的收集和识别，并对相关资源进行计划和协调。</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负责对配置项实体的识别。</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负责对配置项实体属性信息的收集。</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负责对配置项实体关系信息的标识和收集。</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建立配置管理库。</w:t>
            </w:r>
          </w:p>
        </w:tc>
      </w:tr>
      <w:tr>
        <w:tblPrEx>
          <w:tblW w:w="8522" w:type="dxa"/>
          <w:jc w:val="center"/>
          <w:tblLayout w:type="fixed"/>
          <w:tblCellMar>
            <w:top w:w="0" w:type="dxa"/>
            <w:left w:w="0" w:type="dxa"/>
            <w:bottom w:w="0" w:type="dxa"/>
            <w:right w:w="0" w:type="dxa"/>
          </w:tblCellMar>
        </w:tblPrEx>
        <w:trPr>
          <w:trHeight w:val="2504"/>
          <w:jc w:val="center"/>
        </w:trPr>
        <w:tc>
          <w:tcPr>
            <w:tcW w:w="71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4</w:t>
            </w:r>
          </w:p>
        </w:tc>
        <w:tc>
          <w:tcPr>
            <w:tcW w:w="160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配置项控制与维护</w:t>
            </w:r>
          </w:p>
        </w:tc>
        <w:tc>
          <w:tcPr>
            <w:tcW w:w="153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65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接受来自配置项变更发布过程的更新请求。</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判断是新建、修改还是删除配置项的请求。如是新建，则在配置管理库中新建相关配置项记录；如是修改，则在  配置管理库中更新相关配置项记录；如是删除，则在配置管理库中标示配置项状态为“ 已报废 ”。</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更新操作完毕后，</w:t>
            </w:r>
            <w:r>
              <w:rPr>
                <w:rFonts w:hint="eastAsia"/>
                <w:lang w:eastAsia="zh-CN"/>
              </w:rPr>
              <w:t>运维实施工程师</w:t>
            </w:r>
            <w:r>
              <w:t>回复请求者或请求过程相关处理结果。</w:t>
            </w:r>
          </w:p>
        </w:tc>
      </w:tr>
      <w:tr>
        <w:tblPrEx>
          <w:tblW w:w="8522" w:type="dxa"/>
          <w:jc w:val="center"/>
          <w:tblLayout w:type="fixed"/>
          <w:tblCellMar>
            <w:top w:w="0" w:type="dxa"/>
            <w:left w:w="0" w:type="dxa"/>
            <w:bottom w:w="0" w:type="dxa"/>
            <w:right w:w="0" w:type="dxa"/>
          </w:tblCellMar>
        </w:tblPrEx>
        <w:trPr>
          <w:trHeight w:val="935"/>
          <w:jc w:val="center"/>
        </w:trPr>
        <w:tc>
          <w:tcPr>
            <w:tcW w:w="71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5</w:t>
            </w:r>
          </w:p>
        </w:tc>
        <w:tc>
          <w:tcPr>
            <w:tcW w:w="160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生成配置信息统计表</w:t>
            </w:r>
          </w:p>
        </w:tc>
        <w:tc>
          <w:tcPr>
            <w:tcW w:w="1539"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65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t>配置项变更后，</w:t>
            </w:r>
            <w:r>
              <w:rPr>
                <w:rFonts w:hint="eastAsia"/>
                <w:lang w:eastAsia="zh-CN"/>
              </w:rPr>
              <w:t>运维实施工程师</w:t>
            </w:r>
            <w:r>
              <w:t>检查配置项的具体情况，生成配置信息维护表。</w:t>
            </w:r>
          </w:p>
        </w:tc>
      </w:tr>
      <w:tr>
        <w:tblPrEx>
          <w:tblW w:w="8522" w:type="dxa"/>
          <w:jc w:val="center"/>
          <w:tblLayout w:type="fixed"/>
          <w:tblCellMar>
            <w:top w:w="0" w:type="dxa"/>
            <w:left w:w="0" w:type="dxa"/>
            <w:bottom w:w="0" w:type="dxa"/>
            <w:right w:w="0" w:type="dxa"/>
          </w:tblCellMar>
        </w:tblPrEx>
        <w:trPr>
          <w:trHeight w:val="935"/>
          <w:jc w:val="center"/>
        </w:trPr>
        <w:tc>
          <w:tcPr>
            <w:tcW w:w="718"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t>6</w:t>
            </w:r>
          </w:p>
        </w:tc>
        <w:tc>
          <w:tcPr>
            <w:tcW w:w="1609"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t>配置管理库审计/验证</w:t>
            </w:r>
          </w:p>
        </w:tc>
        <w:tc>
          <w:tcPr>
            <w:tcW w:w="1539"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eastAsia"/>
                <w:snapToGrid w:val="0"/>
                <w:color w:val="000000"/>
                <w:kern w:val="0"/>
                <w:sz w:val="21"/>
                <w:szCs w:val="21"/>
                <w:lang w:val="en-US" w:eastAsia="zh-CN" w:bidi="ar-SA"/>
              </w:rPr>
            </w:pPr>
            <w:r>
              <w:rPr>
                <w:rFonts w:hint="eastAsia"/>
                <w:lang w:eastAsia="zh-CN"/>
              </w:rPr>
              <w:t>运维</w:t>
            </w:r>
            <w:r>
              <w:rPr>
                <w:rFonts w:hint="eastAsia"/>
                <w:lang w:val="en-US" w:eastAsia="zh-CN"/>
              </w:rPr>
              <w:t>项目经理</w:t>
            </w:r>
          </w:p>
        </w:tc>
        <w:tc>
          <w:tcPr>
            <w:tcW w:w="465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发起审计，并确定本次审计的范围和指定的人员。</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管理员依照审计范围抽取配置项。</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管理员对抽取的配置项进行实体信息的收集，并与配置管理库库中记录的信息进行比较。</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如发现与配置项信息不一致的情况，作为例外进行收集。</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对所有收集的例外进行原因分析，必要时引入相关配置项实体管理员的协助，在确认原因后，向变更发布管理过程发起更新配置项实体或者配置项信息的请求。</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t>基于本次审计的结果召开回顾会议，对例外以及过程管理方面进行现状分析和改进建议，必要时</w:t>
            </w:r>
            <w:r>
              <w:rPr>
                <w:rFonts w:ascii="宋体" w:eastAsia="宋体" w:hAnsi="宋体" w:cs="宋体"/>
                <w:spacing w:val="-3"/>
                <w:sz w:val="21"/>
                <w:szCs w:val="21"/>
              </w:rPr>
              <w:t>对配置管理相关策略进行调整和更新。</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_Toc19748"/>
      <w:r>
        <w:t>详细活动</w:t>
      </w:r>
      <w:bookmarkEnd w:id="12"/>
    </w:p>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配置管理规划</w:t>
      </w:r>
    </w:p>
    <w:tbl>
      <w:tblPr>
        <w:tblStyle w:val="TableNormal0"/>
        <w:tblW w:w="8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76"/>
        <w:gridCol w:w="1315"/>
        <w:gridCol w:w="1538"/>
        <w:gridCol w:w="4792"/>
      </w:tblGrid>
      <w:tr>
        <w:tblPrEx>
          <w:tblW w:w="8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2"/>
          <w:jc w:val="center"/>
        </w:trPr>
        <w:tc>
          <w:tcPr>
            <w:tcW w:w="876"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257"/>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315"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12"/>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538"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92"/>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4792"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20"/>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21" w:type="dxa"/>
          <w:jc w:val="center"/>
          <w:tblLayout w:type="fixed"/>
          <w:tblCellMar>
            <w:top w:w="0" w:type="dxa"/>
            <w:left w:w="0" w:type="dxa"/>
            <w:bottom w:w="0" w:type="dxa"/>
            <w:right w:w="0" w:type="dxa"/>
          </w:tblCellMar>
        </w:tblPrEx>
        <w:trPr>
          <w:trHeight w:val="2206"/>
          <w:jc w:val="center"/>
        </w:trPr>
        <w:tc>
          <w:tcPr>
            <w:tcW w:w="876"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131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制定配置管理政策和原则</w:t>
            </w:r>
          </w:p>
        </w:tc>
        <w:tc>
          <w:tcPr>
            <w:tcW w:w="153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制定配置管理过程相关政策和原则，覆盖配置项的识别、收集、录入、维护、审计和报告等活动。</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依据上一次配置审计回顾的结果按需要对过程管理政策和原则进行调整和优化。</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及其他过程的建议，对过程管理政策和原则进行调整和优化。</w:t>
            </w:r>
          </w:p>
        </w:tc>
      </w:tr>
      <w:tr>
        <w:tblPrEx>
          <w:tblW w:w="8521" w:type="dxa"/>
          <w:jc w:val="center"/>
          <w:tblLayout w:type="fixed"/>
          <w:tblCellMar>
            <w:top w:w="0" w:type="dxa"/>
            <w:left w:w="0" w:type="dxa"/>
            <w:bottom w:w="0" w:type="dxa"/>
            <w:right w:w="0" w:type="dxa"/>
          </w:tblCellMar>
        </w:tblPrEx>
        <w:trPr>
          <w:trHeight w:val="2428"/>
          <w:jc w:val="center"/>
        </w:trPr>
        <w:tc>
          <w:tcPr>
            <w:tcW w:w="876"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2</w:t>
            </w:r>
          </w:p>
        </w:tc>
        <w:tc>
          <w:tcPr>
            <w:tcW w:w="131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确定配置管理范围和分类</w:t>
            </w:r>
          </w:p>
        </w:tc>
        <w:tc>
          <w:tcPr>
            <w:tcW w:w="153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基于公司的服务管理需要，并综合考虑</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管理成本和资源现状，规划配置管理的合理范围。基于配置管理的范围，对配置项的层次和类别进 行定义，构建配置管理库的逻辑结构。</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依据上一次配置审计回顾的结果按需要对范围和分类进行调整和优化。</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及其他过程的建议，对范围和分类进行调整和优化。</w:t>
            </w:r>
          </w:p>
        </w:tc>
      </w:tr>
      <w:tr>
        <w:tblPrEx>
          <w:tblW w:w="8521" w:type="dxa"/>
          <w:jc w:val="center"/>
          <w:tblLayout w:type="fixed"/>
          <w:tblCellMar>
            <w:top w:w="0" w:type="dxa"/>
            <w:left w:w="0" w:type="dxa"/>
            <w:bottom w:w="0" w:type="dxa"/>
            <w:right w:w="0" w:type="dxa"/>
          </w:tblCellMar>
        </w:tblPrEx>
        <w:trPr>
          <w:trHeight w:val="2494"/>
          <w:jc w:val="center"/>
        </w:trPr>
        <w:tc>
          <w:tcPr>
            <w:tcW w:w="876"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3</w:t>
            </w:r>
          </w:p>
        </w:tc>
        <w:tc>
          <w:tcPr>
            <w:tcW w:w="131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定义 CI 属性、关系和命名规则</w:t>
            </w:r>
          </w:p>
        </w:tc>
        <w:tc>
          <w:tcPr>
            <w:tcW w:w="153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基于公司服务管理需要，为各类配置项定义 CI 属性、关系，并制定配置项的命名规则  。</w:t>
            </w:r>
            <w:r>
              <w:rPr>
                <w:rFonts w:hint="eastAsia"/>
                <w:lang w:eastAsia="zh-CN"/>
              </w:rPr>
              <w:t>运维项目经理</w:t>
            </w:r>
            <w:r>
              <w:t>依据上一次配置审计回顾的结果对属性、关系或命名规则进行调整和优化。</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及其他过程的建议，对属性、关系或命名规则进行调整和优化。</w:t>
            </w:r>
          </w:p>
        </w:tc>
      </w:tr>
      <w:tr>
        <w:tblPrEx>
          <w:tblW w:w="8521" w:type="dxa"/>
          <w:jc w:val="center"/>
          <w:tblLayout w:type="fixed"/>
          <w:tblCellMar>
            <w:top w:w="0" w:type="dxa"/>
            <w:left w:w="0" w:type="dxa"/>
            <w:bottom w:w="0" w:type="dxa"/>
            <w:right w:w="0" w:type="dxa"/>
          </w:tblCellMar>
        </w:tblPrEx>
        <w:trPr>
          <w:trHeight w:val="940"/>
          <w:jc w:val="center"/>
        </w:trPr>
        <w:tc>
          <w:tcPr>
            <w:tcW w:w="876"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hint="eastAsia"/>
                <w:lang w:val="en-US" w:eastAsia="zh-CN"/>
              </w:rPr>
              <w:t>4</w:t>
            </w:r>
          </w:p>
        </w:tc>
        <w:tc>
          <w:tcPr>
            <w:tcW w:w="131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default"/>
                <w:lang w:val="en-US" w:eastAsia="zh-CN"/>
              </w:rPr>
            </w:pPr>
            <w:r>
              <w:rPr>
                <w:rFonts w:hint="eastAsia"/>
                <w:lang w:val="en-US" w:eastAsia="zh-CN"/>
              </w:rPr>
              <w:t>收集CI数据</w:t>
            </w:r>
          </w:p>
        </w:tc>
        <w:tc>
          <w:tcPr>
            <w:tcW w:w="153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运维实施工程师</w:t>
            </w:r>
            <w:r>
              <w:t>根据配置项分类、CI 属性、CI 关系，制作 CI 收集模板，为 CI 的数据收集做好准备</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依据上一次配置审计回顾的结果按需要</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对信息收集模板进行调整和优化。</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及其他过程的建议，对配置信息维护表模板进行调整和优化</w:t>
            </w:r>
          </w:p>
        </w:tc>
      </w:tr>
      <w:tr>
        <w:tblPrEx>
          <w:tblW w:w="8521" w:type="dxa"/>
          <w:jc w:val="center"/>
          <w:tblLayout w:type="fixed"/>
          <w:tblCellMar>
            <w:top w:w="0" w:type="dxa"/>
            <w:left w:w="0" w:type="dxa"/>
            <w:bottom w:w="0" w:type="dxa"/>
            <w:right w:w="0" w:type="dxa"/>
          </w:tblCellMar>
        </w:tblPrEx>
        <w:trPr>
          <w:trHeight w:val="2807"/>
          <w:jc w:val="center"/>
        </w:trPr>
        <w:tc>
          <w:tcPr>
            <w:tcW w:w="876"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5</w:t>
            </w:r>
          </w:p>
        </w:tc>
        <w:tc>
          <w:tcPr>
            <w:tcW w:w="131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pPr>
            <w:r>
              <w:t>定义和搭建配置管理库技术架构</w:t>
            </w:r>
          </w:p>
        </w:tc>
        <w:tc>
          <w:tcPr>
            <w:tcW w:w="153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运维项目经理</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eastAsia="zh-CN"/>
              </w:rPr>
            </w:pPr>
            <w:r>
              <w:rPr>
                <w:rFonts w:hint="eastAsia"/>
                <w:lang w:eastAsia="zh-CN"/>
              </w:rPr>
              <w:t>运维实施工程师</w:t>
            </w:r>
          </w:p>
        </w:tc>
        <w:tc>
          <w:tcPr>
            <w:tcW w:w="479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基于公司服务管理需要，对配置管理库</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t>的技术架构需求进行详细定义，并组织资源对其进行搭建。</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依据上一次配置审计回顾的结果对配置管理库技术架构进行调整和优化。</w:t>
            </w:r>
          </w:p>
          <w:p>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运维项目经理</w:t>
            </w:r>
            <w:r>
              <w:t>接受来自</w:t>
            </w:r>
            <w:r>
              <w:rPr>
                <w:rFonts w:hint="eastAsia"/>
                <w:lang w:eastAsia="zh-CN"/>
              </w:rPr>
              <w:t>运维实施工程师</w:t>
            </w:r>
            <w:r>
              <w:t>及其他过程的建议，对配置管理库技术架构进行调整和优化。</w:t>
            </w:r>
          </w:p>
        </w:tc>
      </w:tr>
    </w:tbl>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272"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4"/>
          <w:sz w:val="24"/>
          <w:szCs w:val="24"/>
        </w:rPr>
        <w:t>配置项定义与识别</w:t>
      </w:r>
    </w:p>
    <w:tbl>
      <w:tblPr>
        <w:tblStyle w:val="TableNormal0"/>
        <w:tblW w:w="85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890"/>
        <w:gridCol w:w="1365"/>
        <w:gridCol w:w="1287"/>
        <w:gridCol w:w="5024"/>
      </w:tblGrid>
      <w:tr>
        <w:tblPrEx>
          <w:tblW w:w="85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2"/>
          <w:jc w:val="center"/>
        </w:trPr>
        <w:tc>
          <w:tcPr>
            <w:tcW w:w="890"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264"/>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365"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11"/>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287"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91"/>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5024"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15"/>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66" w:type="dxa"/>
          <w:jc w:val="center"/>
          <w:tblLayout w:type="fixed"/>
          <w:tblCellMar>
            <w:top w:w="0" w:type="dxa"/>
            <w:left w:w="0" w:type="dxa"/>
            <w:bottom w:w="0" w:type="dxa"/>
            <w:right w:w="0" w:type="dxa"/>
          </w:tblCellMar>
        </w:tblPrEx>
        <w:trPr>
          <w:trHeight w:val="2026"/>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409"/>
              <w:textAlignment w:val="baseline"/>
              <w:rPr>
                <w:rFonts w:ascii="宋体" w:eastAsia="宋体" w:hAnsi="宋体" w:cs="宋体"/>
                <w:sz w:val="21"/>
                <w:szCs w:val="21"/>
              </w:rPr>
            </w:pPr>
            <w:r>
              <w:rPr>
                <w:rFonts w:ascii="宋体" w:eastAsia="宋体" w:hAnsi="宋体" w:cs="宋体"/>
                <w:sz w:val="21"/>
                <w:szCs w:val="21"/>
              </w:rPr>
              <w:t>1</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发起CI收集和识别</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CI 的收集和识别主要来源至少包含配置管理库初始化及客户服务开通。</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基于两个主要来源发起 CI 的收集和识别，指定并协助相关</w:t>
            </w: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按计划对 CI 进行识别和收集。</w:t>
            </w:r>
          </w:p>
        </w:tc>
      </w:tr>
      <w:tr>
        <w:tblPrEx>
          <w:tblW w:w="8566" w:type="dxa"/>
          <w:jc w:val="center"/>
          <w:tblLayout w:type="fixed"/>
          <w:tblCellMar>
            <w:top w:w="0" w:type="dxa"/>
            <w:left w:w="0" w:type="dxa"/>
            <w:bottom w:w="0" w:type="dxa"/>
            <w:right w:w="0" w:type="dxa"/>
          </w:tblCellMar>
        </w:tblPrEx>
        <w:trPr>
          <w:trHeight w:val="1246"/>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96"/>
              <w:textAlignment w:val="baseline"/>
              <w:rPr>
                <w:rFonts w:ascii="宋体" w:eastAsia="宋体" w:hAnsi="宋体" w:cs="宋体"/>
                <w:sz w:val="21"/>
                <w:szCs w:val="21"/>
              </w:rPr>
            </w:pPr>
            <w:r>
              <w:rPr>
                <w:rFonts w:ascii="宋体" w:eastAsia="宋体" w:hAnsi="宋体" w:cs="宋体"/>
                <w:sz w:val="21"/>
                <w:szCs w:val="21"/>
              </w:rPr>
              <w:t>2</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识别CI</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根据配置项范围和识别策略，对现有配置项或新的配置项进行识别，确定是否属于当前管理范围，继而确定配置项所属的分类。</w:t>
            </w:r>
          </w:p>
        </w:tc>
      </w:tr>
      <w:tr>
        <w:tblPrEx>
          <w:tblW w:w="8566" w:type="dxa"/>
          <w:jc w:val="center"/>
          <w:tblLayout w:type="fixed"/>
          <w:tblCellMar>
            <w:top w:w="0" w:type="dxa"/>
            <w:left w:w="0" w:type="dxa"/>
            <w:bottom w:w="0" w:type="dxa"/>
            <w:right w:w="0" w:type="dxa"/>
          </w:tblCellMar>
        </w:tblPrEx>
        <w:trPr>
          <w:trHeight w:val="1246"/>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97"/>
              <w:textAlignment w:val="baseline"/>
              <w:rPr>
                <w:rFonts w:ascii="宋体" w:eastAsia="宋体" w:hAnsi="宋体" w:cs="宋体"/>
                <w:sz w:val="21"/>
                <w:szCs w:val="21"/>
              </w:rPr>
            </w:pPr>
            <w:r>
              <w:rPr>
                <w:rFonts w:ascii="宋体" w:eastAsia="宋体" w:hAnsi="宋体" w:cs="宋体"/>
                <w:sz w:val="21"/>
                <w:szCs w:val="21"/>
              </w:rPr>
              <w:t>3</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收集 CI 属性</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对已经识别的配置项，按照预先定义的信息收集模板对各个属性进行收集，必要时请求配置项实体管理员的协助。</w:t>
            </w:r>
          </w:p>
        </w:tc>
      </w:tr>
      <w:tr>
        <w:tblPrEx>
          <w:tblW w:w="8566" w:type="dxa"/>
          <w:jc w:val="center"/>
          <w:tblLayout w:type="fixed"/>
          <w:tblCellMar>
            <w:top w:w="0" w:type="dxa"/>
            <w:left w:w="0" w:type="dxa"/>
            <w:bottom w:w="0" w:type="dxa"/>
            <w:right w:w="0" w:type="dxa"/>
          </w:tblCellMar>
        </w:tblPrEx>
        <w:trPr>
          <w:trHeight w:val="887"/>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92"/>
              <w:textAlignment w:val="baseline"/>
              <w:rPr>
                <w:rFonts w:ascii="宋体" w:eastAsia="宋体" w:hAnsi="宋体" w:cs="宋体"/>
                <w:sz w:val="21"/>
                <w:szCs w:val="21"/>
              </w:rPr>
            </w:pPr>
            <w:r>
              <w:rPr>
                <w:rFonts w:ascii="宋体" w:eastAsia="宋体" w:hAnsi="宋体" w:cs="宋体"/>
                <w:sz w:val="21"/>
                <w:szCs w:val="21"/>
              </w:rPr>
              <w:t>4</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标识 CI 关系</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对已经识别的配置项，按照预先定义的信息收集模板对其相关关联信息进行收集，必要时请求配置项实体管理员的协助。</w:t>
            </w:r>
          </w:p>
        </w:tc>
      </w:tr>
      <w:tr>
        <w:tblPrEx>
          <w:tblW w:w="8566" w:type="dxa"/>
          <w:jc w:val="center"/>
          <w:tblLayout w:type="fixed"/>
          <w:tblCellMar>
            <w:top w:w="0" w:type="dxa"/>
            <w:left w:w="0" w:type="dxa"/>
            <w:bottom w:w="0" w:type="dxa"/>
            <w:right w:w="0" w:type="dxa"/>
          </w:tblCellMar>
        </w:tblPrEx>
        <w:trPr>
          <w:trHeight w:val="642"/>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97"/>
              <w:textAlignment w:val="baseline"/>
              <w:rPr>
                <w:rFonts w:ascii="宋体" w:eastAsia="宋体" w:hAnsi="宋体" w:cs="宋体"/>
                <w:sz w:val="21"/>
                <w:szCs w:val="21"/>
              </w:rPr>
            </w:pPr>
            <w:r>
              <w:rPr>
                <w:rFonts w:ascii="宋体" w:eastAsia="宋体" w:hAnsi="宋体" w:cs="宋体"/>
                <w:sz w:val="21"/>
                <w:szCs w:val="21"/>
              </w:rPr>
              <w:t>5</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配置管理库初始化请求</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确认本次操作是否是配置管理库的初始化，如是则进入初始化配置管理库。</w:t>
            </w:r>
          </w:p>
        </w:tc>
      </w:tr>
      <w:tr>
        <w:tblPrEx>
          <w:tblW w:w="8566" w:type="dxa"/>
          <w:jc w:val="center"/>
          <w:tblLayout w:type="fixed"/>
          <w:tblCellMar>
            <w:top w:w="0" w:type="dxa"/>
            <w:left w:w="0" w:type="dxa"/>
            <w:bottom w:w="0" w:type="dxa"/>
            <w:right w:w="0" w:type="dxa"/>
          </w:tblCellMar>
        </w:tblPrEx>
        <w:trPr>
          <w:trHeight w:val="635"/>
          <w:jc w:val="center"/>
        </w:trPr>
        <w:tc>
          <w:tcPr>
            <w:tcW w:w="890"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95"/>
              <w:textAlignment w:val="baseline"/>
              <w:rPr>
                <w:rFonts w:ascii="宋体" w:eastAsia="宋体" w:hAnsi="宋体" w:cs="宋体"/>
                <w:sz w:val="21"/>
                <w:szCs w:val="21"/>
              </w:rPr>
            </w:pPr>
            <w:r>
              <w:rPr>
                <w:rFonts w:ascii="宋体" w:eastAsia="宋体" w:hAnsi="宋体" w:cs="宋体"/>
                <w:sz w:val="21"/>
                <w:szCs w:val="21"/>
              </w:rPr>
              <w:t>6</w:t>
            </w:r>
          </w:p>
        </w:tc>
        <w:tc>
          <w:tcPr>
            <w:tcW w:w="1365"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初始化配置管理库</w:t>
            </w:r>
          </w:p>
        </w:tc>
        <w:tc>
          <w:tcPr>
            <w:tcW w:w="1287"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5024"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运维项目经理</w:t>
            </w:r>
            <w:r>
              <w:rPr>
                <w:rFonts w:ascii="宋体" w:eastAsia="宋体" w:hAnsi="宋体" w:cs="宋体"/>
                <w:spacing w:val="-5"/>
                <w:sz w:val="21"/>
                <w:szCs w:val="21"/>
              </w:rPr>
              <w:t>依照预先定义的信息录入步骤，将收集的配置信息在配置管理库中进行初始化。</w:t>
            </w:r>
          </w:p>
        </w:tc>
      </w:tr>
    </w:tbl>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3"/>
          <w:sz w:val="24"/>
          <w:szCs w:val="24"/>
        </w:rPr>
        <w:t>配置项控制与维护</w:t>
      </w: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35"/>
        <w:gridCol w:w="1468"/>
        <w:gridCol w:w="1488"/>
        <w:gridCol w:w="4831"/>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2"/>
          <w:jc w:val="center"/>
        </w:trPr>
        <w:tc>
          <w:tcPr>
            <w:tcW w:w="735"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468"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488"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4831"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0" w:right="0" w:firstLine="0" w:leftChars="0" w:rightChars="0" w:firstLineChars="0"/>
              <w:jc w:val="center"/>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22" w:type="dxa"/>
          <w:jc w:val="center"/>
          <w:tblLayout w:type="fixed"/>
          <w:tblCellMar>
            <w:top w:w="0" w:type="dxa"/>
            <w:left w:w="0" w:type="dxa"/>
            <w:bottom w:w="0" w:type="dxa"/>
            <w:right w:w="0" w:type="dxa"/>
          </w:tblCellMar>
        </w:tblPrEx>
        <w:trPr>
          <w:trHeight w:val="2585"/>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31"/>
              <w:textAlignment w:val="baseline"/>
              <w:rPr>
                <w:rFonts w:ascii="宋体" w:eastAsia="宋体" w:hAnsi="宋体" w:cs="宋体"/>
                <w:sz w:val="21"/>
                <w:szCs w:val="21"/>
              </w:rPr>
            </w:pPr>
            <w:r>
              <w:rPr>
                <w:rFonts w:ascii="宋体" w:eastAsia="宋体" w:hAnsi="宋体" w:cs="宋体"/>
                <w:sz w:val="21"/>
                <w:szCs w:val="21"/>
              </w:rPr>
              <w:t>1</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接受更新请求</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配置管理库的更新请求主要来源如下：</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来自于配置项定义与识别的客户配置管理库初始化请求；</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直接来自于事件、问题、变更、发布管理过程，对 CI 实体变更引发的配置信息同步更新；</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直接来自于变更发布管理过程，对 CI 配置信息例外情况的修正。</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接受以上来源的配置管理库更新请求。</w:t>
            </w:r>
          </w:p>
        </w:tc>
      </w:tr>
      <w:tr>
        <w:tblPrEx>
          <w:tblW w:w="8522" w:type="dxa"/>
          <w:jc w:val="center"/>
          <w:tblLayout w:type="fixed"/>
          <w:tblCellMar>
            <w:top w:w="0" w:type="dxa"/>
            <w:left w:w="0" w:type="dxa"/>
            <w:bottom w:w="0" w:type="dxa"/>
            <w:right w:w="0" w:type="dxa"/>
          </w:tblCellMar>
        </w:tblPrEx>
        <w:trPr>
          <w:trHeight w:val="1559"/>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18"/>
              <w:textAlignment w:val="baseline"/>
              <w:rPr>
                <w:rFonts w:ascii="宋体" w:eastAsia="宋体" w:hAnsi="宋体" w:cs="宋体"/>
                <w:sz w:val="21"/>
                <w:szCs w:val="21"/>
              </w:rPr>
            </w:pPr>
            <w:r>
              <w:rPr>
                <w:rFonts w:ascii="宋体" w:eastAsia="宋体" w:hAnsi="宋体" w:cs="宋体"/>
                <w:sz w:val="21"/>
                <w:szCs w:val="21"/>
              </w:rPr>
              <w:t>2</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更新配置管理库模型请求</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对配置管理库的更新请求进行分析，判断是否为更新配置管理库模型的请求（配置管理库范围、分类、关系、属性等）。如是则进入更新配置管理库模型。</w:t>
            </w:r>
          </w:p>
        </w:tc>
      </w:tr>
      <w:tr>
        <w:tblPrEx>
          <w:tblW w:w="8522" w:type="dxa"/>
          <w:jc w:val="center"/>
          <w:tblLayout w:type="fixed"/>
          <w:tblCellMar>
            <w:top w:w="0" w:type="dxa"/>
            <w:left w:w="0" w:type="dxa"/>
            <w:bottom w:w="0" w:type="dxa"/>
            <w:right w:w="0" w:type="dxa"/>
          </w:tblCellMar>
        </w:tblPrEx>
        <w:trPr>
          <w:trHeight w:val="1003"/>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20"/>
              <w:textAlignment w:val="baseline"/>
              <w:rPr>
                <w:rFonts w:ascii="宋体" w:eastAsia="宋体" w:hAnsi="宋体" w:cs="宋体"/>
                <w:sz w:val="21"/>
                <w:szCs w:val="21"/>
              </w:rPr>
            </w:pPr>
            <w:r>
              <w:rPr>
                <w:rFonts w:ascii="宋体" w:eastAsia="宋体" w:hAnsi="宋体" w:cs="宋体"/>
                <w:sz w:val="21"/>
                <w:szCs w:val="21"/>
              </w:rPr>
              <w:t>3</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更新配置管理库模型</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依照更新请求对配置管理库模型在系统中进行相应的调整。</w:t>
            </w:r>
          </w:p>
        </w:tc>
      </w:tr>
      <w:tr>
        <w:tblPrEx>
          <w:tblW w:w="8522" w:type="dxa"/>
          <w:jc w:val="center"/>
          <w:tblLayout w:type="fixed"/>
          <w:tblCellMar>
            <w:top w:w="0" w:type="dxa"/>
            <w:left w:w="0" w:type="dxa"/>
            <w:bottom w:w="0" w:type="dxa"/>
            <w:right w:w="0" w:type="dxa"/>
          </w:tblCellMar>
        </w:tblPrEx>
        <w:trPr>
          <w:trHeight w:val="1529"/>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15"/>
              <w:textAlignment w:val="baseline"/>
              <w:rPr>
                <w:rFonts w:ascii="宋体" w:eastAsia="宋体" w:hAnsi="宋体" w:cs="宋体"/>
                <w:sz w:val="21"/>
                <w:szCs w:val="21"/>
              </w:rPr>
            </w:pPr>
            <w:r>
              <w:rPr>
                <w:rFonts w:ascii="宋体" w:eastAsia="宋体" w:hAnsi="宋体" w:cs="宋体"/>
                <w:sz w:val="21"/>
                <w:szCs w:val="21"/>
              </w:rPr>
              <w:t>4</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新增、修改或删除 CI</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对配置管理库信息的更新请求进行分析，判断是否为新增 CI 操作，或修改 CI 操作，或删除 CI 操作。如为新增 CI 操作，则进入新建CI 记录；如为修改 CI 操作，则进入更新 CI 属性和关系；如为删除 CI 操作，则进入标识 CI 为报废。</w:t>
            </w:r>
          </w:p>
        </w:tc>
      </w:tr>
      <w:tr>
        <w:tblPrEx>
          <w:tblW w:w="8522" w:type="dxa"/>
          <w:jc w:val="center"/>
          <w:tblLayout w:type="fixed"/>
          <w:tblCellMar>
            <w:top w:w="0" w:type="dxa"/>
            <w:left w:w="0" w:type="dxa"/>
            <w:bottom w:w="0" w:type="dxa"/>
            <w:right w:w="0" w:type="dxa"/>
          </w:tblCellMar>
        </w:tblPrEx>
        <w:trPr>
          <w:trHeight w:val="935"/>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20"/>
              <w:textAlignment w:val="baseline"/>
              <w:rPr>
                <w:rFonts w:ascii="宋体" w:eastAsia="宋体" w:hAnsi="宋体" w:cs="宋体"/>
                <w:sz w:val="21"/>
                <w:szCs w:val="21"/>
              </w:rPr>
            </w:pPr>
            <w:r>
              <w:rPr>
                <w:rFonts w:ascii="宋体" w:eastAsia="宋体" w:hAnsi="宋体" w:cs="宋体"/>
                <w:sz w:val="21"/>
                <w:szCs w:val="21"/>
              </w:rPr>
              <w:t>5</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更新 CI 属性和关系</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在配置管理库系统中根据请求对指定的 CI 项属性或关系进行更新。</w:t>
            </w:r>
          </w:p>
        </w:tc>
      </w:tr>
      <w:tr>
        <w:tblPrEx>
          <w:tblW w:w="8522" w:type="dxa"/>
          <w:jc w:val="center"/>
          <w:tblLayout w:type="fixed"/>
          <w:tblCellMar>
            <w:top w:w="0" w:type="dxa"/>
            <w:left w:w="0" w:type="dxa"/>
            <w:bottom w:w="0" w:type="dxa"/>
            <w:right w:w="0" w:type="dxa"/>
          </w:tblCellMar>
        </w:tblPrEx>
        <w:trPr>
          <w:trHeight w:val="935"/>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17"/>
              <w:textAlignment w:val="baseline"/>
              <w:rPr>
                <w:rFonts w:ascii="宋体" w:eastAsia="宋体" w:hAnsi="宋体" w:cs="宋体"/>
                <w:sz w:val="21"/>
                <w:szCs w:val="21"/>
              </w:rPr>
            </w:pPr>
            <w:r>
              <w:rPr>
                <w:rFonts w:ascii="宋体" w:eastAsia="宋体" w:hAnsi="宋体" w:cs="宋体"/>
                <w:sz w:val="21"/>
                <w:szCs w:val="21"/>
              </w:rPr>
              <w:t>6</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标识 CI 为报废</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在配置管理库系统中根据请求对指定的 CI 项状态更新为“ 已废弃 ”。</w:t>
            </w:r>
          </w:p>
        </w:tc>
      </w:tr>
      <w:tr>
        <w:tblPrEx>
          <w:tblW w:w="8522" w:type="dxa"/>
          <w:jc w:val="center"/>
          <w:tblLayout w:type="fixed"/>
          <w:tblCellMar>
            <w:top w:w="0" w:type="dxa"/>
            <w:left w:w="0" w:type="dxa"/>
            <w:bottom w:w="0" w:type="dxa"/>
            <w:right w:w="0" w:type="dxa"/>
          </w:tblCellMar>
        </w:tblPrEx>
        <w:trPr>
          <w:trHeight w:val="935"/>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21"/>
              <w:textAlignment w:val="baseline"/>
              <w:rPr>
                <w:rFonts w:ascii="宋体" w:eastAsia="宋体" w:hAnsi="宋体" w:cs="宋体"/>
                <w:sz w:val="21"/>
                <w:szCs w:val="21"/>
              </w:rPr>
            </w:pPr>
            <w:r>
              <w:rPr>
                <w:rFonts w:ascii="宋体" w:eastAsia="宋体" w:hAnsi="宋体" w:cs="宋体"/>
                <w:sz w:val="21"/>
                <w:szCs w:val="21"/>
              </w:rPr>
              <w:t>7</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新建 CI 记录</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在配置管理库系统中根据请求增加CI 记录。</w:t>
            </w:r>
          </w:p>
        </w:tc>
      </w:tr>
      <w:tr>
        <w:tblPrEx>
          <w:tblW w:w="8522" w:type="dxa"/>
          <w:jc w:val="center"/>
          <w:tblLayout w:type="fixed"/>
          <w:tblCellMar>
            <w:top w:w="0" w:type="dxa"/>
            <w:left w:w="0" w:type="dxa"/>
            <w:bottom w:w="0" w:type="dxa"/>
            <w:right w:w="0" w:type="dxa"/>
          </w:tblCellMar>
        </w:tblPrEx>
        <w:trPr>
          <w:trHeight w:val="940"/>
          <w:jc w:val="center"/>
        </w:trPr>
        <w:tc>
          <w:tcPr>
            <w:tcW w:w="735" w:type="dxa"/>
          </w:tcPr>
          <w:p>
            <w:pPr>
              <w:keepNext w:val="0"/>
              <w:keepLines w:val="0"/>
              <w:pageBreakBefore w:val="0"/>
              <w:widowControl w:val="0"/>
              <w:kinsoku w:val="0"/>
              <w:wordWrap/>
              <w:overflowPunct/>
              <w:topLinePunct w:val="0"/>
              <w:autoSpaceDE w:val="0"/>
              <w:autoSpaceDN w:val="0"/>
              <w:bidi w:val="0"/>
              <w:adjustRightInd w:val="0"/>
              <w:snapToGrid w:val="0"/>
              <w:spacing w:before="68"/>
              <w:ind w:left="317"/>
              <w:textAlignment w:val="baseline"/>
              <w:rPr>
                <w:rFonts w:ascii="宋体" w:eastAsia="宋体" w:hAnsi="宋体" w:cs="宋体"/>
                <w:sz w:val="21"/>
                <w:szCs w:val="21"/>
              </w:rPr>
            </w:pPr>
            <w:r>
              <w:rPr>
                <w:rFonts w:ascii="宋体" w:eastAsia="宋体" w:hAnsi="宋体" w:cs="宋体"/>
                <w:sz w:val="21"/>
                <w:szCs w:val="21"/>
              </w:rPr>
              <w:t>8</w:t>
            </w:r>
          </w:p>
        </w:tc>
        <w:tc>
          <w:tcPr>
            <w:tcW w:w="146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回复请求者/请求过程</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spacing w:val="-5"/>
                <w:sz w:val="21"/>
                <w:szCs w:val="21"/>
              </w:rPr>
            </w:pPr>
            <w:r>
              <w:rPr>
                <w:rFonts w:ascii="宋体" w:eastAsia="宋体" w:hAnsi="宋体" w:cs="宋体"/>
                <w:spacing w:val="-5"/>
                <w:sz w:val="21"/>
                <w:szCs w:val="21"/>
              </w:rPr>
              <w:t>完成配置管理库更新操作后，</w:t>
            </w:r>
            <w:r>
              <w:rPr>
                <w:rFonts w:ascii="宋体" w:eastAsia="宋体" w:hAnsi="宋体" w:cs="宋体" w:hint="eastAsia"/>
                <w:spacing w:val="-5"/>
                <w:sz w:val="21"/>
                <w:szCs w:val="21"/>
                <w:lang w:eastAsia="zh-CN"/>
              </w:rPr>
              <w:t>运维实施工程师</w:t>
            </w:r>
            <w:r>
              <w:rPr>
                <w:rFonts w:ascii="宋体" w:eastAsia="宋体" w:hAnsi="宋体" w:cs="宋体"/>
                <w:spacing w:val="-5"/>
                <w:sz w:val="21"/>
                <w:szCs w:val="21"/>
              </w:rPr>
              <w:t>负责依照更新请求来源及时回复请求者或者请求过程。</w:t>
            </w:r>
          </w:p>
        </w:tc>
      </w:tr>
    </w:tbl>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78"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2"/>
          <w:sz w:val="24"/>
          <w:szCs w:val="24"/>
        </w:rPr>
        <w:t>配置管理审计/验证</w:t>
      </w: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39"/>
        <w:gridCol w:w="1488"/>
        <w:gridCol w:w="1464"/>
        <w:gridCol w:w="4831"/>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2"/>
          <w:jc w:val="center"/>
        </w:trPr>
        <w:tc>
          <w:tcPr>
            <w:tcW w:w="739"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428"/>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488"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23"/>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464"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545"/>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4831"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1785"/>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22" w:type="dxa"/>
          <w:jc w:val="center"/>
          <w:tblLayout w:type="fixed"/>
          <w:tblCellMar>
            <w:top w:w="0" w:type="dxa"/>
            <w:left w:w="0" w:type="dxa"/>
            <w:bottom w:w="0" w:type="dxa"/>
            <w:right w:w="0" w:type="dxa"/>
          </w:tblCellMar>
        </w:tblPrEx>
        <w:trPr>
          <w:trHeight w:val="1395"/>
          <w:jc w:val="center"/>
        </w:trPr>
        <w:tc>
          <w:tcPr>
            <w:tcW w:w="73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573"/>
              <w:textAlignment w:val="baseline"/>
              <w:rPr>
                <w:rFonts w:ascii="宋体" w:eastAsia="宋体" w:hAnsi="宋体" w:cs="宋体"/>
                <w:sz w:val="21"/>
                <w:szCs w:val="21"/>
              </w:rPr>
            </w:pPr>
            <w:r>
              <w:rPr>
                <w:rFonts w:ascii="宋体" w:eastAsia="宋体" w:hAnsi="宋体" w:cs="宋体"/>
                <w:sz w:val="21"/>
                <w:szCs w:val="21"/>
              </w:rPr>
              <w:t>1</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确定审计范围</w:t>
            </w: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运维项目经理在每年三月初发起一次新的审计活动。</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运维项目经理按管理需要对本次审计活动的范围进行定义，并指定相关运维实施工程师对审计活动执行层面进行负责。</w:t>
            </w:r>
          </w:p>
        </w:tc>
      </w:tr>
      <w:tr>
        <w:tblPrEx>
          <w:tblW w:w="8522" w:type="dxa"/>
          <w:jc w:val="center"/>
          <w:tblLayout w:type="fixed"/>
          <w:tblCellMar>
            <w:top w:w="0" w:type="dxa"/>
            <w:left w:w="0" w:type="dxa"/>
            <w:bottom w:w="0" w:type="dxa"/>
            <w:right w:w="0" w:type="dxa"/>
          </w:tblCellMar>
        </w:tblPrEx>
        <w:trPr>
          <w:trHeight w:val="1182"/>
          <w:jc w:val="center"/>
        </w:trPr>
        <w:tc>
          <w:tcPr>
            <w:tcW w:w="73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560"/>
              <w:textAlignment w:val="baseline"/>
              <w:rPr>
                <w:rFonts w:ascii="宋体" w:eastAsia="宋体" w:hAnsi="宋体" w:cs="宋体"/>
                <w:sz w:val="21"/>
                <w:szCs w:val="21"/>
              </w:rPr>
            </w:pPr>
            <w:r>
              <w:rPr>
                <w:rFonts w:ascii="宋体" w:eastAsia="宋体" w:hAnsi="宋体" w:cs="宋体"/>
                <w:sz w:val="21"/>
                <w:szCs w:val="21"/>
              </w:rPr>
              <w:t>2</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抽取CI进行审核</w:t>
            </w: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运维实施工程师按预定策略对本次审计范围内的 CI 项进行抽取。</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运维实施工程师对被抽取的 CI 实体属性和关系进行实地的考察和收集。</w:t>
            </w:r>
          </w:p>
        </w:tc>
      </w:tr>
      <w:tr>
        <w:tblPrEx>
          <w:tblW w:w="8522" w:type="dxa"/>
          <w:jc w:val="center"/>
          <w:tblLayout w:type="fixed"/>
          <w:tblCellMar>
            <w:top w:w="0" w:type="dxa"/>
            <w:left w:w="0" w:type="dxa"/>
            <w:bottom w:w="0" w:type="dxa"/>
            <w:right w:w="0" w:type="dxa"/>
          </w:tblCellMar>
        </w:tblPrEx>
        <w:trPr>
          <w:trHeight w:val="954"/>
          <w:jc w:val="center"/>
        </w:trPr>
        <w:tc>
          <w:tcPr>
            <w:tcW w:w="73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561"/>
              <w:textAlignment w:val="baseline"/>
              <w:rPr>
                <w:rFonts w:ascii="宋体" w:eastAsia="宋体" w:hAnsi="宋体" w:cs="宋体"/>
                <w:sz w:val="21"/>
                <w:szCs w:val="21"/>
              </w:rPr>
            </w:pPr>
            <w:r>
              <w:rPr>
                <w:rFonts w:ascii="宋体" w:eastAsia="宋体" w:hAnsi="宋体" w:cs="宋体"/>
                <w:sz w:val="21"/>
                <w:szCs w:val="21"/>
              </w:rPr>
              <w:t>3</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审核结果与配置管理库信息比较</w:t>
            </w: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运维实施工程师将实际环境中的 CI 实体信息与配置管理库中对应 CI 的配置信息进行比较与核对。</w:t>
            </w:r>
          </w:p>
        </w:tc>
      </w:tr>
      <w:tr>
        <w:tblPrEx>
          <w:tblW w:w="8522" w:type="dxa"/>
          <w:jc w:val="center"/>
          <w:tblLayout w:type="fixed"/>
          <w:tblCellMar>
            <w:top w:w="0" w:type="dxa"/>
            <w:left w:w="0" w:type="dxa"/>
            <w:bottom w:w="0" w:type="dxa"/>
            <w:right w:w="0" w:type="dxa"/>
          </w:tblCellMar>
        </w:tblPrEx>
        <w:trPr>
          <w:trHeight w:val="801"/>
          <w:jc w:val="center"/>
        </w:trPr>
        <w:tc>
          <w:tcPr>
            <w:tcW w:w="73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556"/>
              <w:textAlignment w:val="baseline"/>
              <w:rPr>
                <w:rFonts w:ascii="宋体" w:eastAsia="宋体" w:hAnsi="宋体" w:cs="宋体"/>
                <w:sz w:val="21"/>
                <w:szCs w:val="21"/>
              </w:rPr>
            </w:pPr>
            <w:r>
              <w:rPr>
                <w:rFonts w:ascii="宋体" w:eastAsia="宋体" w:hAnsi="宋体" w:cs="宋体"/>
                <w:sz w:val="21"/>
                <w:szCs w:val="21"/>
              </w:rPr>
              <w:t>4</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收集帐实差异</w:t>
            </w: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运维实施工程师对核对结果进行归类，对发现的帐实存在不一致的 CI 项对其进行相应的标识，并将所有结果收集总结。</w:t>
            </w:r>
          </w:p>
        </w:tc>
      </w:tr>
      <w:tr>
        <w:tblPrEx>
          <w:tblW w:w="8522" w:type="dxa"/>
          <w:jc w:val="center"/>
          <w:tblLayout w:type="fixed"/>
          <w:tblCellMar>
            <w:top w:w="0" w:type="dxa"/>
            <w:left w:w="0" w:type="dxa"/>
            <w:bottom w:w="0" w:type="dxa"/>
            <w:right w:w="0" w:type="dxa"/>
          </w:tblCellMar>
        </w:tblPrEx>
        <w:trPr>
          <w:trHeight w:val="1533"/>
          <w:jc w:val="center"/>
        </w:trPr>
        <w:tc>
          <w:tcPr>
            <w:tcW w:w="739"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561"/>
              <w:textAlignment w:val="baseline"/>
              <w:rPr>
                <w:rFonts w:ascii="宋体" w:eastAsia="宋体" w:hAnsi="宋体" w:cs="宋体"/>
                <w:sz w:val="21"/>
                <w:szCs w:val="21"/>
              </w:rPr>
            </w:pPr>
            <w:r>
              <w:rPr>
                <w:rFonts w:ascii="宋体" w:eastAsia="宋体" w:hAnsi="宋体" w:cs="宋体"/>
                <w:sz w:val="21"/>
                <w:szCs w:val="21"/>
              </w:rPr>
              <w:t>5</w:t>
            </w:r>
          </w:p>
        </w:tc>
        <w:tc>
          <w:tcPr>
            <w:tcW w:w="1488"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确认差异</w:t>
            </w:r>
          </w:p>
        </w:tc>
        <w:tc>
          <w:tcPr>
            <w:tcW w:w="1464" w:type="dxa"/>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w:t>
            </w:r>
          </w:p>
        </w:tc>
        <w:tc>
          <w:tcPr>
            <w:tcW w:w="4831"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pacing w:val="-5"/>
                <w:sz w:val="21"/>
                <w:szCs w:val="21"/>
                <w:lang w:eastAsia="zh-CN"/>
              </w:rPr>
            </w:pPr>
            <w:r>
              <w:rPr>
                <w:rFonts w:ascii="宋体" w:eastAsia="宋体" w:hAnsi="宋体" w:cs="宋体" w:hint="eastAsia"/>
                <w:spacing w:val="-5"/>
                <w:sz w:val="21"/>
                <w:szCs w:val="21"/>
                <w:lang w:eastAsia="zh-CN"/>
              </w:rPr>
              <w:t>运维实施工程师对所有帐实不一致的例外情况进行分析，确定差异原因是由于配置管理库未及时更新还是由于未授权的非法变更导致。必要时，运维实施工程师对差异原因的分析可寻求配置项实体管理员的协助。</w:t>
            </w:r>
          </w:p>
        </w:tc>
      </w:tr>
      <w:tr>
        <w:tblPrEx>
          <w:tblW w:w="8522" w:type="dxa"/>
          <w:jc w:val="center"/>
          <w:tblLayout w:type="fixed"/>
          <w:tblCellMar>
            <w:top w:w="0" w:type="dxa"/>
            <w:left w:w="0" w:type="dxa"/>
            <w:bottom w:w="0" w:type="dxa"/>
            <w:right w:w="0" w:type="dxa"/>
          </w:tblCellMar>
        </w:tblPrEx>
        <w:trPr>
          <w:trHeight w:val="1700"/>
          <w:jc w:val="center"/>
        </w:trPr>
        <w:tc>
          <w:tcPr>
            <w:tcW w:w="739"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559" w:leftChars="0"/>
              <w:textAlignment w:val="baseline"/>
              <w:rPr>
                <w:rFonts w:ascii="宋体" w:eastAsia="宋体" w:hAnsi="宋体" w:cs="宋体"/>
                <w:snapToGrid w:val="0"/>
                <w:color w:val="000000"/>
                <w:kern w:val="0"/>
                <w:sz w:val="21"/>
                <w:szCs w:val="21"/>
                <w:lang w:val="en-US" w:eastAsia="en-US" w:bidi="ar-SA"/>
              </w:rPr>
            </w:pPr>
            <w:r>
              <w:rPr>
                <w:rFonts w:ascii="宋体" w:eastAsia="宋体" w:hAnsi="宋体" w:cs="宋体"/>
                <w:sz w:val="21"/>
                <w:szCs w:val="21"/>
              </w:rPr>
              <w:t>6</w:t>
            </w:r>
          </w:p>
        </w:tc>
        <w:tc>
          <w:tcPr>
            <w:tcW w:w="1488"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spacing w:val="-5"/>
                <w:kern w:val="0"/>
                <w:sz w:val="21"/>
                <w:szCs w:val="21"/>
                <w:lang w:val="en-US" w:eastAsia="zh-CN" w:bidi="ar-SA"/>
              </w:rPr>
            </w:pPr>
            <w:r>
              <w:rPr>
                <w:rFonts w:ascii="宋体" w:eastAsia="宋体" w:hAnsi="宋体" w:cs="宋体" w:hint="eastAsia"/>
                <w:spacing w:val="-5"/>
                <w:sz w:val="21"/>
                <w:szCs w:val="21"/>
                <w:lang w:eastAsia="zh-CN"/>
              </w:rPr>
              <w:t>召开回顾会议</w:t>
            </w:r>
          </w:p>
        </w:tc>
        <w:tc>
          <w:tcPr>
            <w:tcW w:w="1464" w:type="dxa"/>
            <w:shd w:val="clear" w:color="auto" w:fill="auto"/>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spacing w:val="-5"/>
                <w:kern w:val="0"/>
                <w:sz w:val="21"/>
                <w:szCs w:val="21"/>
                <w:lang w:val="en-US" w:eastAsia="zh-CN" w:bidi="ar-SA"/>
              </w:rPr>
            </w:pPr>
            <w:r>
              <w:rPr>
                <w:rFonts w:ascii="宋体" w:eastAsia="宋体" w:hAnsi="宋体" w:cs="宋体" w:hint="eastAsia"/>
                <w:spacing w:val="-5"/>
                <w:sz w:val="21"/>
                <w:szCs w:val="21"/>
                <w:lang w:eastAsia="zh-CN"/>
              </w:rPr>
              <w:t>运维实施工程师</w:t>
            </w:r>
          </w:p>
        </w:tc>
        <w:tc>
          <w:tcPr>
            <w:tcW w:w="483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spacing w:val="-5"/>
                <w:kern w:val="0"/>
                <w:sz w:val="21"/>
                <w:szCs w:val="21"/>
                <w:lang w:val="en-US" w:eastAsia="zh-CN" w:bidi="ar-SA"/>
              </w:rPr>
            </w:pPr>
            <w:r>
              <w:rPr>
                <w:rFonts w:ascii="宋体" w:eastAsia="宋体" w:hAnsi="宋体" w:cs="宋体" w:hint="eastAsia"/>
                <w:spacing w:val="-5"/>
                <w:sz w:val="21"/>
                <w:szCs w:val="21"/>
                <w:lang w:eastAsia="zh-CN"/>
              </w:rPr>
              <w:t>运维项目经理及运维实施工程师基于本次审计结果，召开回顾会议，对其中发现的问题进行总结，并提出配置管理相应的改进意见和建议。制定《审计报告》，最新的配置管理报表也可作为回顾会议的一个输入，对回顾分析提供必要的数据支持。</w:t>
            </w:r>
          </w:p>
        </w:tc>
      </w:tr>
    </w:tbl>
    <w:p>
      <w:pPr>
        <w:keepNext w:val="0"/>
        <w:keepLines w:val="0"/>
        <w:pageBreakBefore w:val="0"/>
        <w:widowControl w:val="0"/>
        <w:numPr>
          <w:ilvl w:val="0"/>
          <w:numId w:val="18"/>
        </w:numPr>
        <w:kinsoku w:val="0"/>
        <w:wordWrap/>
        <w:overflowPunct/>
        <w:topLinePunct w:val="0"/>
        <w:autoSpaceDE w:val="0"/>
        <w:autoSpaceDN w:val="0"/>
        <w:bidi w:val="0"/>
        <w:adjustRightInd w:val="0"/>
        <w:snapToGrid w:val="0"/>
        <w:spacing w:before="271" w:line="220" w:lineRule="auto"/>
        <w:ind w:left="425" w:hanging="425" w:leftChars="0" w:firstLineChars="0"/>
        <w:textAlignment w:val="baseline"/>
        <w:rPr>
          <w:rFonts w:ascii="宋体" w:eastAsia="宋体" w:hAnsi="宋体" w:cs="宋体"/>
          <w:sz w:val="24"/>
          <w:szCs w:val="24"/>
        </w:rPr>
      </w:pPr>
      <w:r>
        <w:rPr>
          <w:rFonts w:ascii="宋体" w:eastAsia="宋体" w:hAnsi="宋体" w:cs="宋体"/>
          <w:spacing w:val="-3"/>
          <w:sz w:val="24"/>
          <w:szCs w:val="24"/>
        </w:rPr>
        <w:t>定期生成配置管理报表</w:t>
      </w:r>
    </w:p>
    <w:tbl>
      <w:tblPr>
        <w:tblStyle w:val="TableNormal0"/>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753"/>
        <w:gridCol w:w="1474"/>
        <w:gridCol w:w="1501"/>
        <w:gridCol w:w="4794"/>
      </w:tblGrid>
      <w:tr>
        <w:tblPrEx>
          <w:tblW w:w="85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84"/>
          <w:jc w:val="center"/>
        </w:trPr>
        <w:tc>
          <w:tcPr>
            <w:tcW w:w="753"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8" w:line="221" w:lineRule="auto"/>
              <w:ind w:left="195"/>
              <w:textAlignment w:val="baseline"/>
              <w:rPr>
                <w:rFonts w:ascii="宋体" w:eastAsia="宋体" w:hAnsi="宋体" w:cs="宋体"/>
                <w:sz w:val="18"/>
                <w:szCs w:val="18"/>
              </w:rPr>
            </w:pPr>
            <w:r>
              <w:rPr>
                <w:rFonts w:ascii="宋体" w:eastAsia="宋体" w:hAnsi="宋体" w:cs="宋体"/>
                <w:b/>
                <w:bCs/>
                <w:spacing w:val="-4"/>
                <w:sz w:val="18"/>
                <w:szCs w:val="18"/>
              </w:rPr>
              <w:t>序号</w:t>
            </w:r>
          </w:p>
        </w:tc>
        <w:tc>
          <w:tcPr>
            <w:tcW w:w="1474"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485"/>
              <w:textAlignment w:val="baseline"/>
              <w:rPr>
                <w:rFonts w:ascii="宋体" w:eastAsia="宋体" w:hAnsi="宋体" w:cs="宋体"/>
                <w:sz w:val="18"/>
                <w:szCs w:val="18"/>
              </w:rPr>
            </w:pPr>
            <w:r>
              <w:rPr>
                <w:rFonts w:ascii="宋体" w:eastAsia="宋体" w:hAnsi="宋体" w:cs="宋体"/>
                <w:b/>
                <w:bCs/>
                <w:spacing w:val="-4"/>
                <w:sz w:val="18"/>
                <w:szCs w:val="18"/>
              </w:rPr>
              <w:t>步骤名称</w:t>
            </w:r>
          </w:p>
        </w:tc>
        <w:tc>
          <w:tcPr>
            <w:tcW w:w="1501"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379"/>
              <w:textAlignment w:val="baseline"/>
              <w:rPr>
                <w:rFonts w:ascii="宋体" w:eastAsia="宋体" w:hAnsi="宋体" w:cs="宋体"/>
                <w:sz w:val="18"/>
                <w:szCs w:val="18"/>
              </w:rPr>
            </w:pPr>
            <w:r>
              <w:rPr>
                <w:rFonts w:ascii="宋体" w:eastAsia="宋体" w:hAnsi="宋体" w:cs="宋体"/>
                <w:b/>
                <w:bCs/>
                <w:spacing w:val="-5"/>
                <w:sz w:val="18"/>
                <w:szCs w:val="18"/>
              </w:rPr>
              <w:t>责任人</w:t>
            </w:r>
          </w:p>
        </w:tc>
        <w:tc>
          <w:tcPr>
            <w:tcW w:w="4794" w:type="dxa"/>
            <w:shd w:val="clear" w:color="auto" w:fill="D9D9D9"/>
            <w:vAlign w:val="center"/>
          </w:tcPr>
          <w:p>
            <w:pPr>
              <w:keepNext w:val="0"/>
              <w:keepLines w:val="0"/>
              <w:pageBreakBefore w:val="0"/>
              <w:widowControl w:val="0"/>
              <w:kinsoku w:val="0"/>
              <w:wordWrap/>
              <w:overflowPunct/>
              <w:topLinePunct w:val="0"/>
              <w:autoSpaceDE w:val="0"/>
              <w:autoSpaceDN w:val="0"/>
              <w:bidi w:val="0"/>
              <w:adjustRightInd w:val="0"/>
              <w:snapToGrid w:val="0"/>
              <w:spacing w:before="59" w:line="220" w:lineRule="auto"/>
              <w:ind w:left="2220"/>
              <w:textAlignment w:val="baseline"/>
              <w:rPr>
                <w:rFonts w:ascii="宋体" w:eastAsia="宋体" w:hAnsi="宋体" w:cs="宋体"/>
                <w:sz w:val="18"/>
                <w:szCs w:val="18"/>
              </w:rPr>
            </w:pPr>
            <w:r>
              <w:rPr>
                <w:rFonts w:ascii="宋体" w:eastAsia="宋体" w:hAnsi="宋体" w:cs="宋体"/>
                <w:b/>
                <w:bCs/>
                <w:spacing w:val="-5"/>
                <w:sz w:val="18"/>
                <w:szCs w:val="18"/>
              </w:rPr>
              <w:t>说明</w:t>
            </w:r>
          </w:p>
        </w:tc>
      </w:tr>
      <w:tr>
        <w:tblPrEx>
          <w:tblW w:w="8522" w:type="dxa"/>
          <w:jc w:val="center"/>
          <w:tblLayout w:type="fixed"/>
          <w:tblCellMar>
            <w:top w:w="0" w:type="dxa"/>
            <w:left w:w="0" w:type="dxa"/>
            <w:bottom w:w="0" w:type="dxa"/>
            <w:right w:w="0" w:type="dxa"/>
          </w:tblCellMar>
        </w:tblPrEx>
        <w:trPr>
          <w:trHeight w:val="1713"/>
          <w:jc w:val="center"/>
        </w:trPr>
        <w:tc>
          <w:tcPr>
            <w:tcW w:w="75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41" w:lineRule="auto"/>
              <w:ind w:left="340"/>
              <w:textAlignment w:val="baseline"/>
              <w:rPr>
                <w:rFonts w:ascii="宋体" w:eastAsia="宋体" w:hAnsi="宋体" w:cs="宋体"/>
                <w:sz w:val="21"/>
                <w:szCs w:val="21"/>
              </w:rPr>
            </w:pPr>
            <w:r>
              <w:rPr>
                <w:rFonts w:ascii="宋体" w:eastAsia="宋体" w:hAnsi="宋体" w:cs="宋体"/>
                <w:sz w:val="21"/>
                <w:szCs w:val="21"/>
              </w:rPr>
              <w:t>1</w:t>
            </w:r>
          </w:p>
        </w:tc>
        <w:tc>
          <w:tcPr>
            <w:tcW w:w="147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13"/>
              <w:textAlignment w:val="baseline"/>
              <w:rPr>
                <w:rFonts w:ascii="宋体" w:eastAsia="宋体" w:hAnsi="宋体" w:cs="宋体"/>
                <w:sz w:val="21"/>
                <w:szCs w:val="21"/>
              </w:rPr>
            </w:pPr>
            <w:r>
              <w:rPr>
                <w:rFonts w:ascii="宋体" w:eastAsia="宋体" w:hAnsi="宋体" w:cs="宋体"/>
                <w:spacing w:val="-2"/>
                <w:sz w:val="21"/>
                <w:szCs w:val="21"/>
              </w:rPr>
              <w:t>接受报表请求</w:t>
            </w:r>
          </w:p>
        </w:tc>
        <w:tc>
          <w:tcPr>
            <w:tcW w:w="1501"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4794" w:type="dxa"/>
          </w:tcPr>
          <w:p>
            <w:pPr>
              <w:keepNext w:val="0"/>
              <w:keepLines w:val="0"/>
              <w:pageBreakBefore w:val="0"/>
              <w:widowControl w:val="0"/>
              <w:kinsoku w:val="0"/>
              <w:wordWrap/>
              <w:overflowPunct/>
              <w:topLinePunct w:val="0"/>
              <w:autoSpaceDE w:val="0"/>
              <w:autoSpaceDN w:val="0"/>
              <w:bidi w:val="0"/>
              <w:adjustRightInd w:val="0"/>
              <w:snapToGrid w:val="0"/>
              <w:spacing w:before="205" w:line="276" w:lineRule="auto"/>
              <w:ind w:left="110" w:right="272"/>
              <w:textAlignment w:val="baseline"/>
              <w:rPr>
                <w:rFonts w:ascii="宋体" w:eastAsia="宋体" w:hAnsi="宋体" w:cs="宋体"/>
                <w:sz w:val="21"/>
                <w:szCs w:val="21"/>
              </w:rPr>
            </w:pPr>
            <w:r>
              <w:rPr>
                <w:rFonts w:ascii="宋体" w:eastAsia="宋体" w:hAnsi="宋体" w:cs="宋体"/>
                <w:spacing w:val="-1"/>
                <w:sz w:val="21"/>
                <w:szCs w:val="21"/>
              </w:rPr>
              <w:t>配置管理报表的请求可能来自于用户、管理层或</w:t>
            </w:r>
            <w:r>
              <w:rPr>
                <w:rFonts w:ascii="宋体" w:eastAsia="宋体" w:hAnsi="宋体" w:cs="宋体"/>
                <w:spacing w:val="-4"/>
                <w:sz w:val="21"/>
                <w:szCs w:val="21"/>
              </w:rPr>
              <w:t>其他服务管理过程。</w:t>
            </w:r>
          </w:p>
          <w:p>
            <w:pPr>
              <w:keepNext w:val="0"/>
              <w:keepLines w:val="0"/>
              <w:pageBreakBefore w:val="0"/>
              <w:widowControl w:val="0"/>
              <w:kinsoku w:val="0"/>
              <w:wordWrap/>
              <w:overflowPunct/>
              <w:topLinePunct w:val="0"/>
              <w:autoSpaceDE w:val="0"/>
              <w:autoSpaceDN w:val="0"/>
              <w:bidi w:val="0"/>
              <w:adjustRightInd w:val="0"/>
              <w:snapToGrid w:val="0"/>
              <w:spacing w:before="151" w:line="277" w:lineRule="auto"/>
              <w:ind w:left="111" w:right="272" w:hanging="1"/>
              <w:textAlignment w:val="baseline"/>
              <w:rPr>
                <w:rFonts w:ascii="宋体" w:eastAsia="宋体" w:hAnsi="宋体" w:cs="宋体"/>
                <w:sz w:val="21"/>
                <w:szCs w:val="21"/>
              </w:rPr>
            </w:pPr>
            <w:r>
              <w:rPr>
                <w:rFonts w:ascii="宋体" w:eastAsia="宋体" w:hAnsi="宋体" w:cs="宋体" w:hint="eastAsia"/>
                <w:spacing w:val="-1"/>
                <w:sz w:val="21"/>
                <w:szCs w:val="21"/>
                <w:lang w:eastAsia="zh-CN"/>
              </w:rPr>
              <w:t>运维实施工程师</w:t>
            </w:r>
            <w:r>
              <w:rPr>
                <w:rFonts w:ascii="宋体" w:eastAsia="宋体" w:hAnsi="宋体" w:cs="宋体"/>
                <w:spacing w:val="-1"/>
                <w:sz w:val="21"/>
                <w:szCs w:val="21"/>
              </w:rPr>
              <w:t>接受来自以上来源的配置管理报表请</w:t>
            </w:r>
            <w:r>
              <w:rPr>
                <w:rFonts w:ascii="宋体" w:eastAsia="宋体" w:hAnsi="宋体" w:cs="宋体"/>
                <w:spacing w:val="-11"/>
                <w:sz w:val="21"/>
                <w:szCs w:val="21"/>
              </w:rPr>
              <w:t>求。</w:t>
            </w:r>
          </w:p>
        </w:tc>
      </w:tr>
      <w:tr>
        <w:tblPrEx>
          <w:tblW w:w="8522" w:type="dxa"/>
          <w:jc w:val="center"/>
          <w:tblLayout w:type="fixed"/>
          <w:tblCellMar>
            <w:top w:w="0" w:type="dxa"/>
            <w:left w:w="0" w:type="dxa"/>
            <w:bottom w:w="0" w:type="dxa"/>
            <w:right w:w="0" w:type="dxa"/>
          </w:tblCellMar>
        </w:tblPrEx>
        <w:trPr>
          <w:trHeight w:val="623"/>
          <w:jc w:val="center"/>
        </w:trPr>
        <w:tc>
          <w:tcPr>
            <w:tcW w:w="75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37" w:line="241" w:lineRule="auto"/>
              <w:ind w:left="327"/>
              <w:textAlignment w:val="baseline"/>
              <w:rPr>
                <w:rFonts w:ascii="宋体" w:eastAsia="宋体" w:hAnsi="宋体" w:cs="宋体"/>
                <w:sz w:val="21"/>
                <w:szCs w:val="21"/>
              </w:rPr>
            </w:pPr>
            <w:r>
              <w:rPr>
                <w:rFonts w:ascii="宋体" w:eastAsia="宋体" w:hAnsi="宋体" w:cs="宋体"/>
                <w:sz w:val="21"/>
                <w:szCs w:val="21"/>
              </w:rPr>
              <w:t>2</w:t>
            </w:r>
          </w:p>
        </w:tc>
        <w:tc>
          <w:tcPr>
            <w:tcW w:w="147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06" w:line="220" w:lineRule="auto"/>
              <w:ind w:left="214"/>
              <w:textAlignment w:val="baseline"/>
              <w:rPr>
                <w:rFonts w:ascii="宋体" w:eastAsia="宋体" w:hAnsi="宋体" w:cs="宋体"/>
                <w:sz w:val="21"/>
                <w:szCs w:val="21"/>
              </w:rPr>
            </w:pPr>
            <w:r>
              <w:rPr>
                <w:rFonts w:ascii="宋体" w:eastAsia="宋体" w:hAnsi="宋体" w:cs="宋体"/>
                <w:spacing w:val="-2"/>
                <w:sz w:val="21"/>
                <w:szCs w:val="21"/>
              </w:rPr>
              <w:t>确定报表类型</w:t>
            </w:r>
          </w:p>
        </w:tc>
        <w:tc>
          <w:tcPr>
            <w:tcW w:w="1501"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206" w:line="220" w:lineRule="auto"/>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4794" w:type="dxa"/>
          </w:tcPr>
          <w:p>
            <w:pPr>
              <w:keepNext w:val="0"/>
              <w:keepLines w:val="0"/>
              <w:pageBreakBefore w:val="0"/>
              <w:widowControl w:val="0"/>
              <w:kinsoku w:val="0"/>
              <w:wordWrap/>
              <w:overflowPunct/>
              <w:topLinePunct w:val="0"/>
              <w:autoSpaceDE w:val="0"/>
              <w:autoSpaceDN w:val="0"/>
              <w:bidi w:val="0"/>
              <w:adjustRightInd w:val="0"/>
              <w:snapToGrid w:val="0"/>
              <w:spacing w:before="206" w:line="220" w:lineRule="auto"/>
              <w:ind w:left="110"/>
              <w:textAlignment w:val="baseline"/>
              <w:rPr>
                <w:rFonts w:ascii="宋体" w:eastAsia="宋体" w:hAnsi="宋体" w:cs="宋体"/>
                <w:sz w:val="21"/>
                <w:szCs w:val="21"/>
              </w:rPr>
            </w:pPr>
            <w:r>
              <w:rPr>
                <w:rFonts w:ascii="宋体" w:eastAsia="宋体" w:hAnsi="宋体" w:cs="宋体" w:hint="eastAsia"/>
                <w:spacing w:val="-2"/>
                <w:sz w:val="21"/>
                <w:szCs w:val="21"/>
                <w:lang w:eastAsia="zh-CN"/>
              </w:rPr>
              <w:t>运维实施工程师</w:t>
            </w:r>
            <w:r>
              <w:rPr>
                <w:rFonts w:ascii="宋体" w:eastAsia="宋体" w:hAnsi="宋体" w:cs="宋体"/>
                <w:spacing w:val="-2"/>
                <w:sz w:val="21"/>
                <w:szCs w:val="21"/>
              </w:rPr>
              <w:t>对请求报表的类型进行识别和确认。</w:t>
            </w:r>
          </w:p>
        </w:tc>
      </w:tr>
      <w:tr>
        <w:tblPrEx>
          <w:tblW w:w="8522" w:type="dxa"/>
          <w:jc w:val="center"/>
          <w:tblLayout w:type="fixed"/>
          <w:tblCellMar>
            <w:top w:w="0" w:type="dxa"/>
            <w:left w:w="0" w:type="dxa"/>
            <w:bottom w:w="0" w:type="dxa"/>
            <w:right w:w="0" w:type="dxa"/>
          </w:tblCellMar>
        </w:tblPrEx>
        <w:trPr>
          <w:trHeight w:val="1246"/>
          <w:jc w:val="center"/>
        </w:trPr>
        <w:tc>
          <w:tcPr>
            <w:tcW w:w="75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329"/>
              <w:textAlignment w:val="baseline"/>
              <w:rPr>
                <w:rFonts w:ascii="宋体" w:eastAsia="宋体" w:hAnsi="宋体" w:cs="宋体"/>
                <w:sz w:val="21"/>
                <w:szCs w:val="21"/>
              </w:rPr>
            </w:pPr>
            <w:r>
              <w:rPr>
                <w:rFonts w:ascii="宋体" w:eastAsia="宋体" w:hAnsi="宋体" w:cs="宋体"/>
                <w:sz w:val="21"/>
                <w:szCs w:val="21"/>
              </w:rPr>
              <w:t>3</w:t>
            </w:r>
          </w:p>
        </w:tc>
        <w:tc>
          <w:tcPr>
            <w:tcW w:w="147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20"/>
              <w:textAlignment w:val="baseline"/>
              <w:rPr>
                <w:rFonts w:ascii="宋体" w:eastAsia="宋体" w:hAnsi="宋体" w:cs="宋体"/>
                <w:sz w:val="21"/>
                <w:szCs w:val="21"/>
              </w:rPr>
            </w:pPr>
            <w:r>
              <w:rPr>
                <w:rFonts w:ascii="宋体" w:eastAsia="宋体" w:hAnsi="宋体" w:cs="宋体"/>
                <w:spacing w:val="-2"/>
                <w:sz w:val="21"/>
                <w:szCs w:val="21"/>
              </w:rPr>
              <w:t>新报表请求</w:t>
            </w:r>
          </w:p>
        </w:tc>
        <w:tc>
          <w:tcPr>
            <w:tcW w:w="1501"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4794" w:type="dxa"/>
          </w:tcPr>
          <w:p>
            <w:pPr>
              <w:keepNext w:val="0"/>
              <w:keepLines w:val="0"/>
              <w:pageBreakBefore w:val="0"/>
              <w:widowControl w:val="0"/>
              <w:kinsoku w:val="0"/>
              <w:wordWrap/>
              <w:overflowPunct/>
              <w:topLinePunct w:val="0"/>
              <w:autoSpaceDE w:val="0"/>
              <w:autoSpaceDN w:val="0"/>
              <w:bidi w:val="0"/>
              <w:adjustRightInd w:val="0"/>
              <w:snapToGrid w:val="0"/>
              <w:spacing w:before="207" w:line="276" w:lineRule="auto"/>
              <w:ind w:left="108" w:right="272" w:firstLine="1"/>
              <w:jc w:val="both"/>
              <w:textAlignment w:val="baseline"/>
              <w:rPr>
                <w:rFonts w:ascii="宋体" w:eastAsia="宋体" w:hAnsi="宋体" w:cs="宋体"/>
                <w:sz w:val="21"/>
                <w:szCs w:val="21"/>
              </w:rPr>
            </w:pPr>
            <w:r>
              <w:rPr>
                <w:rFonts w:ascii="宋体" w:eastAsia="宋体" w:hAnsi="宋体" w:cs="宋体" w:hint="eastAsia"/>
                <w:spacing w:val="-1"/>
                <w:sz w:val="21"/>
                <w:szCs w:val="21"/>
                <w:lang w:eastAsia="zh-CN"/>
              </w:rPr>
              <w:t>运维实施工程师</w:t>
            </w:r>
            <w:r>
              <w:rPr>
                <w:rFonts w:ascii="宋体" w:eastAsia="宋体" w:hAnsi="宋体" w:cs="宋体"/>
                <w:spacing w:val="-1"/>
                <w:sz w:val="21"/>
                <w:szCs w:val="21"/>
              </w:rPr>
              <w:t>判断被请求的报表是否为新报表，如是，则进入创建新报表；如否，则进入运行生成</w:t>
            </w:r>
            <w:r>
              <w:rPr>
                <w:rFonts w:ascii="宋体" w:eastAsia="宋体" w:hAnsi="宋体" w:cs="宋体"/>
                <w:spacing w:val="-9"/>
                <w:sz w:val="21"/>
                <w:szCs w:val="21"/>
              </w:rPr>
              <w:t>报表。</w:t>
            </w:r>
          </w:p>
        </w:tc>
      </w:tr>
      <w:tr>
        <w:tblPrEx>
          <w:tblW w:w="8522" w:type="dxa"/>
          <w:jc w:val="center"/>
          <w:tblLayout w:type="fixed"/>
          <w:tblCellMar>
            <w:top w:w="0" w:type="dxa"/>
            <w:left w:w="0" w:type="dxa"/>
            <w:bottom w:w="0" w:type="dxa"/>
            <w:right w:w="0" w:type="dxa"/>
          </w:tblCellMar>
        </w:tblPrEx>
        <w:trPr>
          <w:trHeight w:val="935"/>
          <w:jc w:val="center"/>
        </w:trPr>
        <w:tc>
          <w:tcPr>
            <w:tcW w:w="75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41" w:lineRule="auto"/>
              <w:ind w:left="324"/>
              <w:textAlignment w:val="baseline"/>
              <w:rPr>
                <w:rFonts w:ascii="宋体" w:eastAsia="宋体" w:hAnsi="宋体" w:cs="宋体"/>
                <w:sz w:val="21"/>
                <w:szCs w:val="21"/>
              </w:rPr>
            </w:pPr>
            <w:r>
              <w:rPr>
                <w:rFonts w:ascii="宋体" w:eastAsia="宋体" w:hAnsi="宋体" w:cs="宋体"/>
                <w:sz w:val="21"/>
                <w:szCs w:val="21"/>
              </w:rPr>
              <w:t>4</w:t>
            </w:r>
          </w:p>
        </w:tc>
        <w:tc>
          <w:tcPr>
            <w:tcW w:w="147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ind w:left="319"/>
              <w:textAlignment w:val="baseline"/>
              <w:rPr>
                <w:rFonts w:ascii="宋体" w:eastAsia="宋体" w:hAnsi="宋体" w:cs="宋体"/>
                <w:sz w:val="21"/>
                <w:szCs w:val="21"/>
              </w:rPr>
            </w:pPr>
            <w:r>
              <w:rPr>
                <w:rFonts w:ascii="宋体" w:eastAsia="宋体" w:hAnsi="宋体" w:cs="宋体"/>
                <w:spacing w:val="-2"/>
                <w:sz w:val="21"/>
                <w:szCs w:val="21"/>
              </w:rPr>
              <w:t>创建新报表</w:t>
            </w:r>
          </w:p>
        </w:tc>
        <w:tc>
          <w:tcPr>
            <w:tcW w:w="1501"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9" w:line="220" w:lineRule="auto"/>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4794" w:type="dxa"/>
          </w:tcPr>
          <w:p>
            <w:pPr>
              <w:keepNext w:val="0"/>
              <w:keepLines w:val="0"/>
              <w:pageBreakBefore w:val="0"/>
              <w:widowControl w:val="0"/>
              <w:kinsoku w:val="0"/>
              <w:wordWrap/>
              <w:overflowPunct/>
              <w:topLinePunct w:val="0"/>
              <w:autoSpaceDE w:val="0"/>
              <w:autoSpaceDN w:val="0"/>
              <w:bidi w:val="0"/>
              <w:adjustRightInd w:val="0"/>
              <w:snapToGrid w:val="0"/>
              <w:spacing w:before="211" w:line="276" w:lineRule="auto"/>
              <w:ind w:left="116" w:right="272" w:hanging="6"/>
              <w:textAlignment w:val="baseline"/>
              <w:rPr>
                <w:rFonts w:ascii="宋体" w:eastAsia="宋体" w:hAnsi="宋体" w:cs="宋体"/>
                <w:sz w:val="21"/>
                <w:szCs w:val="21"/>
              </w:rPr>
            </w:pPr>
            <w:r>
              <w:rPr>
                <w:rFonts w:ascii="宋体" w:eastAsia="宋体" w:hAnsi="宋体" w:cs="宋体" w:hint="eastAsia"/>
                <w:spacing w:val="-1"/>
                <w:sz w:val="21"/>
                <w:szCs w:val="21"/>
                <w:lang w:eastAsia="zh-CN"/>
              </w:rPr>
              <w:t>运维实施工程师</w:t>
            </w:r>
            <w:r>
              <w:rPr>
                <w:rFonts w:ascii="宋体" w:eastAsia="宋体" w:hAnsi="宋体" w:cs="宋体"/>
                <w:spacing w:val="-1"/>
                <w:sz w:val="21"/>
                <w:szCs w:val="21"/>
              </w:rPr>
              <w:t>依照请求在系统中开发或者定制新类</w:t>
            </w:r>
            <w:r>
              <w:rPr>
                <w:rFonts w:ascii="宋体" w:eastAsia="宋体" w:hAnsi="宋体" w:cs="宋体"/>
                <w:spacing w:val="-3"/>
                <w:sz w:val="21"/>
                <w:szCs w:val="21"/>
              </w:rPr>
              <w:t>型的报表，必要时协调其他技术资源的支持。</w:t>
            </w:r>
          </w:p>
        </w:tc>
      </w:tr>
      <w:tr>
        <w:tblPrEx>
          <w:tblW w:w="8522" w:type="dxa"/>
          <w:jc w:val="center"/>
          <w:tblLayout w:type="fixed"/>
          <w:tblCellMar>
            <w:top w:w="0" w:type="dxa"/>
            <w:left w:w="0" w:type="dxa"/>
            <w:bottom w:w="0" w:type="dxa"/>
            <w:right w:w="0" w:type="dxa"/>
          </w:tblCellMar>
        </w:tblPrEx>
        <w:trPr>
          <w:trHeight w:val="1718"/>
          <w:jc w:val="center"/>
        </w:trPr>
        <w:tc>
          <w:tcPr>
            <w:tcW w:w="753"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ind w:left="329"/>
              <w:textAlignment w:val="baseline"/>
              <w:rPr>
                <w:rFonts w:ascii="宋体" w:eastAsia="宋体" w:hAnsi="宋体" w:cs="宋体"/>
                <w:sz w:val="21"/>
                <w:szCs w:val="21"/>
              </w:rPr>
            </w:pPr>
            <w:r>
              <w:rPr>
                <w:rFonts w:ascii="宋体" w:eastAsia="宋体" w:hAnsi="宋体" w:cs="宋体"/>
                <w:sz w:val="21"/>
                <w:szCs w:val="21"/>
              </w:rPr>
              <w:t>5</w:t>
            </w:r>
          </w:p>
        </w:tc>
        <w:tc>
          <w:tcPr>
            <w:tcW w:w="1474"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ind w:left="214"/>
              <w:textAlignment w:val="baseline"/>
              <w:rPr>
                <w:rFonts w:ascii="宋体" w:eastAsia="宋体" w:hAnsi="宋体" w:cs="宋体"/>
                <w:sz w:val="21"/>
                <w:szCs w:val="21"/>
              </w:rPr>
            </w:pPr>
            <w:r>
              <w:rPr>
                <w:rFonts w:ascii="宋体" w:eastAsia="宋体" w:hAnsi="宋体" w:cs="宋体"/>
                <w:spacing w:val="-2"/>
                <w:sz w:val="21"/>
                <w:szCs w:val="21"/>
              </w:rPr>
              <w:t>运行生成报表</w:t>
            </w:r>
          </w:p>
        </w:tc>
        <w:tc>
          <w:tcPr>
            <w:tcW w:w="1501" w:type="dxa"/>
            <w:vAlign w:val="center"/>
          </w:tcPr>
          <w:p>
            <w:pPr>
              <w:keepNext w:val="0"/>
              <w:keepLines w:val="0"/>
              <w:pageBreakBefore w:val="0"/>
              <w:widowControl w:val="0"/>
              <w:kinsoku w:val="0"/>
              <w:wordWrap/>
              <w:overflowPunct/>
              <w:topLinePunct w:val="0"/>
              <w:autoSpaceDE w:val="0"/>
              <w:autoSpaceDN w:val="0"/>
              <w:bidi w:val="0"/>
              <w:adjustRightInd w:val="0"/>
              <w:snapToGrid w:val="0"/>
              <w:spacing w:before="68" w:line="220" w:lineRule="auto"/>
              <w:textAlignment w:val="baseline"/>
              <w:rPr>
                <w:rFonts w:ascii="宋体" w:eastAsia="宋体" w:hAnsi="宋体" w:cs="宋体" w:hint="eastAsia"/>
                <w:sz w:val="21"/>
                <w:szCs w:val="21"/>
                <w:lang w:eastAsia="zh-CN"/>
              </w:rPr>
            </w:pPr>
            <w:r>
              <w:rPr>
                <w:rFonts w:ascii="宋体" w:eastAsia="宋体" w:hAnsi="宋体" w:cs="宋体" w:hint="eastAsia"/>
                <w:spacing w:val="-2"/>
                <w:sz w:val="21"/>
                <w:szCs w:val="21"/>
                <w:lang w:eastAsia="zh-CN"/>
              </w:rPr>
              <w:t>运维实施工程师</w:t>
            </w:r>
          </w:p>
        </w:tc>
        <w:tc>
          <w:tcPr>
            <w:tcW w:w="4794" w:type="dxa"/>
          </w:tcPr>
          <w:p>
            <w:pPr>
              <w:keepNext w:val="0"/>
              <w:keepLines w:val="0"/>
              <w:pageBreakBefore w:val="0"/>
              <w:widowControl w:val="0"/>
              <w:kinsoku w:val="0"/>
              <w:wordWrap/>
              <w:overflowPunct/>
              <w:topLinePunct w:val="0"/>
              <w:autoSpaceDE w:val="0"/>
              <w:autoSpaceDN w:val="0"/>
              <w:bidi w:val="0"/>
              <w:adjustRightInd w:val="0"/>
              <w:snapToGrid w:val="0"/>
              <w:spacing w:before="212" w:line="276" w:lineRule="auto"/>
              <w:ind w:left="110" w:right="272"/>
              <w:textAlignment w:val="baseline"/>
              <w:rPr>
                <w:rFonts w:ascii="宋体" w:eastAsia="宋体" w:hAnsi="宋体" w:cs="宋体"/>
                <w:sz w:val="21"/>
                <w:szCs w:val="21"/>
              </w:rPr>
            </w:pPr>
            <w:r>
              <w:rPr>
                <w:rFonts w:ascii="宋体" w:eastAsia="宋体" w:hAnsi="宋体" w:cs="宋体" w:hint="eastAsia"/>
                <w:spacing w:val="-1"/>
                <w:sz w:val="21"/>
                <w:szCs w:val="21"/>
                <w:lang w:eastAsia="zh-CN"/>
              </w:rPr>
              <w:t>运维实施工程师</w:t>
            </w:r>
            <w:r>
              <w:rPr>
                <w:rFonts w:ascii="宋体" w:eastAsia="宋体" w:hAnsi="宋体" w:cs="宋体"/>
                <w:spacing w:val="-1"/>
                <w:sz w:val="21"/>
                <w:szCs w:val="21"/>
              </w:rPr>
              <w:t>提取最新数据生成报表，并提交至相</w:t>
            </w:r>
            <w:r>
              <w:rPr>
                <w:rFonts w:ascii="宋体" w:eastAsia="宋体" w:hAnsi="宋体" w:cs="宋体"/>
                <w:spacing w:val="-5"/>
                <w:sz w:val="21"/>
                <w:szCs w:val="21"/>
              </w:rPr>
              <w:t>应的报表请求人。</w:t>
            </w:r>
          </w:p>
          <w:p>
            <w:pPr>
              <w:keepNext w:val="0"/>
              <w:keepLines w:val="0"/>
              <w:pageBreakBefore w:val="0"/>
              <w:widowControl w:val="0"/>
              <w:kinsoku w:val="0"/>
              <w:wordWrap/>
              <w:overflowPunct/>
              <w:topLinePunct w:val="0"/>
              <w:autoSpaceDE w:val="0"/>
              <w:autoSpaceDN w:val="0"/>
              <w:bidi w:val="0"/>
              <w:adjustRightInd w:val="0"/>
              <w:snapToGrid w:val="0"/>
              <w:spacing w:before="150" w:line="220" w:lineRule="auto"/>
              <w:ind w:left="114"/>
              <w:textAlignment w:val="baseline"/>
              <w:rPr>
                <w:rFonts w:ascii="宋体" w:eastAsia="宋体" w:hAnsi="宋体" w:cs="宋体"/>
                <w:sz w:val="21"/>
                <w:szCs w:val="21"/>
              </w:rPr>
            </w:pPr>
            <w:r>
              <w:rPr>
                <w:rFonts w:ascii="宋体" w:eastAsia="宋体" w:hAnsi="宋体" w:cs="宋体"/>
                <w:spacing w:val="-2"/>
                <w:sz w:val="21"/>
                <w:szCs w:val="21"/>
              </w:rPr>
              <w:t>系统应能支持按一定周期策略定时自动生成报表。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9591"/>
      <w:r>
        <w:t>配置过程与其他过程的关系</w:t>
      </w:r>
      <w:bookmarkEnd w:id="13"/>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_Toc4024"/>
      <w:r>
        <w:t>与事件管理过程的关系</w:t>
      </w:r>
      <w:bookmarkEnd w:id="14"/>
    </w:p>
    <w:p>
      <w:pPr>
        <w:pStyle w:val="a3"/>
        <w:numPr>
          <w:ilvl w:val="0"/>
          <w:numId w:val="19"/>
        </w:numPr>
        <w:bidi w:val="0"/>
      </w:pPr>
      <w:r>
        <w:t>在事件记录中，应尽可能与配置管理库中的配置项建立关联关系，利用配置管理库中维护的配置项属性和关联信息，帮助事件处理和问题诊断分析</w:t>
      </w:r>
    </w:p>
    <w:p>
      <w:pPr>
        <w:pStyle w:val="a3"/>
        <w:numPr>
          <w:ilvl w:val="0"/>
          <w:numId w:val="19"/>
        </w:numPr>
        <w:bidi w:val="0"/>
      </w:pPr>
      <w:r>
        <w:t>在事件或问题过程处理过程中，如果发现配置项信息不完整或不正确，则需要向变更发布管理过程提交信息变更请求，对配置项数据进行相应修正更新。</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17017"/>
      <w:r>
        <w:t>与问题管理过程的关系</w:t>
      </w:r>
      <w:bookmarkEnd w:id="15"/>
    </w:p>
    <w:p>
      <w:pPr>
        <w:pStyle w:val="a"/>
        <w:bidi w:val="0"/>
      </w:pPr>
      <w:r>
        <w:t>同事件管理。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bookmark15"/>
      <w:bookmarkEnd w:id="16"/>
      <w:bookmarkStart w:id="17" w:name="_Toc13337"/>
      <w:r>
        <w:t>与变更管理过程的关系</w:t>
      </w:r>
      <w:bookmarkEnd w:id="17"/>
    </w:p>
    <w:p>
      <w:pPr>
        <w:pStyle w:val="a3"/>
        <w:numPr>
          <w:ilvl w:val="0"/>
          <w:numId w:val="20"/>
        </w:numPr>
        <w:bidi w:val="0"/>
      </w:pPr>
      <w:r>
        <w:t>变更经理在变更阶段必须制定配置项变更记录，对修改的配置项进行说明</w:t>
      </w:r>
    </w:p>
    <w:p>
      <w:pPr>
        <w:pStyle w:val="a3"/>
        <w:numPr>
          <w:ilvl w:val="0"/>
          <w:numId w:val="20"/>
        </w:numPr>
        <w:bidi w:val="0"/>
      </w:pPr>
      <w:r>
        <w:t>对于风险等级为高和重大的变更，CAB 中应该包括</w:t>
      </w:r>
      <w:r>
        <w:rPr>
          <w:rFonts w:hint="eastAsia"/>
          <w:lang w:eastAsia="zh-CN"/>
        </w:rPr>
        <w:t>运维项目经理</w:t>
      </w:r>
      <w:r>
        <w:t>，以确保对配置管理库的适当控制。</w:t>
      </w:r>
    </w:p>
    <w:p>
      <w:pPr>
        <w:pStyle w:val="a3"/>
        <w:numPr>
          <w:ilvl w:val="0"/>
          <w:numId w:val="20"/>
        </w:numPr>
        <w:bidi w:val="0"/>
      </w:pPr>
      <w:r>
        <w:t>对于配置管理库模型的变更，在审核过程中应通知</w:t>
      </w:r>
      <w:r>
        <w:rPr>
          <w:rFonts w:hint="eastAsia"/>
          <w:lang w:eastAsia="zh-CN"/>
        </w:rPr>
        <w:t>运维项目经理</w:t>
      </w:r>
      <w:r>
        <w:t>参与评估。</w:t>
      </w:r>
    </w:p>
    <w:p>
      <w:pPr>
        <w:pStyle w:val="a3"/>
        <w:numPr>
          <w:ilvl w:val="0"/>
          <w:numId w:val="20"/>
        </w:numPr>
        <w:bidi w:val="0"/>
      </w:pPr>
      <w:r>
        <w:t>变更实施完后，由变更经理汇总相应的配置项修改的情况，并通知相应的</w:t>
      </w:r>
      <w:r>
        <w:rPr>
          <w:rFonts w:hint="eastAsia"/>
          <w:lang w:eastAsia="zh-CN"/>
        </w:rPr>
        <w:t>运维实施工程师</w:t>
      </w:r>
      <w:r>
        <w:t>，</w:t>
      </w:r>
      <w:r>
        <w:rPr>
          <w:rFonts w:hint="eastAsia"/>
          <w:lang w:eastAsia="zh-CN"/>
        </w:rPr>
        <w:t>运维实施工程师</w:t>
      </w:r>
      <w:r>
        <w:t>接收到配置项修改请求后，与配置项实体进行核对，核对无误后方可修改配置项属性以及关系。</w:t>
      </w:r>
    </w:p>
    <w:p>
      <w:pPr>
        <w:pStyle w:val="a3"/>
        <w:numPr>
          <w:ilvl w:val="0"/>
          <w:numId w:val="20"/>
        </w:numPr>
        <w:bidi w:val="0"/>
      </w:pPr>
      <w:r>
        <w:t>配置项应与变更记录建立关联，从而对配置项的变化情况进行记录。</w:t>
      </w:r>
    </w:p>
    <w:p>
      <w:pPr>
        <w:pStyle w:val="a3"/>
        <w:numPr>
          <w:ilvl w:val="0"/>
          <w:numId w:val="20"/>
        </w:numPr>
        <w:bidi w:val="0"/>
      </w:pPr>
      <w:r>
        <w:t>配置管理审计过程发现的例外情况，在分析并生成例外报告后，可依据需要提交变更请求至变更管理进行相应修正更新。</w:t>
      </w:r>
    </w:p>
    <w:p>
      <w:pPr>
        <w:pStyle w:val="a3"/>
        <w:numPr>
          <w:ilvl w:val="0"/>
          <w:numId w:val="20"/>
        </w:numPr>
        <w:bidi w:val="0"/>
      </w:pPr>
      <w:r>
        <w:t>配置管理为变更发布管理过程提供了配置项数据，尤其是配置项的关联关系，能帮助确定一次变更发布可能造成的风险和影响。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26179"/>
      <w:r>
        <w:rPr>
          <w:rFonts w:hint="eastAsia"/>
          <w:lang w:val="en-US" w:eastAsia="zh-CN"/>
        </w:rPr>
        <w:t>配置审计周期</w:t>
      </w:r>
      <w:bookmarkEnd w:id="1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3217"/>
      <w:r>
        <w:rPr>
          <w:rFonts w:hint="eastAsia"/>
        </w:rPr>
        <w:t>定期审计</w:t>
      </w:r>
      <w:bookmarkEnd w:id="1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每半年由运维项目经理发起并组织一次全面审计，审计活动应在半个月内完成，并输出《配置审计报告》。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11633"/>
      <w:r>
        <w:rPr>
          <w:rFonts w:hint="eastAsia"/>
        </w:rPr>
        <w:t>事件触发审计</w:t>
      </w:r>
      <w:bookmarkEnd w:id="2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在以下情况发生后，应及时启动专项审计：</w:t>
      </w:r>
    </w:p>
    <w:p>
      <w:pPr>
        <w:pStyle w:val="a"/>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新项目合同签订后；</w:t>
      </w:r>
    </w:p>
    <w:p>
      <w:pPr>
        <w:pStyle w:val="a"/>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配置项发生变更后；</w:t>
      </w:r>
    </w:p>
    <w:p>
      <w:pPr>
        <w:pStyle w:val="a"/>
        <w:keepNext w:val="0"/>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IT服务管理范围扩大或配置项结构发生调整时。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8900"/>
      <w:r>
        <w:rPr>
          <w:rFonts w:hint="eastAsia"/>
        </w:rPr>
        <w:t>审计范围与内容</w:t>
      </w:r>
      <w:bookmarkEnd w:id="2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审计应覆盖所有配置项，重点验证其状态、属性、关联关系及变更记录的准确性。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2" w:name="_Toc20483"/>
      <w:r>
        <w:rPr>
          <w:rFonts w:hint="eastAsia"/>
        </w:rPr>
        <w:t>审计结果处理</w:t>
      </w:r>
      <w:bookmarkEnd w:id="2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审计发现的差异应记录并分析原因，必要时通过变更管理流程进行修正，确保配置信息与实际环境一致。</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_Toc9011"/>
      <w:r>
        <w:t>关键指标</w:t>
      </w:r>
      <w:bookmarkEnd w:id="23"/>
    </w:p>
    <w:tbl>
      <w:tblPr>
        <w:tblStyle w:val="TableNormal0"/>
        <w:tblW w:w="7003"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27"/>
        <w:gridCol w:w="1337"/>
        <w:gridCol w:w="3339"/>
        <w:gridCol w:w="800"/>
        <w:gridCol w:w="800"/>
      </w:tblGrid>
      <w:tr>
        <w:tblPrEx>
          <w:tblW w:w="7003" w:type="dxa"/>
          <w:tblInd w:w="13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298"/>
        </w:trPr>
        <w:tc>
          <w:tcPr>
            <w:tcW w:w="727" w:type="dxa"/>
            <w:tcBorders>
              <w:top w:val="single" w:sz="6" w:space="0" w:color="000000"/>
              <w:left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0"/>
                <w:szCs w:val="20"/>
              </w:rPr>
            </w:pPr>
            <w:r>
              <w:rPr>
                <w:rFonts w:ascii="宋体" w:eastAsia="宋体" w:hAnsi="宋体" w:cs="宋体"/>
                <w:b/>
                <w:bCs/>
                <w:spacing w:val="-7"/>
                <w:sz w:val="20"/>
                <w:szCs w:val="20"/>
              </w:rPr>
              <w:t>序号</w:t>
            </w:r>
          </w:p>
        </w:tc>
        <w:tc>
          <w:tcPr>
            <w:tcW w:w="1337" w:type="dxa"/>
            <w:tcBorders>
              <w:top w:val="single" w:sz="6" w:space="0" w:color="000000"/>
              <w:bottom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0"/>
                <w:szCs w:val="20"/>
              </w:rPr>
            </w:pPr>
            <w:r>
              <w:rPr>
                <w:rFonts w:ascii="宋体" w:eastAsia="宋体" w:hAnsi="宋体" w:cs="宋体"/>
                <w:b/>
                <w:bCs/>
                <w:spacing w:val="-7"/>
                <w:sz w:val="20"/>
                <w:szCs w:val="20"/>
              </w:rPr>
              <w:t>衡量指标</w:t>
            </w:r>
          </w:p>
        </w:tc>
        <w:tc>
          <w:tcPr>
            <w:tcW w:w="3339"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ind w:left="195"/>
              <w:textAlignment w:val="baseline"/>
              <w:rPr>
                <w:rFonts w:ascii="宋体" w:eastAsia="宋体" w:hAnsi="宋体" w:cs="宋体"/>
                <w:b/>
                <w:bCs/>
                <w:spacing w:val="-7"/>
                <w:sz w:val="20"/>
                <w:szCs w:val="20"/>
              </w:rPr>
            </w:pPr>
            <w:r>
              <w:rPr>
                <w:rFonts w:ascii="宋体" w:eastAsia="宋体" w:hAnsi="宋体" w:cs="宋体"/>
                <w:b/>
                <w:bCs/>
                <w:spacing w:val="-7"/>
                <w:sz w:val="20"/>
                <w:szCs w:val="20"/>
              </w:rPr>
              <w:t>指标计算说明</w:t>
            </w:r>
          </w:p>
        </w:tc>
        <w:tc>
          <w:tcPr>
            <w:tcW w:w="800"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ascii="宋体" w:eastAsia="宋体" w:hAnsi="宋体" w:cs="宋体" w:hint="default"/>
                <w:b/>
                <w:bCs/>
                <w:spacing w:val="-7"/>
                <w:sz w:val="20"/>
                <w:szCs w:val="20"/>
                <w:lang w:val="en-US" w:eastAsia="zh-CN"/>
              </w:rPr>
            </w:pPr>
            <w:r>
              <w:rPr>
                <w:rFonts w:ascii="宋体" w:eastAsia="宋体" w:hAnsi="宋体" w:cs="宋体" w:hint="eastAsia"/>
                <w:b/>
                <w:bCs/>
                <w:spacing w:val="-7"/>
                <w:sz w:val="20"/>
                <w:szCs w:val="20"/>
                <w:lang w:val="en-US" w:eastAsia="zh-CN"/>
              </w:rPr>
              <w:t>考核频次</w:t>
            </w:r>
          </w:p>
        </w:tc>
        <w:tc>
          <w:tcPr>
            <w:tcW w:w="800" w:type="dxa"/>
            <w:tcBorders>
              <w:top w:val="single" w:sz="6" w:space="0" w:color="000000"/>
              <w:bottom w:val="single" w:sz="6" w:space="0" w:color="000000"/>
              <w:right w:val="single" w:sz="6" w:space="0" w:color="000000"/>
            </w:tcBorders>
            <w:shd w:val="clear" w:color="auto" w:fill="C0C0C0"/>
          </w:tcPr>
          <w:p>
            <w:pPr>
              <w:keepNext w:val="0"/>
              <w:keepLines w:val="0"/>
              <w:pageBreakBefore w:val="0"/>
              <w:widowControl w:val="0"/>
              <w:kinsoku w:val="0"/>
              <w:wordWrap/>
              <w:overflowPunct/>
              <w:topLinePunct w:val="0"/>
              <w:autoSpaceDE w:val="0"/>
              <w:autoSpaceDN w:val="0"/>
              <w:bidi w:val="0"/>
              <w:adjustRightInd w:val="0"/>
              <w:snapToGrid w:val="0"/>
              <w:spacing w:before="205" w:line="221" w:lineRule="auto"/>
              <w:textAlignment w:val="baseline"/>
              <w:rPr>
                <w:rFonts w:ascii="宋体" w:eastAsia="宋体" w:hAnsi="宋体" w:cs="宋体" w:hint="default"/>
                <w:b/>
                <w:bCs/>
                <w:spacing w:val="-7"/>
                <w:sz w:val="20"/>
                <w:szCs w:val="20"/>
                <w:lang w:val="en-US" w:eastAsia="zh-CN"/>
              </w:rPr>
            </w:pPr>
            <w:r>
              <w:rPr>
                <w:rFonts w:ascii="宋体" w:hAnsi="宋体" w:cs="宋体" w:hint="eastAsia"/>
                <w:b/>
                <w:bCs/>
                <w:spacing w:val="-7"/>
                <w:sz w:val="20"/>
                <w:szCs w:val="20"/>
                <w:lang w:val="en-US" w:eastAsia="zh-CN"/>
              </w:rPr>
              <w:t>目标值</w:t>
            </w:r>
          </w:p>
        </w:tc>
      </w:tr>
      <w:tr>
        <w:tblPrEx>
          <w:tblW w:w="7003" w:type="dxa"/>
          <w:tblInd w:w="130" w:type="dxa"/>
          <w:tblLayout w:type="fixed"/>
          <w:tblCellMar>
            <w:top w:w="0" w:type="dxa"/>
            <w:left w:w="0" w:type="dxa"/>
            <w:bottom w:w="0" w:type="dxa"/>
            <w:right w:w="0" w:type="dxa"/>
          </w:tblCellMar>
        </w:tblPrEx>
        <w:trPr>
          <w:trHeight w:val="273"/>
        </w:trPr>
        <w:tc>
          <w:tcPr>
            <w:tcW w:w="727" w:type="dxa"/>
            <w:tcBorders>
              <w:top w:val="single" w:sz="6" w:space="0" w:color="000000"/>
              <w:left w:val="single" w:sz="6" w:space="0" w:color="000000"/>
              <w:bottom w:val="single" w:sz="6" w:space="0" w:color="000000"/>
            </w:tcBorders>
          </w:tcPr>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1</w:t>
            </w:r>
          </w:p>
        </w:tc>
        <w:tc>
          <w:tcPr>
            <w:tcW w:w="1337" w:type="dxa"/>
            <w:tcBorders>
              <w:top w:val="single" w:sz="6" w:space="0" w:color="000000"/>
              <w:bottom w:val="single" w:sz="6" w:space="0" w:color="000000"/>
            </w:tcBorders>
          </w:tcPr>
          <w:p>
            <w:pPr>
              <w:pStyle w:val="a"/>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sz w:val="20"/>
                <w:szCs w:val="20"/>
                <w:lang w:val="en-US" w:eastAsia="zh-CN"/>
              </w:rPr>
            </w:pPr>
            <w:r>
              <w:rPr>
                <w:rFonts w:hint="eastAsia"/>
                <w:sz w:val="20"/>
                <w:szCs w:val="20"/>
              </w:rPr>
              <w:t>配置准确率</w:t>
            </w:r>
          </w:p>
        </w:tc>
        <w:tc>
          <w:tcPr>
            <w:tcW w:w="3339" w:type="dxa"/>
            <w:tcBorders>
              <w:top w:val="single" w:sz="6" w:space="0" w:color="000000"/>
              <w:bottom w:val="single" w:sz="6" w:space="0" w:color="000000"/>
              <w:right w:val="single" w:sz="6" w:space="0" w:color="000000"/>
            </w:tcBorders>
          </w:tcPr>
          <w:p>
            <w:pPr>
              <w:pStyle w:val="a"/>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sz w:val="20"/>
                <w:szCs w:val="20"/>
                <w:lang w:val="en-US" w:eastAsia="zh-CN"/>
              </w:rPr>
            </w:pPr>
            <w:r>
              <w:rPr>
                <w:rFonts w:hint="eastAsia"/>
                <w:sz w:val="20"/>
                <w:szCs w:val="20"/>
              </w:rPr>
              <w:t>（配置准确数量/配置总数）*100%</w:t>
            </w:r>
          </w:p>
        </w:tc>
        <w:tc>
          <w:tcPr>
            <w:tcW w:w="800" w:type="dxa"/>
            <w:tcBorders>
              <w:top w:val="single" w:sz="6" w:space="0" w:color="000000"/>
              <w:bottom w:val="single" w:sz="6" w:space="0" w:color="000000"/>
              <w:right w:val="single" w:sz="6" w:space="0" w:color="000000"/>
            </w:tcBorders>
          </w:tcPr>
          <w:p>
            <w:pPr>
              <w:pStyle w:val="a"/>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default"/>
                <w:sz w:val="21"/>
                <w:szCs w:val="21"/>
                <w:lang w:val="en-US" w:eastAsia="zh-CN"/>
              </w:rPr>
            </w:pPr>
            <w:r>
              <w:rPr>
                <w:rFonts w:hint="eastAsia"/>
                <w:sz w:val="21"/>
                <w:szCs w:val="21"/>
              </w:rPr>
              <w:t>按季度</w:t>
            </w:r>
          </w:p>
        </w:tc>
        <w:tc>
          <w:tcPr>
            <w:tcW w:w="800" w:type="dxa"/>
            <w:tcBorders>
              <w:top w:val="single" w:sz="6" w:space="0" w:color="000000"/>
              <w:bottom w:val="single" w:sz="6" w:space="0" w:color="000000"/>
              <w:right w:val="single" w:sz="6" w:space="0" w:color="000000"/>
            </w:tcBorders>
          </w:tcPr>
          <w:p>
            <w:pPr>
              <w:pStyle w:val="a"/>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hint="eastAsia"/>
                <w:sz w:val="21"/>
                <w:szCs w:val="21"/>
              </w:rPr>
            </w:pPr>
            <w:r>
              <w:rPr>
                <w:rFonts w:ascii="宋体" w:eastAsia="宋体" w:hAnsi="宋体" w:cs="宋体" w:hint="eastAsia"/>
                <w:spacing w:val="-2"/>
                <w:sz w:val="20"/>
                <w:szCs w:val="20"/>
              </w:rPr>
              <w:t>≥95%</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4" w:name="_Toc20781"/>
      <w:r>
        <w:t>相关模板</w:t>
      </w:r>
      <w:bookmarkEnd w:id="24"/>
    </w:p>
    <w:p>
      <w:pPr>
        <w:pStyle w:val="a3"/>
        <w:keepNext w:val="0"/>
        <w:keepLines w:val="0"/>
        <w:pageBreakBefore w:val="0"/>
        <w:widowControl w:val="0"/>
        <w:numPr>
          <w:ilvl w:val="0"/>
          <w:numId w:val="22"/>
        </w:numPr>
        <w:kinsoku w:val="0"/>
        <w:wordWrap/>
        <w:overflowPunct/>
        <w:topLinePunct w:val="0"/>
        <w:autoSpaceDE w:val="0"/>
        <w:autoSpaceDN w:val="0"/>
        <w:bidi w:val="0"/>
        <w:adjustRightInd w:val="0"/>
        <w:snapToGrid w:val="0"/>
        <w:textAlignment w:val="baseline"/>
      </w:pPr>
      <w:r>
        <w:t>《配置信息维护表》</w:t>
      </w:r>
    </w:p>
    <w:p>
      <w:pPr>
        <w:pStyle w:val="a3"/>
        <w:keepNext w:val="0"/>
        <w:keepLines w:val="0"/>
        <w:pageBreakBefore w:val="0"/>
        <w:widowControl w:val="0"/>
        <w:numPr>
          <w:ilvl w:val="0"/>
          <w:numId w:val="22"/>
        </w:numPr>
        <w:kinsoku w:val="0"/>
        <w:wordWrap/>
        <w:overflowPunct/>
        <w:topLinePunct w:val="0"/>
        <w:autoSpaceDE w:val="0"/>
        <w:autoSpaceDN w:val="0"/>
        <w:bidi w:val="0"/>
        <w:adjustRightInd w:val="0"/>
        <w:snapToGrid w:val="0"/>
        <w:textAlignment w:val="baseline"/>
      </w:pPr>
      <w:r>
        <w:t>《配置审计报告》</w:t>
      </w:r>
    </w:p>
    <w:p>
      <w:pPr>
        <w:pStyle w:val="a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pPr>
      <w:r>
        <w:t>《配置库结构目录和权限表》</w:t>
      </w:r>
    </w:p>
    <w:p>
      <w:pPr>
        <w:pStyle w:val="a3"/>
        <w:keepNext w:val="0"/>
        <w:keepLines w:val="0"/>
        <w:pageBreakBefore w:val="0"/>
        <w:widowControl w:val="0"/>
        <w:numPr>
          <w:ilvl w:val="0"/>
          <w:numId w:val="22"/>
        </w:numPr>
        <w:kinsoku w:val="0"/>
        <w:wordWrap/>
        <w:overflowPunct/>
        <w:topLinePunct w:val="0"/>
        <w:autoSpaceDE w:val="0"/>
        <w:autoSpaceDN w:val="0"/>
        <w:bidi w:val="0"/>
        <w:adjustRightInd w:val="0"/>
        <w:snapToGrid w:val="0"/>
        <w:ind w:left="425" w:hanging="425" w:leftChars="0" w:firstLineChars="0"/>
        <w:textAlignment w:val="baseline"/>
      </w:pPr>
      <w:r>
        <w:t>《配置信息统计表》</w:t>
      </w:r>
      <w:bookmarkStart w:id="25" w:name="_GoBack"/>
      <w:bookmarkEnd w:id="25"/>
    </w:p>
    <w:sectPr>
      <w:footerReference w:type="default" r:id="rId10"/>
      <w:pgSz w:w="11906" w:h="16839"/>
      <w:pgMar w:top="1240" w:right="1785" w:bottom="1595" w:left="1785" w:header="0" w:footer="1431"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2" w:lineRule="auto"/>
      <w:ind w:left="3813"/>
      <w:rPr>
        <w:rFonts w:ascii="宋体" w:eastAsia="宋体" w:hAnsi="宋体" w:cs="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6" w:lineRule="auto"/>
      <w:ind w:left="4226"/>
      <w:rPr>
        <w:rFonts w:ascii="Calibri" w:eastAsia="Calibri" w:hAnsi="Calibri" w:cs="Calibri"/>
        <w:sz w:val="18"/>
        <w:szCs w:val="18"/>
      </w:rPr>
    </w:pPr>
    <w:r>
      <w:rPr>
        <w:rFonts w:ascii="Calibri" w:eastAsia="Calibri" w:hAnsi="Calibri" w:cs="Calibri"/>
        <w:sz w:val="18"/>
        <w:szCs w:val="18"/>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212"/>
      <w:rPr>
        <w:rFonts w:ascii="Calibri" w:eastAsia="Calibri" w:hAnsi="Calibri" w:cs="Calibri"/>
        <w:sz w:val="18"/>
        <w:szCs w:val="18"/>
      </w:rPr>
    </w:pPr>
    <w:r>
      <w:rPr>
        <w:rFonts w:ascii="Calibri" w:eastAsia="Calibri" w:hAnsi="Calibri" w:cs="Calibri"/>
        <w:sz w:val="18"/>
        <w:szCs w:val="18"/>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67" w:lineRule="auto"/>
      <w:ind w:left="4091"/>
      <w:rPr>
        <w:rFonts w:ascii="Calibri" w:eastAsia="Calibri" w:hAnsi="Calibri" w:cs="Calibri"/>
        <w:sz w:val="18"/>
        <w:szCs w:val="18"/>
      </w:rPr>
    </w:pPr>
    <w:r>
      <w:rPr>
        <w:rFonts w:ascii="Calibri" w:eastAsia="Calibri" w:hAnsi="Calibri" w:cs="Calibri"/>
        <w:spacing w:val="-4"/>
        <w:sz w:val="18"/>
        <w:szCs w:val="18"/>
      </w:rPr>
      <w:t>13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52"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02EA73A"/>
    <w:multiLevelType w:val="singleLevel"/>
    <w:tmpl w:val="802EA73A"/>
    <w:lvl w:ilvl="0">
      <w:start w:val="1"/>
      <w:numFmt w:val="decimal"/>
      <w:lvlText w:val="%1."/>
      <w:lvlJc w:val="left"/>
      <w:pPr>
        <w:ind w:left="425" w:hanging="425"/>
      </w:pPr>
      <w:rPr>
        <w:rFonts w:hint="default"/>
      </w:rPr>
    </w:lvl>
  </w:abstractNum>
  <w:abstractNum w:abstractNumId="1">
    <w:nsid w:val="88DCB37C"/>
    <w:multiLevelType w:val="singleLevel"/>
    <w:tmpl w:val="88DCB37C"/>
    <w:lvl w:ilvl="0">
      <w:start w:val="1"/>
      <w:numFmt w:val="decimal"/>
      <w:lvlText w:val="(%1)"/>
      <w:lvlJc w:val="left"/>
      <w:pPr>
        <w:tabs>
          <w:tab w:val="left" w:pos="420"/>
        </w:tabs>
        <w:ind w:left="845" w:hanging="425"/>
      </w:pPr>
      <w:rPr>
        <w:rFonts w:hint="default"/>
      </w:rPr>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FA72095"/>
    <w:multiLevelType w:val="singleLevel"/>
    <w:tmpl w:val="9FA72095"/>
    <w:lvl w:ilvl="0">
      <w:start w:val="1"/>
      <w:numFmt w:val="decimal"/>
      <w:lvlText w:val="(%1)"/>
      <w:lvlJc w:val="left"/>
      <w:pPr>
        <w:tabs>
          <w:tab w:val="left" w:pos="420"/>
        </w:tabs>
        <w:ind w:left="845" w:hanging="425"/>
      </w:pPr>
      <w:rPr>
        <w:rFonts w:hint="default"/>
      </w:rPr>
    </w:lvl>
  </w:abstractNum>
  <w:abstractNum w:abstractNumId="4">
    <w:nsid w:val="A79BEF71"/>
    <w:multiLevelType w:val="singleLevel"/>
    <w:tmpl w:val="A79BEF71"/>
    <w:lvl w:ilvl="0">
      <w:start w:val="1"/>
      <w:numFmt w:val="decimal"/>
      <w:lvlText w:val="%1."/>
      <w:lvlJc w:val="left"/>
      <w:pPr>
        <w:ind w:left="425" w:hanging="425"/>
      </w:pPr>
      <w:rPr>
        <w:rFonts w:hint="default"/>
      </w:rPr>
    </w:lvl>
  </w:abstractNum>
  <w:abstractNum w:abstractNumId="5">
    <w:nsid w:val="B7084A40"/>
    <w:multiLevelType w:val="singleLevel"/>
    <w:tmpl w:val="B7084A40"/>
    <w:lvl w:ilvl="0">
      <w:start w:val="1"/>
      <w:numFmt w:val="decimal"/>
      <w:lvlText w:val="(%1)"/>
      <w:lvlJc w:val="left"/>
      <w:pPr>
        <w:tabs>
          <w:tab w:val="left" w:pos="420"/>
        </w:tabs>
        <w:ind w:left="845" w:hanging="425"/>
      </w:pPr>
      <w:rPr>
        <w:rFonts w:hint="default"/>
      </w:rPr>
    </w:lvl>
  </w:abstractNum>
  <w:abstractNum w:abstractNumId="6">
    <w:nsid w:val="D57ECA3F"/>
    <w:multiLevelType w:val="singleLevel"/>
    <w:tmpl w:val="D57ECA3F"/>
    <w:lvl w:ilvl="0">
      <w:start w:val="1"/>
      <w:numFmt w:val="decimal"/>
      <w:lvlText w:val="(%1)"/>
      <w:lvlJc w:val="left"/>
      <w:pPr>
        <w:tabs>
          <w:tab w:val="left" w:pos="420"/>
        </w:tabs>
        <w:ind w:left="845" w:hanging="425"/>
      </w:pPr>
      <w:rPr>
        <w:rFonts w:hint="default"/>
      </w:rPr>
    </w:lvl>
  </w:abstractNum>
  <w:abstractNum w:abstractNumId="7">
    <w:nsid w:val="F3F32EC0"/>
    <w:multiLevelType w:val="singleLevel"/>
    <w:tmpl w:val="F3F32EC0"/>
    <w:lvl w:ilvl="0">
      <w:start w:val="1"/>
      <w:numFmt w:val="decimal"/>
      <w:lvlText w:val="%1."/>
      <w:lvlJc w:val="left"/>
      <w:pPr>
        <w:ind w:left="425" w:hanging="425"/>
      </w:pPr>
      <w:rPr>
        <w:rFonts w:ascii="宋体" w:eastAsia="宋体" w:hAnsi="宋体" w:cs="宋体" w:hint="default"/>
        <w:sz w:val="20"/>
        <w:szCs w:val="20"/>
      </w:rPr>
    </w:lvl>
  </w:abstractNum>
  <w:abstractNum w:abstractNumId="8">
    <w:nsid w:val="076DE22B"/>
    <w:multiLevelType w:val="singleLevel"/>
    <w:tmpl w:val="076DE22B"/>
    <w:lvl w:ilvl="0">
      <w:start w:val="1"/>
      <w:numFmt w:val="decimal"/>
      <w:lvlText w:val="%1."/>
      <w:lvlJc w:val="left"/>
      <w:pPr>
        <w:ind w:left="425" w:hanging="425"/>
      </w:pPr>
      <w:rPr>
        <w:rFonts w:hint="default"/>
      </w:rPr>
    </w:lvl>
  </w:abstractNum>
  <w:abstractNum w:abstractNumId="9">
    <w:nsid w:val="09C08462"/>
    <w:multiLevelType w:val="singleLevel"/>
    <w:tmpl w:val="09C08462"/>
    <w:lvl w:ilvl="0">
      <w:start w:val="1"/>
      <w:numFmt w:val="decimal"/>
      <w:lvlText w:val="(%1)"/>
      <w:lvlJc w:val="left"/>
      <w:pPr>
        <w:tabs>
          <w:tab w:val="left" w:pos="420"/>
        </w:tabs>
        <w:ind w:left="845" w:hanging="425"/>
      </w:pPr>
      <w:rPr>
        <w:rFonts w:hint="default"/>
      </w:rPr>
    </w:lvl>
  </w:abstractNum>
  <w:abstractNum w:abstractNumId="10">
    <w:nsid w:val="1AEDBDBD"/>
    <w:multiLevelType w:val="singleLevel"/>
    <w:tmpl w:val="1AEDBDBD"/>
    <w:lvl w:ilvl="0">
      <w:start w:val="1"/>
      <w:numFmt w:val="decimal"/>
      <w:lvlText w:val="(%1)"/>
      <w:lvlJc w:val="left"/>
      <w:pPr>
        <w:tabs>
          <w:tab w:val="left" w:pos="420"/>
        </w:tabs>
        <w:ind w:left="845" w:hanging="425"/>
      </w:pPr>
      <w:rPr>
        <w:rFonts w:hint="default"/>
      </w:rPr>
    </w:lvl>
  </w:abstractNum>
  <w:abstractNum w:abstractNumId="11">
    <w:nsid w:val="1C238C33"/>
    <w:multiLevelType w:val="singleLevel"/>
    <w:tmpl w:val="1C238C33"/>
    <w:lvl w:ilvl="0">
      <w:start w:val="1"/>
      <w:numFmt w:val="decimal"/>
      <w:lvlText w:val="(%1)"/>
      <w:lvlJc w:val="left"/>
      <w:pPr>
        <w:tabs>
          <w:tab w:val="left" w:pos="420"/>
        </w:tabs>
        <w:ind w:left="845" w:hanging="425"/>
      </w:pPr>
      <w:rPr>
        <w:rFonts w:hint="default"/>
      </w:rPr>
    </w:lvl>
  </w:abstractNum>
  <w:abstractNum w:abstractNumId="12">
    <w:nsid w:val="252A176F"/>
    <w:multiLevelType w:val="singleLevel"/>
    <w:tmpl w:val="252A176F"/>
    <w:lvl w:ilvl="0">
      <w:start w:val="1"/>
      <w:numFmt w:val="decimal"/>
      <w:lvlText w:val="%1."/>
      <w:lvlJc w:val="left"/>
      <w:pPr>
        <w:ind w:left="425" w:hanging="425"/>
      </w:pPr>
      <w:rPr>
        <w:rFonts w:hint="default"/>
      </w:rPr>
    </w:lvl>
  </w:abstractNum>
  <w:abstractNum w:abstractNumId="13">
    <w:nsid w:val="259D1EF5"/>
    <w:multiLevelType w:val="singleLevel"/>
    <w:tmpl w:val="259D1EF5"/>
    <w:lvl w:ilvl="0">
      <w:start w:val="1"/>
      <w:numFmt w:val="decimal"/>
      <w:lvlText w:val="(%1)"/>
      <w:lvlJc w:val="left"/>
      <w:pPr>
        <w:tabs>
          <w:tab w:val="left" w:pos="420"/>
        </w:tabs>
        <w:ind w:left="845" w:hanging="425"/>
      </w:pPr>
      <w:rPr>
        <w:rFonts w:hint="default"/>
      </w:rPr>
    </w:lvl>
  </w:abstractNum>
  <w:abstractNum w:abstractNumId="14">
    <w:nsid w:val="2AE015AF"/>
    <w:multiLevelType w:val="singleLevel"/>
    <w:tmpl w:val="2AE015AF"/>
    <w:lvl w:ilvl="0">
      <w:start w:val="1"/>
      <w:numFmt w:val="decimal"/>
      <w:lvlText w:val="%1."/>
      <w:lvlJc w:val="left"/>
      <w:pPr>
        <w:ind w:left="425" w:hanging="425"/>
      </w:pPr>
      <w:rPr>
        <w:rFonts w:hint="default"/>
      </w:rPr>
    </w:lvl>
  </w:abstractNum>
  <w:abstractNum w:abstractNumId="15">
    <w:nsid w:val="2D206CCE"/>
    <w:multiLevelType w:val="singleLevel"/>
    <w:tmpl w:val="2D206CCE"/>
    <w:lvl w:ilvl="0">
      <w:start w:val="1"/>
      <w:numFmt w:val="decimal"/>
      <w:lvlText w:val="(%1)"/>
      <w:lvlJc w:val="left"/>
      <w:pPr>
        <w:tabs>
          <w:tab w:val="left" w:pos="420"/>
        </w:tabs>
        <w:ind w:left="845" w:hanging="425"/>
      </w:pPr>
      <w:rPr>
        <w:rFonts w:hint="default"/>
      </w:rPr>
    </w:lvl>
  </w:abstractNum>
  <w:abstractNum w:abstractNumId="16">
    <w:nsid w:val="3CB64E8E"/>
    <w:multiLevelType w:val="singleLevel"/>
    <w:tmpl w:val="3CB64E8E"/>
    <w:lvl w:ilvl="0">
      <w:start w:val="1"/>
      <w:numFmt w:val="decimal"/>
      <w:lvlText w:val="(%1)"/>
      <w:lvlJc w:val="left"/>
      <w:pPr>
        <w:tabs>
          <w:tab w:val="left" w:pos="420"/>
        </w:tabs>
        <w:ind w:left="845" w:hanging="425"/>
      </w:pPr>
      <w:rPr>
        <w:rFonts w:hint="default"/>
      </w:rPr>
    </w:lvl>
  </w:abstractNum>
  <w:abstractNum w:abstractNumId="17">
    <w:nsid w:val="45A640F9"/>
    <w:multiLevelType w:val="singleLevel"/>
    <w:tmpl w:val="45A640F9"/>
    <w:lvl w:ilvl="0">
      <w:start w:val="1"/>
      <w:numFmt w:val="decimal"/>
      <w:lvlText w:val="(%1)"/>
      <w:lvlJc w:val="left"/>
      <w:pPr>
        <w:tabs>
          <w:tab w:val="left" w:pos="420"/>
        </w:tabs>
        <w:ind w:left="845" w:hanging="425"/>
      </w:pPr>
      <w:rPr>
        <w:rFonts w:hint="default"/>
      </w:rPr>
    </w:lvl>
  </w:abstractNum>
  <w:abstractNum w:abstractNumId="18">
    <w:nsid w:val="4AB1684B"/>
    <w:multiLevelType w:val="singleLevel"/>
    <w:tmpl w:val="4AB1684B"/>
    <w:lvl w:ilvl="0">
      <w:start w:val="1"/>
      <w:numFmt w:val="decimal"/>
      <w:lvlText w:val="(%1)"/>
      <w:lvlJc w:val="left"/>
      <w:pPr>
        <w:tabs>
          <w:tab w:val="left" w:pos="420"/>
        </w:tabs>
        <w:ind w:left="845" w:hanging="425"/>
      </w:pPr>
      <w:rPr>
        <w:rFonts w:hint="default"/>
      </w:rPr>
    </w:lvl>
  </w:abstractNum>
  <w:abstractNum w:abstractNumId="19">
    <w:nsid w:val="595A8227"/>
    <w:multiLevelType w:val="singleLevel"/>
    <w:tmpl w:val="595A8227"/>
    <w:lvl w:ilvl="0">
      <w:start w:val="1"/>
      <w:numFmt w:val="decimal"/>
      <w:lvlText w:val="%1."/>
      <w:lvlJc w:val="left"/>
      <w:pPr>
        <w:ind w:left="425" w:hanging="425"/>
      </w:pPr>
      <w:rPr>
        <w:rFonts w:hint="default"/>
      </w:rPr>
    </w:lvl>
  </w:abstractNum>
  <w:abstractNum w:abstractNumId="20">
    <w:nsid w:val="619223CF"/>
    <w:multiLevelType w:val="singleLevel"/>
    <w:tmpl w:val="619223CF"/>
    <w:lvl w:ilvl="0">
      <w:start w:val="1"/>
      <w:numFmt w:val="decimal"/>
      <w:lvlText w:val="%1."/>
      <w:lvlJc w:val="left"/>
      <w:pPr>
        <w:ind w:left="425" w:hanging="425"/>
      </w:pPr>
      <w:rPr>
        <w:rFonts w:hint="default"/>
      </w:rPr>
    </w:lvl>
  </w:abstractNum>
  <w:abstractNum w:abstractNumId="21">
    <w:nsid w:val="7BACD2D9"/>
    <w:multiLevelType w:val="singleLevel"/>
    <w:tmpl w:val="7BACD2D9"/>
    <w:lvl w:ilvl="0">
      <w:start w:val="1"/>
      <w:numFmt w:val="decimal"/>
      <w:lvlText w:val="%1."/>
      <w:lvlJc w:val="left"/>
      <w:pPr>
        <w:ind w:left="425" w:hanging="425"/>
      </w:pPr>
      <w:rPr>
        <w:rFonts w:hint="default"/>
      </w:rPr>
    </w:lvl>
  </w:abstractNum>
  <w:num w:numId="1">
    <w:abstractNumId w:val="2"/>
  </w:num>
  <w:num w:numId="2">
    <w:abstractNumId w:val="20"/>
  </w:num>
  <w:num w:numId="3">
    <w:abstractNumId w:val="14"/>
  </w:num>
  <w:num w:numId="4">
    <w:abstractNumId w:val="0"/>
  </w:num>
  <w:num w:numId="5">
    <w:abstractNumId w:val="13"/>
  </w:num>
  <w:num w:numId="6">
    <w:abstractNumId w:val="5"/>
  </w:num>
  <w:num w:numId="7">
    <w:abstractNumId w:val="1"/>
  </w:num>
  <w:num w:numId="8">
    <w:abstractNumId w:val="11"/>
  </w:num>
  <w:num w:numId="9">
    <w:abstractNumId w:val="3"/>
  </w:num>
  <w:num w:numId="10">
    <w:abstractNumId w:val="19"/>
  </w:num>
  <w:num w:numId="11">
    <w:abstractNumId w:val="15"/>
  </w:num>
  <w:num w:numId="12">
    <w:abstractNumId w:val="10"/>
  </w:num>
  <w:num w:numId="13">
    <w:abstractNumId w:val="16"/>
  </w:num>
  <w:num w:numId="14">
    <w:abstractNumId w:val="18"/>
  </w:num>
  <w:num w:numId="15">
    <w:abstractNumId w:val="17"/>
  </w:num>
  <w:num w:numId="16">
    <w:abstractNumId w:val="9"/>
  </w:num>
  <w:num w:numId="17">
    <w:abstractNumId w:val="6"/>
  </w:num>
  <w:num w:numId="18">
    <w:abstractNumId w:val="8"/>
  </w:num>
  <w:num w:numId="19">
    <w:abstractNumId w:val="12"/>
  </w:num>
  <w:num w:numId="20">
    <w:abstractNumId w:val="7"/>
  </w:num>
  <w:num w:numId="21">
    <w:abstractNumId w:val="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image" Target="media/image1.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TotalTime>
  <Pages>16</Pages>
  <Words>6252</Words>
  <Characters>6448</Characters>
  <Application>Microsoft Office Word</Application>
  <DocSecurity>0</DocSecurity>
  <Lines>0</Lines>
  <Paragraphs>0</Paragraphs>
  <ScaleCrop>false</ScaleCrop>
  <Company/>
  <LinksUpToDate>false</LinksUpToDate>
  <CharactersWithSpaces>6622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谢永刚</dc:creator>
  <cp:lastModifiedBy>nancy杨茜</cp:lastModifiedBy>
  <cp:revision>0</cp:revision>
  <dcterms:created xsi:type="dcterms:W3CDTF">2025-09-02T20:01:00Z</dcterms:created>
  <dcterms:modified xsi:type="dcterms:W3CDTF">2026-01-07T11:57:08Z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2025-09-02T20:02:05Z</vt:filetime>
  </property>
  <property fmtid="{D5CDD505-2E9C-101B-9397-08002B2CF9AE}" pid="3" name="CRO">
    <vt:lpwstr>wqlLaW5nc29mdCBQREYgdG8gV1BTIDExNQ</vt:lpwstr>
  </property>
  <property fmtid="{D5CDD505-2E9C-101B-9397-08002B2CF9AE}" pid="4" name="ICV">
    <vt:lpwstr>519257240D814BBE8A066D0B55506F02_12</vt:lpwstr>
  </property>
  <property fmtid="{D5CDD505-2E9C-101B-9397-08002B2CF9AE}" pid="5" name="KSOProductBuildVer">
    <vt:lpwstr>2052-12.1.0.24034</vt:lpwstr>
  </property>
  <property fmtid="{D5CDD505-2E9C-101B-9397-08002B2CF9AE}" pid="6" name="KSOTemplateDocerSaveRecord">
    <vt:lpwstr>eyJoZGlkIjoiYzZkNzQ4ZWFiZmQ4NTRhOWRkZTk3YTMwMjlmMmZhYmUiLCJ1c2VySWQiOiI0Mzg5MjI4MjYifQ==</vt:lpwstr>
  </property>
</Properties>
</file>