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rPr>
          <w:rFonts w:hint="eastAsia"/>
          <w:lang w:val="en-US" w:eastAsia="zh-CN"/>
        </w:rPr>
      </w:pPr>
    </w:p>
    <w:p>
      <w:pPr>
        <w:pStyle w:val="a1"/>
        <w:bidi w:val="0"/>
        <w:rPr>
          <w:rFonts w:hint="default"/>
          <w:lang w:val="en-US" w:eastAsia="zh-CN"/>
        </w:rPr>
      </w:pPr>
      <w:bookmarkStart w:id="0" w:name="_Toc27038"/>
      <w:r>
        <w:rPr>
          <w:rFonts w:hint="eastAsia"/>
          <w:lang w:val="en-US" w:eastAsia="zh-CN"/>
        </w:rPr>
        <w:t>容量管理策略</w:t>
      </w:r>
      <w:bookmarkEnd w:id="0"/>
    </w:p>
    <w:p>
      <w:pPr>
        <w:pStyle w:val="a2"/>
        <w:bidi w:val="0"/>
      </w:pPr>
      <w:bookmarkStart w:id="1" w:name="_Toc29985"/>
      <w:r>
        <w:t>江苏云储智能科技有限公司</w:t>
      </w:r>
      <w:bookmarkEnd w:id="1"/>
    </w:p>
    <w:p>
      <w:pPr>
        <w:bidi w:val="0"/>
        <w:jc w:val="center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26531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</w:p>
    <w:p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容量管理策略</w:t>
            </w:r>
            <w:r>
              <w:rPr>
                <w:spacing w:val="-1"/>
              </w:rPr>
              <w:t>（JSYC-ITSS-</w:t>
            </w:r>
            <w:r>
              <w:rPr>
                <w:rFonts w:eastAsia="宋体" w:hint="eastAsia"/>
                <w:spacing w:val="-1"/>
                <w:lang w:val="en-US" w:eastAsia="zh-CN"/>
              </w:rPr>
              <w:t>RLGL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Times New Roman"/>
          <w:kern w:val="2"/>
          <w:sz w:val="28"/>
          <w:szCs w:val="28"/>
          <w:lang w:val="en-US" w:eastAsia="zh-CN" w:bidi="ar-SA"/>
        </w:rPr>
        <w:id w:val="14746505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_Toc27038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容量管理策略</w:t>
          </w:r>
          <w:r>
            <w:tab/>
          </w:r>
          <w:r>
            <w:fldChar w:fldCharType="begin"/>
          </w:r>
          <w:r>
            <w:instrText xml:space="preserve"> PAGEREF _Toc27038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_Toc29985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_Toc29985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_Toc26531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_Toc26531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_Toc879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_Toc32451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_Toc32451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_Toc26255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术语与定义</w:t>
          </w:r>
          <w:r>
            <w:tab/>
          </w:r>
          <w:r>
            <w:fldChar w:fldCharType="begin"/>
          </w:r>
          <w:r>
            <w:instrText xml:space="preserve"> PAGEREF _Toc26255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_Toc4105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</w:t>
          </w:r>
          <w:r>
            <w:tab/>
          </w:r>
          <w:r>
            <w:fldChar w:fldCharType="begin"/>
          </w:r>
          <w:r>
            <w:instrText xml:space="preserve"> PAGEREF _Toc4105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_Toc26222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_Toc26222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_Toc19059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_Toc19059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_Toc2490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_Toc2490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_Toc26388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_Toc26388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_Toc9702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_Toc9702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_Toc11130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与其他流程的关系</w:t>
          </w:r>
          <w:r>
            <w:tab/>
          </w:r>
          <w:r>
            <w:fldChar w:fldCharType="begin"/>
          </w:r>
          <w:r>
            <w:instrText xml:space="preserve"> PAGEREF _Toc11130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_Toc16528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关键指标</w:t>
          </w:r>
          <w:r>
            <w:tab/>
          </w:r>
          <w:r>
            <w:fldChar w:fldCharType="begin"/>
          </w:r>
          <w:r>
            <w:instrText xml:space="preserve"> PAGEREF _Toc16528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_Toc3083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相关记录文件</w:t>
          </w:r>
          <w:r>
            <w:tab/>
          </w:r>
          <w:r>
            <w:fldChar w:fldCharType="begin"/>
          </w:r>
          <w:r>
            <w:instrText xml:space="preserve"> PAGEREF _Toc3083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rPr>
              <w:rFonts w:ascii="Times New Roman" w:eastAsia="宋体" w:hAnsi="Times New Roman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rPr>
          <w:rFonts w:ascii="Times New Roman" w:eastAsia="宋体" w:hAnsi="Times New Roman" w:cs="Times New Roman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879"/>
      <w:r>
        <w:rPr>
          <w:rFonts w:hint="default"/>
          <w:lang w:val="en-US" w:eastAsia="zh-CN"/>
        </w:rPr>
        <w:t>目的</w:t>
      </w:r>
      <w:bookmarkEnd w:id="3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的IT系统（包括处理能力、存储空间、网络带宽等）能够经济、及时、有效地满足当前及未来的业务需求，预防因容量不足导致的性能下降或服务中断，特制定本策略。通过系统化的容量规划、监控、分析与优化，保障服务级别协议（SLA）的达成，提升资源利用效率，控制运维成本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3245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"/>
        <w:bidi w:val="0"/>
        <w:rPr>
          <w:rFonts w:hint="default"/>
          <w:lang w:val="en-US" w:eastAsia="zh-CN"/>
        </w:rPr>
      </w:pPr>
      <w:r>
        <w:t>本策略适用于江苏云储智能科技有限公司运维服务部所管辖的所有IT服务项目与生产环境，涵盖硬件资源（服务器、存储、网络设备）、软件资源（数据库、中间件、应用系统）及性能吞吐量等方面的容量管理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6255"/>
      <w:r>
        <w:rPr>
          <w:rFonts w:hint="eastAsia"/>
          <w:lang w:val="en-US" w:eastAsia="zh-CN"/>
        </w:rPr>
        <w:t>术语与定义</w:t>
      </w:r>
      <w:bookmarkEnd w:id="5"/>
    </w:p>
    <w:tbl>
      <w:tblPr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813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术语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定义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容量管理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对IT资源进行规划、监控、分析和调整，以确保其能力能够满足当前和未来约定的业务需求的过程。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容量基线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在特定时间段内，系统正常负载下性能与资源使用情况的基准数据，用于趋势对比和异常判断。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容量阈值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预先设定的资源使用率或性能指标临界值，超过该值可能影响服务性能或稳定性，需触发预警或干预行动。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容量预测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基于历史数据和业务增长计划，对未来某一时期容量需求进行的估算和模拟。</w:t>
            </w:r>
          </w:p>
        </w:tc>
      </w:tr>
    </w:tbl>
    <w:p>
      <w:pPr>
        <w:pStyle w:val="a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4105"/>
      <w:r>
        <w:rPr>
          <w:rFonts w:hint="default"/>
          <w:lang w:val="en-US" w:eastAsia="zh-CN"/>
        </w:rPr>
        <w:t>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6222"/>
      <w:r>
        <w:rPr>
          <w:rFonts w:hint="eastAsia"/>
          <w:lang w:val="en-US" w:eastAsia="zh-CN"/>
        </w:rPr>
        <w:t>研发部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负责从技术层面对项目容量计划、容量优化方案进行审批。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负责指导项目容量监控与优化工作。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059"/>
      <w:r>
        <w:rPr>
          <w:rFonts w:hint="eastAsia"/>
          <w:lang w:val="en-US" w:eastAsia="zh-CN"/>
        </w:rPr>
        <w:t>运维部</w:t>
      </w:r>
      <w:bookmarkEnd w:id="8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负责收集客户业务需求，调查业务系统现状，开展项目容量规划相关工作。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按照规划开展项目的容量监控工作，收集客户业务需求、业务系统容量数据、项目资源容量数据，必要情况下采取临时措施应对系统容量不足的风险。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定期开展容量分析和评估工作，判断系统容量趋势和风险，提出并实施项目容量优化方案。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490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9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负责从业务、成本层面对项目容量计划与优化方案进行审批。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负责定期对容量管理过程的持续改进工作。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26388"/>
      <w:r>
        <w:rPr>
          <w:rFonts w:hint="eastAsia"/>
          <w:lang w:val="en-US" w:eastAsia="zh-CN"/>
        </w:rPr>
        <w:t>运维实施工程师</w:t>
      </w:r>
      <w:bookmarkEnd w:id="10"/>
    </w:p>
    <w:p>
      <w:pPr>
        <w:pStyle w:val="a"/>
        <w:rPr>
          <w:rFonts w:hint="eastAsia"/>
          <w:lang w:val="en-US" w:eastAsia="zh-CN"/>
        </w:rPr>
      </w:pPr>
      <w:r>
        <w:rPr>
          <w:rFonts w:hint="default"/>
          <w:shd w:val="clear" w:color="auto" w:fill="auto"/>
          <w:lang w:val="en-US" w:eastAsia="zh-CN"/>
        </w:rPr>
        <w:t>负责执行日常容量监控、数据采集与巡检；处理容量告警；协助进行容量数据的分析与报告编制。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9702"/>
      <w:r>
        <w:rPr>
          <w:rFonts w:hint="default"/>
          <w:lang w:val="en-US" w:eastAsia="zh-CN"/>
        </w:rPr>
        <w:t>管理流程</w:t>
      </w:r>
      <w:bookmarkEnd w:id="11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是一个持续演进、闭环迭代的核心管理流程。它并非一次性项目，而是贯穿服务生命周期的日常性、预测性工作。整个过程始于对业务意图与承诺的理解，终于服务的稳定交付与成本的合理控制，形成“规划-监控-分析-行动-评审”的完整循环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流程的驱动源来自于业务战略和与服务级别协议（SLA）。运维项目经理首先需系统地收集来自客户业务规划、SLA性能指标、技术架构蓝图、历史性能数据以及法规要求等多方面的容量需求，并整理形成《容量需求清单》，作为所有后续活动的输入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清晰的需求，运维项目经理牵头进行容量分析，核心工作是制定《容量管理计划》。该计划不仅需评估当前资源利用率与性能基线，更需对未来业务增长进行量化预测，并据此规划出包括监控策略、阈值设定、扩容预案、时间表和预算在内的综合性方案，确保容量供给能够前瞻性地匹配业务发展节奏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获批后，即进入实施与监控阶段。运维实施工程师依据计划部署监控工具，对计算、存储、网络及应用性能等关键指标进行持续追踪，并定期生成《容量监控记录》。当指标超过预设阈值时，系统将自动触发告警，此时需立即按事件管理流程介入，进行初步诊断与应急处理，防止事态扩大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产生的海量数据需转化为有效洞察。运维项目经理需定期（至少每季度）执行容量趋势分析，运用统计方法研判资源消耗规律，预测未来的瓶颈与风险点，并编制《容量趋势分析报告》。这份报告是连接监控与行动的桥梁，其核心价值在于识别出“何时需要干预”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分析确认了容量瓶颈或迫近的风险，流程便进入优化与调整阶段。团队应优先考虑通过配置调优、架构梳理或资源重整等“软性”优化方案来挖掘现有潜力。若优化无法满足需求，则必须启动扩容或升级的硬件变更。至关重要的一点是，任何涉及资源物理变更或重要参数调整的方案，都必须严格遵循《变更管理流程》进行提交、评估、审批与实施， 以确保变更的受控性与可追溯性。变更实施后，需同步更新配置管理数据库（CMDB）并验证优化效果。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为确保整个容量管理流程的持续有效性与战略一致性，运维部经理需每年至少组织一次正式的容量管理评审。评审会回顾年度计划的执行情况、分析重大容量事件的根本原因、评估预测模型的准确性，并基于业务新规划调整下一周期的容量策略，从而完成从战略到执行、再从执行反馈至战略的闭环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1130"/>
      <w:r>
        <w:rPr>
          <w:rFonts w:hint="default"/>
          <w:lang w:val="en-US" w:eastAsia="zh-CN"/>
        </w:rPr>
        <w:t>与其他流程的关系</w:t>
      </w:r>
      <w:bookmarkEnd w:id="12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与事件管理流程的关系：在容量监控活动中，发现业务系统容量不足的情况，通过事件管理流程进行处置。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与问题管理流程的关系：识别出影响系统容量的隐患，可通过问题管理流程进行处置。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与变更、发布管理流程的关系：系统容量优化的实施可通过变更、发布管理流程进行管控。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与配置管理流程的关系：配置管理数据库为容量管理提供数据范畴。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与可用性和连续管理流程的关系：系统容量的提升在一定程度上能够提升业务系统的可用性和连续性。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528"/>
      <w:r>
        <w:rPr>
          <w:rFonts w:hint="default"/>
          <w:lang w:val="en-US" w:eastAsia="zh-CN"/>
        </w:rPr>
        <w:t>关键指标</w:t>
      </w:r>
      <w:bookmarkEnd w:id="13"/>
    </w:p>
    <w:tbl>
      <w:tblPr>
        <w:tblStyle w:val="TableNormal0"/>
        <w:tblW w:w="8328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51"/>
        <w:gridCol w:w="3950"/>
        <w:gridCol w:w="1050"/>
        <w:gridCol w:w="1050"/>
      </w:tblGrid>
      <w:tr>
        <w:tblPrEx>
          <w:tblW w:w="8328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55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9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  <w:bookmarkStart w:id="14" w:name="_GoBack"/>
            <w:bookmarkEnd w:id="14"/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0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8328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51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容量事件次数</w:t>
            </w:r>
          </w:p>
        </w:tc>
        <w:tc>
          <w:tcPr>
            <w:tcW w:w="39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数量:由于容量原因发生的事件数量</w:t>
            </w:r>
          </w:p>
        </w:tc>
        <w:tc>
          <w:tcPr>
            <w:tcW w:w="10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105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≤2次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5" w:name="_Toc3083"/>
      <w:r>
        <w:rPr>
          <w:rFonts w:hint="default"/>
          <w:lang w:val="en-US" w:eastAsia="zh-CN"/>
        </w:rPr>
        <w:t>相关记录文件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《容量计划》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《容量分析和评估报告》</w:t>
      </w:r>
    </w:p>
    <w:sectPr>
      <w:headerReference w:type="default" r:id="rId4"/>
      <w:footerReference w:type="default" r:id="rId5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9" w:lineRule="auto"/>
      <w:ind w:left="59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34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CCF37B8"/>
    <w:multiLevelType w:val="singleLevel"/>
    <w:tmpl w:val="BCCF37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B18D39"/>
    <w:multiLevelType w:val="singleLevel"/>
    <w:tmpl w:val="63B18D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2136</Words>
  <Characters>2200</Characters>
  <Application>Microsoft Office Word</Application>
  <DocSecurity>0</DocSecurity>
  <Lines>0</Lines>
  <Paragraphs>0</Paragraphs>
  <ScaleCrop>false</ScaleCrop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2025-08-03T15:18:00Z</dcterms:created>
  <dcterms:modified xsi:type="dcterms:W3CDTF">2026-01-10T18:20:29Z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