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rPr>
          <w:rFonts w:hint="eastAsia"/>
        </w:rPr>
      </w:pPr>
      <w:bookmarkStart w:id="0" w:name="_Toc12419"/>
    </w:p>
    <w:p>
      <w:pPr>
        <w:pStyle w:val="a"/>
        <w:bidi w:val="0"/>
      </w:pPr>
      <w:r>
        <w:rPr>
          <w:rFonts w:hint="eastAsia"/>
        </w:rPr>
        <w:t>临夏回族自治州中医医院“智慧银医”项目</w:t>
      </w:r>
      <w:r>
        <w:t>可用性计划</w:t>
      </w:r>
      <w:bookmarkEnd w:id="0"/>
    </w:p>
    <w:p>
      <w:pPr>
        <w:pStyle w:val="a0"/>
        <w:bidi w:val="0"/>
      </w:pPr>
      <w:bookmarkStart w:id="1" w:name="_Toc3462"/>
      <w:r>
        <w:t>江苏云储智能科技有限公司</w:t>
      </w:r>
      <w:bookmarkEnd w:id="1"/>
    </w:p>
    <w:p>
      <w:pPr>
        <w:spacing w:before="117" w:line="219" w:lineRule="auto"/>
        <w:jc w:val="center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</w:p>
    <w:p>
      <w:r>
        <w:br w:type="page"/>
      </w:r>
    </w:p>
    <w:p>
      <w:pPr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2" w:name="_Toc24087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2"/>
    </w:p>
    <w:p>
      <w:pPr>
        <w:spacing w:line="16" w:lineRule="exact"/>
      </w:pPr>
    </w:p>
    <w:tbl>
      <w:tblPr>
        <w:tblStyle w:val="TableNormal0"/>
        <w:tblW w:w="90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>
        <w:tblPrEx>
          <w:tblW w:w="907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200" w:line="218" w:lineRule="auto"/>
              <w:ind w:left="108"/>
            </w:pPr>
            <w:r>
              <w:rPr>
                <w:rFonts w:eastAsia="宋体" w:hint="eastAsia"/>
                <w:spacing w:val="-1"/>
                <w:lang w:val="en-US" w:eastAsia="zh-CN"/>
              </w:rPr>
              <w:t>可用性计划</w:t>
            </w:r>
            <w:r>
              <w:rPr>
                <w:spacing w:val="-1"/>
              </w:rPr>
              <w:t>（JSYC-ITSS-</w:t>
            </w:r>
            <w:r>
              <w:rPr>
                <w:rFonts w:eastAsia="宋体" w:hint="eastAsia"/>
                <w:spacing w:val="-1"/>
                <w:lang w:val="en-US" w:eastAsia="zh-CN"/>
              </w:rPr>
              <w:t>KYXJH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eastAsia="宋体"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spacing w:before="134" w:line="220" w:lineRule="auto"/>
              <w:ind w:left="480"/>
              <w:rPr>
                <w:rFonts w:eastAsia="宋体"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王朋</w:t>
            </w:r>
          </w:p>
        </w:tc>
        <w:tc>
          <w:tcPr>
            <w:tcW w:w="1953" w:type="dxa"/>
          </w:tcPr>
          <w:p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4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4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5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5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6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6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573"/>
        <w:docPartObj>
          <w:docPartGallery w:val="Table of Contents"/>
          <w:docPartUnique/>
        </w:docPartObj>
      </w:sdtPr>
      <w:sdtEndPr>
        <w:rPr>
          <w:rFonts w:ascii="Arial" w:eastAsia="宋体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_Toc12419 </w:instrText>
          </w:r>
          <w:r>
            <w:fldChar w:fldCharType="separate"/>
          </w:r>
          <w:r>
            <w:rPr>
              <w:rFonts w:hint="eastAsia"/>
            </w:rPr>
            <w:t>临夏回族自治州中医医院“智慧银医”项目</w:t>
          </w:r>
          <w:r>
            <w:t>可用性计划</w:t>
          </w:r>
          <w:r>
            <w:tab/>
          </w:r>
          <w:r>
            <w:fldChar w:fldCharType="begin"/>
          </w:r>
          <w:r>
            <w:instrText xml:space="preserve"> PAGEREF _Toc12419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_Toc3462 </w:instrText>
          </w:r>
          <w: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_Toc3462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_Toc24087 </w:instrText>
          </w:r>
          <w: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_Toc24087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_Toc19593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_Toc19593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_Toc23538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_Toc23538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_Toc27621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可用性需求</w:t>
          </w:r>
          <w:r>
            <w:tab/>
          </w:r>
          <w:r>
            <w:fldChar w:fldCharType="begin"/>
          </w:r>
          <w:r>
            <w:instrText xml:space="preserve"> PAGEREF _Toc27621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_Toc22069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可用性目标与指标</w:t>
          </w:r>
          <w:r>
            <w:tab/>
          </w:r>
          <w:r>
            <w:fldChar w:fldCharType="begin"/>
          </w:r>
          <w:r>
            <w:instrText xml:space="preserve"> PAGEREF _Toc22069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_Toc2750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可用性管理策略</w:t>
          </w:r>
          <w:r>
            <w:tab/>
          </w:r>
          <w:r>
            <w:fldChar w:fldCharType="begin"/>
          </w:r>
          <w:r>
            <w:instrText xml:space="preserve"> PAGEREF _Toc2750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_Toc3305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检测与监控机制</w:t>
          </w:r>
          <w:r>
            <w:tab/>
          </w:r>
          <w:r>
            <w:fldChar w:fldCharType="begin"/>
          </w:r>
          <w:r>
            <w:instrText xml:space="preserve"> PAGEREF _Toc3305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_Toc30853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人工巡检</w:t>
          </w:r>
          <w:r>
            <w:tab/>
          </w:r>
          <w:r>
            <w:fldChar w:fldCharType="begin"/>
          </w:r>
          <w:r>
            <w:instrText xml:space="preserve"> PAGEREF _Toc30853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_Toc11012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自动监控</w:t>
          </w:r>
          <w:r>
            <w:tab/>
          </w:r>
          <w:r>
            <w:fldChar w:fldCharType="begin"/>
          </w:r>
          <w:r>
            <w:instrText xml:space="preserve"> PAGEREF _Toc11012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_Toc4224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维护与优化流程</w:t>
          </w:r>
          <w:r>
            <w:tab/>
          </w:r>
          <w:r>
            <w:fldChar w:fldCharType="begin"/>
          </w:r>
          <w:r>
            <w:instrText xml:space="preserve"> PAGEREF _Toc4224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_Toc4691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定期维护</w:t>
          </w:r>
          <w:r>
            <w:tab/>
          </w:r>
          <w:r>
            <w:fldChar w:fldCharType="begin"/>
          </w:r>
          <w:r>
            <w:instrText xml:space="preserve"> PAGEREF _Toc4691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_Toc14967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变更管理</w:t>
          </w:r>
          <w:r>
            <w:tab/>
          </w:r>
          <w:r>
            <w:fldChar w:fldCharType="begin"/>
          </w:r>
          <w:r>
            <w:instrText xml:space="preserve"> PAGEREF _Toc14967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_Toc11237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</w:rPr>
            <w:t>恢复与应急方案</w:t>
          </w:r>
          <w:r>
            <w:tab/>
          </w:r>
          <w:r>
            <w:fldChar w:fldCharType="begin"/>
          </w:r>
          <w:r>
            <w:instrText xml:space="preserve"> PAGEREF _Toc11237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_Toc511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rPr>
              <w:rFonts w:hint="eastAsia"/>
            </w:rPr>
            <w:t>故障分级与响应</w:t>
          </w:r>
          <w:r>
            <w:tab/>
          </w:r>
          <w:r>
            <w:fldChar w:fldCharType="begin"/>
          </w:r>
          <w:r>
            <w:instrText xml:space="preserve"> PAGEREF _Toc511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_Toc2226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rPr>
              <w:rFonts w:hint="eastAsia"/>
            </w:rPr>
            <w:t>恢复流程</w:t>
          </w:r>
          <w:r>
            <w:tab/>
          </w:r>
          <w:r>
            <w:fldChar w:fldCharType="begin"/>
          </w:r>
          <w:r>
            <w:instrText xml:space="preserve"> PAGEREF _Toc2226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9743"/>
            </w:tabs>
          </w:pPr>
          <w:r>
            <w:fldChar w:fldCharType="begin"/>
          </w:r>
          <w:r>
            <w:instrText xml:space="preserve"> HYPERLINK \l _Toc257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rPr>
              <w:rFonts w:hint="eastAsia"/>
            </w:rPr>
            <w:t>培训与演练</w:t>
          </w:r>
          <w:r>
            <w:tab/>
          </w:r>
          <w:r>
            <w:fldChar w:fldCharType="begin"/>
          </w:r>
          <w:r>
            <w:instrText xml:space="preserve"> PAGEREF _Toc257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r>
        <w:rPr>
          <w:rFonts w:ascii="Arial" w:eastAsia="宋体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</w:rPr>
      </w:pPr>
      <w:bookmarkStart w:id="3" w:name="_Toc19593"/>
      <w:r>
        <w:rPr>
          <w:rFonts w:hint="eastAsia"/>
        </w:rPr>
        <w:t>目的</w:t>
      </w:r>
      <w:bookmarkEnd w:id="3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为确保“智慧银医”系统（包括门诊自助终端、住院自助终端、诊间支付结算系统等）持续稳定运行，提升系统可用性，减少业务中断风险，优化患者就医体验，特制定本可用性计划。</w:t>
      </w:r>
    </w:p>
    <w:p>
      <w:pPr>
        <w:pStyle w:val="1"/>
        <w:bidi w:val="0"/>
        <w:rPr>
          <w:rFonts w:hint="eastAsia"/>
        </w:rPr>
      </w:pPr>
      <w:bookmarkStart w:id="4" w:name="_Toc23538"/>
      <w:r>
        <w:rPr>
          <w:rFonts w:hint="eastAsia"/>
        </w:rPr>
        <w:t>范围</w:t>
      </w:r>
      <w:bookmarkEnd w:id="4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本计划适用于临夏回族自治州中医医院“智慧银医”项目所涉及的所有系统组件，包括：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门诊自助终端系统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住院自助终端系统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诊间支付结算系统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相关接口服务（HIS、医保等）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服务器、网络设备及存储设施</w:t>
      </w:r>
    </w:p>
    <w:p>
      <w:pPr>
        <w:pStyle w:val="1"/>
        <w:bidi w:val="0"/>
        <w:rPr>
          <w:rFonts w:hint="eastAsia"/>
        </w:rPr>
      </w:pPr>
      <w:bookmarkStart w:id="5" w:name="_Toc27621"/>
      <w:r>
        <w:rPr>
          <w:rFonts w:hint="eastAsia"/>
        </w:rPr>
        <w:t>可用性需求</w:t>
      </w:r>
      <w:bookmarkEnd w:id="5"/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结合项目需求分析报告，系统需满足以下可用性要求：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运行时间：7×24小时不间断服务。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计划内停机：系统升级、维护等操作需提前通知院方，并避开就诊高峰时段（上午8:00–12:00）。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故障恢复：系统应具备快速故障检测与恢复能力，最大程度减少业务中断时间。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性能保障：响应时间需满足需求报告中的性能指标（查询≤2秒、统计≤180秒）。</w:t>
      </w:r>
    </w:p>
    <w:p>
      <w:pPr>
        <w:pStyle w:val="1"/>
        <w:bidi w:val="0"/>
        <w:rPr>
          <w:rFonts w:hint="eastAsia"/>
        </w:rPr>
      </w:pPr>
      <w:bookmarkStart w:id="6" w:name="_Toc22069"/>
      <w:r>
        <w:rPr>
          <w:rFonts w:hint="eastAsia"/>
        </w:rPr>
        <w:t>可用性目标与指标</w:t>
      </w:r>
      <w:bookmarkEnd w:id="6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2354"/>
        <w:gridCol w:w="4993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系统可用性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按月度统计，（可用时间 / 总运行时间）× 100%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计划内停机时长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≤4小时/次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升级、维护等操作需在非高峰时段进行，并提前通知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非计划中断次数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≤1次/季度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因系统故障导致的非预期中断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故障响应时间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≤30分钟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从故障上报至技术支持人员介入的时间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故障恢复时间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≤2小时（核心功能）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P1级故障恢复时间，非核心功能≤4小时</w:t>
            </w:r>
          </w:p>
        </w:tc>
      </w:tr>
    </w:tbl>
    <w:p>
      <w:pPr>
        <w:pStyle w:val="1"/>
        <w:bidi w:val="0"/>
        <w:rPr>
          <w:rFonts w:hint="eastAsia"/>
        </w:rPr>
      </w:pPr>
      <w:bookmarkStart w:id="7" w:name="_Toc2750"/>
      <w:r>
        <w:rPr>
          <w:rFonts w:hint="eastAsia"/>
        </w:rPr>
        <w:t>可用性管理策略</w:t>
      </w:r>
      <w:bookmarkEnd w:id="7"/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预防为主：定期巡检、健康检查、性能监控、安全加固。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快速响应：建立7×24小时监控与响应机制，分级处理故障。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持续优化：基于运行数据与事件分析，持续优化系统架构与配置。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文档化管理：所有维护、变更、故障处理记录归档，便于审计与复盘。</w:t>
      </w:r>
    </w:p>
    <w:p>
      <w:pPr>
        <w:pStyle w:val="1"/>
        <w:bidi w:val="0"/>
        <w:rPr>
          <w:rFonts w:hint="eastAsia"/>
        </w:rPr>
      </w:pPr>
      <w:bookmarkStart w:id="8" w:name="_Toc3305"/>
      <w:r>
        <w:rPr>
          <w:rFonts w:hint="eastAsia"/>
        </w:rPr>
        <w:t>检测与监控机制</w:t>
      </w:r>
      <w:bookmarkEnd w:id="8"/>
    </w:p>
    <w:p>
      <w:pPr>
        <w:pStyle w:val="2"/>
        <w:bidi w:val="0"/>
        <w:rPr>
          <w:rFonts w:hint="eastAsia"/>
        </w:rPr>
      </w:pPr>
      <w:bookmarkStart w:id="9" w:name="_Toc30853"/>
      <w:r>
        <w:rPr>
          <w:rFonts w:hint="eastAsia"/>
        </w:rPr>
        <w:t>人工巡检</w:t>
      </w:r>
      <w:bookmarkEnd w:id="9"/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频率：每周一次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内容：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硬件状态（自助终端、服务器、网络设备）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系统日志分析（错误日志、交易日志、安全日志）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数据库状态与备份完整性检查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接口连通性测试（HIS、医保等）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记录：填写《系统巡检记录表》，异常立即上报。</w:t>
      </w:r>
    </w:p>
    <w:p>
      <w:pPr>
        <w:pStyle w:val="2"/>
        <w:bidi w:val="0"/>
        <w:rPr>
          <w:rFonts w:hint="eastAsia"/>
        </w:rPr>
      </w:pPr>
      <w:bookmarkStart w:id="10" w:name="_Toc11012"/>
      <w:r>
        <w:rPr>
          <w:rFonts w:hint="eastAsia"/>
        </w:rPr>
        <w:t>自动监控</w:t>
      </w:r>
      <w:bookmarkEnd w:id="10"/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监控工具：部署集中监控系统（如Zabbix、Prometheus）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监控范围：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服务器资源（CPU、内存、磁盘、网络）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应用服务状态（自助终端服务、支付服务、接口服务）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数据库性能（连接数、响应时间、锁状态）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业务交易成功率与响应时间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告警机制：阈值触发告警，通过短信、邮件、钉钉通知运维团队。</w:t>
      </w:r>
    </w:p>
    <w:p>
      <w:pPr>
        <w:pStyle w:val="1"/>
        <w:bidi w:val="0"/>
        <w:rPr>
          <w:rFonts w:hint="eastAsia"/>
        </w:rPr>
      </w:pPr>
      <w:bookmarkStart w:id="11" w:name="_Toc4224"/>
      <w:r>
        <w:rPr>
          <w:rFonts w:hint="eastAsia"/>
        </w:rPr>
        <w:t>维护与优化流程</w:t>
      </w:r>
      <w:bookmarkEnd w:id="11"/>
    </w:p>
    <w:p>
      <w:pPr>
        <w:pStyle w:val="2"/>
        <w:bidi w:val="0"/>
        <w:rPr>
          <w:rFonts w:hint="eastAsia"/>
        </w:rPr>
      </w:pPr>
      <w:bookmarkStart w:id="12" w:name="_Toc4691"/>
      <w:r>
        <w:rPr>
          <w:rFonts w:hint="eastAsia"/>
        </w:rPr>
        <w:t>定期维护</w:t>
      </w:r>
      <w:bookmarkEnd w:id="12"/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系统更新：每月评估并安装安全补丁与系统更新。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性能调优：每季度进行系统性能分析与优化。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备份验证：每周验证备份数据的完整性与可恢复性。</w:t>
      </w:r>
    </w:p>
    <w:p>
      <w:pPr>
        <w:pStyle w:val="2"/>
        <w:bidi w:val="0"/>
        <w:rPr>
          <w:rFonts w:hint="eastAsia"/>
        </w:rPr>
      </w:pPr>
      <w:bookmarkStart w:id="13" w:name="_Toc14967"/>
      <w:r>
        <w:rPr>
          <w:rFonts w:hint="eastAsia"/>
        </w:rPr>
        <w:t>变更管理</w:t>
      </w:r>
      <w:bookmarkEnd w:id="13"/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所有变更需提交《变更请求》（RFC），进行影响评估。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变更执行需在维护窗口内（如夜间22:00–次日6:00）。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变更后需进行功能与性能验证。</w:t>
      </w:r>
    </w:p>
    <w:p>
      <w:pPr>
        <w:pStyle w:val="1"/>
        <w:bidi w:val="0"/>
        <w:rPr>
          <w:rFonts w:hint="eastAsia"/>
        </w:rPr>
      </w:pPr>
      <w:bookmarkStart w:id="14" w:name="_Toc11237"/>
      <w:r>
        <w:rPr>
          <w:rFonts w:hint="eastAsia"/>
        </w:rPr>
        <w:t>恢复与应急方案</w:t>
      </w:r>
      <w:bookmarkEnd w:id="14"/>
    </w:p>
    <w:p>
      <w:pPr>
        <w:pStyle w:val="2"/>
        <w:bidi w:val="0"/>
        <w:rPr>
          <w:rFonts w:hint="eastAsia"/>
        </w:rPr>
      </w:pPr>
      <w:bookmarkStart w:id="15" w:name="_Toc511"/>
      <w:r>
        <w:rPr>
          <w:rFonts w:hint="eastAsia"/>
        </w:rPr>
        <w:t>故障分级与响应</w:t>
      </w:r>
      <w:bookmarkEnd w:id="15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3084"/>
        <w:gridCol w:w="1104"/>
        <w:gridCol w:w="199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影响范围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响应时限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升级机制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系统完全不可用，影响就诊流程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≤15分钟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立即通知项目负责人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核心功能异常（如支付失败）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≤30分钟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1小时内上报运维经理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非核心功能异常（如报告打印慢）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≤2小时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日常处理，记录并跟踪</w:t>
            </w:r>
          </w:p>
        </w:tc>
      </w:tr>
    </w:tbl>
    <w:p>
      <w:pPr>
        <w:pStyle w:val="a1"/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bookmarkStart w:id="16" w:name="_Toc2226"/>
      <w:r>
        <w:rPr>
          <w:rFonts w:hint="eastAsia"/>
        </w:rPr>
        <w:t>恢复流程</w:t>
      </w:r>
      <w:bookmarkEnd w:id="16"/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定位问题：通过监控与日志快速定位故障点。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临时恢复：如可能，启用备用设备或服务降级。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根本解决：分析原因，实施修复。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验证测试：恢复后进行业务功能验证。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记录报告：填写《故障处理报告》，组织复盘。</w:t>
      </w:r>
    </w:p>
    <w:p>
      <w:pPr>
        <w:pStyle w:val="1"/>
        <w:bidi w:val="0"/>
        <w:rPr>
          <w:rFonts w:hint="eastAsia"/>
        </w:rPr>
      </w:pPr>
      <w:bookmarkStart w:id="17" w:name="_Toc257"/>
      <w:r>
        <w:rPr>
          <w:rFonts w:hint="eastAsia"/>
        </w:rPr>
        <w:t>培训与演练</w:t>
      </w:r>
      <w:bookmarkEnd w:id="17"/>
    </w:p>
    <w:p>
      <w:pPr>
        <w:pStyle w:val="a3"/>
        <w:numPr>
          <w:ilvl w:val="0"/>
          <w:numId w:val="0"/>
        </w:numPr>
        <w:bidi w:val="0"/>
        <w:ind w:leftChars="0"/>
        <w:rPr>
          <w:rFonts w:eastAsia="宋体" w:hint="default"/>
          <w:lang w:val="en-US" w:eastAsia="zh-CN"/>
        </w:rPr>
      </w:pPr>
      <w:r>
        <w:rPr>
          <w:rFonts w:hint="eastAsia"/>
        </w:rPr>
        <w:t>培训频率：</w:t>
      </w:r>
      <w:r>
        <w:rPr>
          <w:rFonts w:hint="eastAsia"/>
          <w:lang w:val="en-US" w:eastAsia="zh-CN"/>
        </w:rPr>
        <w:t>按需培训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培训内容：系统架构、监控工具使用、故障处理流程、应急恢复操作</w:t>
      </w:r>
    </w:p>
    <w:p>
      <w:pPr>
        <w:pStyle w:val="a3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演练频率：每半年至少一次模拟故障</w:t>
      </w:r>
      <w:r>
        <w:rPr>
          <w:rFonts w:hint="eastAsia"/>
          <w:lang w:val="en-US" w:eastAsia="zh-CN"/>
        </w:rPr>
        <w:t>应急</w:t>
      </w:r>
      <w:r>
        <w:rPr>
          <w:rFonts w:hint="eastAsia"/>
        </w:rPr>
        <w:t>演练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rPr>
          <w:rFonts w:hint="eastAsia"/>
        </w:rPr>
        <w:t>演练目标：检验应急响应流程与团队协同能力</w:t>
      </w:r>
      <w:bookmarkStart w:id="18" w:name="_GoBack"/>
      <w:bookmarkEnd w:id="18"/>
    </w:p>
    <w:sectPr>
      <w:pgSz w:w="11906" w:h="16838"/>
      <w:pgMar w:top="1431" w:right="1076" w:bottom="1524" w:left="1087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C2267CB"/>
    <w:multiLevelType w:val="singleLevel"/>
    <w:tmpl w:val="8C2267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44C395B1"/>
    <w:multiLevelType w:val="singleLevel"/>
    <w:tmpl w:val="44C395B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1537</Words>
  <Characters>1658</Characters>
  <Application>Microsoft Office Word</Application>
  <DocSecurity>0</DocSecurity>
  <Lines>0</Lines>
  <Paragraphs>0</Paragraphs>
  <ScaleCrop>false</ScaleCrop>
  <Company/>
  <LinksUpToDate>false</LinksUpToDate>
  <CharactersWithSpaces>1730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nancy杨茜</cp:lastModifiedBy>
  <cp:revision>0</cp:revision>
  <dcterms:created xsi:type="dcterms:W3CDTF">2025-08-21T09:28:00Z</dcterms:created>
  <dcterms:modified xsi:type="dcterms:W3CDTF">2026-01-07T12:21:28Z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03FC1D43EDCA4F5BBA17BEC7C57D6B1F_12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