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245" w:rsidRDefault="002B3245" w:rsidP="002B3245">
      <w:pPr>
        <w:pStyle w:val="ab"/>
        <w:spacing w:after="1440"/>
        <w:rPr>
          <w:rFonts w:hint="default"/>
        </w:rPr>
      </w:pPr>
      <w:bookmarkStart w:id="0" w:name="_Toc10367"/>
    </w:p>
    <w:p w:rsidR="002B3245" w:rsidRDefault="00227883" w:rsidP="002B3245">
      <w:pPr>
        <w:pStyle w:val="ab"/>
        <w:spacing w:after="1440"/>
        <w:rPr>
          <w:rFonts w:hint="default"/>
          <w:lang w:eastAsia="zh-CN"/>
        </w:rPr>
      </w:pPr>
      <w:proofErr w:type="spellStart"/>
      <w:r>
        <w:t>临夏回族自治州中医医院“智慧银医”项目</w:t>
      </w:r>
      <w:r>
        <w:t>可用性</w:t>
      </w:r>
      <w:proofErr w:type="spellEnd"/>
      <w:r>
        <w:rPr>
          <w:lang w:eastAsia="zh-CN"/>
        </w:rPr>
        <w:t>报告</w:t>
      </w:r>
      <w:bookmarkEnd w:id="0"/>
    </w:p>
    <w:p w:rsidR="002B3245" w:rsidRDefault="00227883" w:rsidP="002B3245">
      <w:pPr>
        <w:pStyle w:val="ac"/>
        <w:spacing w:after="2160"/>
      </w:pPr>
      <w:bookmarkStart w:id="1" w:name="_Toc12162"/>
      <w:proofErr w:type="spellStart"/>
      <w:r>
        <w:t>江苏云储智能科技有限公司</w:t>
      </w:r>
      <w:bookmarkEnd w:id="1"/>
      <w:proofErr w:type="spellEnd"/>
    </w:p>
    <w:p w:rsidR="002B3245" w:rsidRDefault="00227883">
      <w:pPr>
        <w:spacing w:before="117" w:line="219" w:lineRule="auto"/>
        <w:jc w:val="center"/>
        <w:rPr>
          <w:rFonts w:ascii="宋体" w:hAnsi="宋体" w:cs="宋体"/>
          <w:sz w:val="36"/>
          <w:szCs w:val="36"/>
          <w:lang w:eastAsia="zh-CN"/>
        </w:rPr>
      </w:pPr>
      <w:r>
        <w:rPr>
          <w:rFonts w:ascii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2"/>
          <w:sz w:val="36"/>
          <w:szCs w:val="36"/>
        </w:rPr>
        <w:t>-</w:t>
      </w:r>
      <w:r w:rsidR="00B96B2D">
        <w:rPr>
          <w:rFonts w:ascii="宋体" w:hAnsi="宋体" w:cs="宋体" w:hint="eastAsia"/>
          <w:spacing w:val="-2"/>
          <w:sz w:val="36"/>
          <w:szCs w:val="36"/>
          <w:lang w:eastAsia="zh-CN"/>
        </w:rPr>
        <w:t>12</w:t>
      </w:r>
      <w:r>
        <w:rPr>
          <w:rFonts w:ascii="宋体" w:hAnsi="宋体" w:cs="宋体"/>
          <w:spacing w:val="-2"/>
          <w:sz w:val="36"/>
          <w:szCs w:val="36"/>
        </w:rPr>
        <w:t>-</w:t>
      </w:r>
      <w:r>
        <w:rPr>
          <w:rFonts w:ascii="宋体" w:hAnsi="宋体" w:cs="宋体" w:hint="eastAsia"/>
          <w:spacing w:val="-2"/>
          <w:sz w:val="36"/>
          <w:szCs w:val="36"/>
          <w:lang w:eastAsia="zh-CN"/>
        </w:rPr>
        <w:t>20</w:t>
      </w:r>
    </w:p>
    <w:p w:rsidR="002B3245" w:rsidRDefault="00227883">
      <w:r>
        <w:br w:type="page"/>
      </w:r>
    </w:p>
    <w:p w:rsidR="002B3245" w:rsidRDefault="00227883">
      <w:pPr>
        <w:spacing w:before="69" w:line="220" w:lineRule="auto"/>
        <w:ind w:left="3954"/>
        <w:outlineLvl w:val="0"/>
        <w:rPr>
          <w:rFonts w:ascii="宋体" w:hAnsi="宋体" w:cs="宋体"/>
        </w:rPr>
      </w:pPr>
      <w:bookmarkStart w:id="2" w:name="_Toc15427"/>
      <w:proofErr w:type="spellStart"/>
      <w:r>
        <w:rPr>
          <w:rFonts w:ascii="宋体" w:hAnsi="宋体" w:cs="宋体"/>
          <w:spacing w:val="-2"/>
        </w:rPr>
        <w:lastRenderedPageBreak/>
        <w:t>文档信息</w:t>
      </w:r>
      <w:bookmarkEnd w:id="2"/>
      <w:proofErr w:type="spellEnd"/>
    </w:p>
    <w:p w:rsidR="002B3245" w:rsidRDefault="002B3245">
      <w:pPr>
        <w:spacing w:line="16" w:lineRule="exact"/>
      </w:pPr>
    </w:p>
    <w:tbl>
      <w:tblPr>
        <w:tblStyle w:val="TableNormal0"/>
        <w:tblW w:w="90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704"/>
        <w:gridCol w:w="1555"/>
        <w:gridCol w:w="2302"/>
        <w:gridCol w:w="1557"/>
        <w:gridCol w:w="1953"/>
      </w:tblGrid>
      <w:tr w:rsidR="002B3245">
        <w:trPr>
          <w:trHeight w:val="611"/>
        </w:trPr>
        <w:tc>
          <w:tcPr>
            <w:tcW w:w="1704" w:type="dxa"/>
          </w:tcPr>
          <w:p w:rsidR="002B3245" w:rsidRDefault="00227883">
            <w:pPr>
              <w:pStyle w:val="TableText"/>
              <w:spacing w:before="199" w:line="220" w:lineRule="auto"/>
              <w:ind w:left="225"/>
            </w:pPr>
            <w:proofErr w:type="spellStart"/>
            <w:r>
              <w:rPr>
                <w:spacing w:val="-2"/>
              </w:rPr>
              <w:t>文档名称编号</w:t>
            </w:r>
            <w:proofErr w:type="spellEnd"/>
          </w:p>
        </w:tc>
        <w:tc>
          <w:tcPr>
            <w:tcW w:w="7367" w:type="dxa"/>
            <w:gridSpan w:val="4"/>
          </w:tcPr>
          <w:p w:rsidR="002B3245" w:rsidRDefault="00227883">
            <w:pPr>
              <w:pStyle w:val="TableText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eastAsia="zh-CN"/>
              </w:rPr>
              <w:t>可用性</w:t>
            </w:r>
            <w:r>
              <w:rPr>
                <w:rFonts w:hint="eastAsia"/>
                <w:spacing w:val="-1"/>
                <w:lang w:eastAsia="zh-CN"/>
              </w:rPr>
              <w:t>报告</w:t>
            </w:r>
            <w:r>
              <w:rPr>
                <w:spacing w:val="-1"/>
              </w:rPr>
              <w:t>（</w:t>
            </w:r>
            <w:r>
              <w:rPr>
                <w:spacing w:val="-1"/>
              </w:rPr>
              <w:t>JSYC-ITSS-</w:t>
            </w:r>
            <w:r>
              <w:rPr>
                <w:rFonts w:hint="eastAsia"/>
                <w:spacing w:val="-1"/>
                <w:lang w:eastAsia="zh-CN"/>
              </w:rPr>
              <w:t>KYX</w:t>
            </w:r>
            <w:r>
              <w:rPr>
                <w:rFonts w:hint="eastAsia"/>
                <w:spacing w:val="-1"/>
                <w:lang w:eastAsia="zh-CN"/>
              </w:rPr>
              <w:t>BG</w:t>
            </w:r>
            <w:r>
              <w:rPr>
                <w:spacing w:val="-1"/>
              </w:rPr>
              <w:t>）</w:t>
            </w:r>
          </w:p>
        </w:tc>
      </w:tr>
      <w:tr w:rsidR="002B3245">
        <w:trPr>
          <w:trHeight w:val="606"/>
        </w:trPr>
        <w:tc>
          <w:tcPr>
            <w:tcW w:w="1704" w:type="dxa"/>
          </w:tcPr>
          <w:p w:rsidR="002B3245" w:rsidRDefault="00227883">
            <w:pPr>
              <w:pStyle w:val="TableText"/>
              <w:spacing w:before="196" w:line="220" w:lineRule="auto"/>
              <w:ind w:left="435"/>
            </w:pPr>
            <w:proofErr w:type="spellStart"/>
            <w:r>
              <w:rPr>
                <w:spacing w:val="-2"/>
              </w:rPr>
              <w:t>编制单位</w:t>
            </w:r>
            <w:proofErr w:type="spellEnd"/>
          </w:p>
        </w:tc>
        <w:tc>
          <w:tcPr>
            <w:tcW w:w="7367" w:type="dxa"/>
            <w:gridSpan w:val="4"/>
          </w:tcPr>
          <w:p w:rsidR="002B3245" w:rsidRDefault="00227883">
            <w:pPr>
              <w:pStyle w:val="TableText"/>
              <w:spacing w:before="197" w:line="219" w:lineRule="auto"/>
              <w:ind w:left="108"/>
            </w:pPr>
            <w:proofErr w:type="spellStart"/>
            <w:r>
              <w:rPr>
                <w:spacing w:val="-1"/>
              </w:rPr>
              <w:t>江苏云储智能科技有限公司</w:t>
            </w:r>
            <w:proofErr w:type="spellEnd"/>
          </w:p>
        </w:tc>
      </w:tr>
      <w:tr w:rsidR="002B3245">
        <w:trPr>
          <w:trHeight w:val="607"/>
        </w:trPr>
        <w:tc>
          <w:tcPr>
            <w:tcW w:w="1704" w:type="dxa"/>
          </w:tcPr>
          <w:p w:rsidR="002B3245" w:rsidRDefault="00227883">
            <w:pPr>
              <w:pStyle w:val="TableText"/>
              <w:spacing w:before="199" w:line="219" w:lineRule="auto"/>
              <w:ind w:left="435"/>
            </w:pPr>
            <w:proofErr w:type="spellStart"/>
            <w:r>
              <w:rPr>
                <w:spacing w:val="-2"/>
              </w:rPr>
              <w:t>文档版本</w:t>
            </w:r>
            <w:proofErr w:type="spellEnd"/>
          </w:p>
        </w:tc>
        <w:tc>
          <w:tcPr>
            <w:tcW w:w="1555" w:type="dxa"/>
          </w:tcPr>
          <w:p w:rsidR="002B3245" w:rsidRDefault="00227883">
            <w:pPr>
              <w:pStyle w:val="TableText"/>
              <w:spacing w:before="199" w:line="219" w:lineRule="auto"/>
              <w:ind w:left="359"/>
            </w:pPr>
            <w:proofErr w:type="spellStart"/>
            <w:r>
              <w:rPr>
                <w:spacing w:val="-2"/>
              </w:rPr>
              <w:t>版本日期</w:t>
            </w:r>
            <w:proofErr w:type="spellEnd"/>
          </w:p>
        </w:tc>
        <w:tc>
          <w:tcPr>
            <w:tcW w:w="2302" w:type="dxa"/>
          </w:tcPr>
          <w:p w:rsidR="002B3245" w:rsidRDefault="00227883">
            <w:pPr>
              <w:pStyle w:val="TableText"/>
              <w:spacing w:before="199" w:line="219" w:lineRule="auto"/>
              <w:ind w:left="735"/>
            </w:pPr>
            <w:proofErr w:type="spellStart"/>
            <w:r>
              <w:rPr>
                <w:spacing w:val="-2"/>
              </w:rPr>
              <w:t>版本说明</w:t>
            </w:r>
            <w:proofErr w:type="spellEnd"/>
          </w:p>
        </w:tc>
        <w:tc>
          <w:tcPr>
            <w:tcW w:w="1557" w:type="dxa"/>
          </w:tcPr>
          <w:p w:rsidR="002B3245" w:rsidRDefault="00227883">
            <w:pPr>
              <w:pStyle w:val="TableText"/>
              <w:spacing w:before="199" w:line="220" w:lineRule="auto"/>
              <w:ind w:left="575"/>
            </w:pPr>
            <w:proofErr w:type="spellStart"/>
            <w:r>
              <w:rPr>
                <w:spacing w:val="-3"/>
              </w:rPr>
              <w:t>作者</w:t>
            </w:r>
            <w:proofErr w:type="spellEnd"/>
          </w:p>
        </w:tc>
        <w:tc>
          <w:tcPr>
            <w:tcW w:w="1953" w:type="dxa"/>
          </w:tcPr>
          <w:p w:rsidR="002B3245" w:rsidRDefault="00227883">
            <w:pPr>
              <w:pStyle w:val="TableText"/>
              <w:spacing w:before="199" w:line="220" w:lineRule="auto"/>
              <w:ind w:left="782"/>
            </w:pPr>
            <w:proofErr w:type="spellStart"/>
            <w:r>
              <w:rPr>
                <w:spacing w:val="-5"/>
              </w:rPr>
              <w:t>审核</w:t>
            </w:r>
            <w:proofErr w:type="spellEnd"/>
          </w:p>
        </w:tc>
      </w:tr>
      <w:tr w:rsidR="002B3245">
        <w:trPr>
          <w:trHeight w:val="474"/>
        </w:trPr>
        <w:tc>
          <w:tcPr>
            <w:tcW w:w="1704" w:type="dxa"/>
          </w:tcPr>
          <w:p w:rsidR="002B3245" w:rsidRDefault="00227883"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:rsidR="002B3245" w:rsidRDefault="00227883">
            <w:pPr>
              <w:pStyle w:val="TableText"/>
              <w:spacing w:before="163"/>
              <w:ind w:left="361"/>
              <w:rPr>
                <w:lang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eastAsia="zh-CN"/>
              </w:rPr>
              <w:t>25</w:t>
            </w:r>
            <w:r>
              <w:rPr>
                <w:spacing w:val="-2"/>
              </w:rPr>
              <w:t>-1</w:t>
            </w:r>
            <w:r w:rsidR="00B96B2D">
              <w:rPr>
                <w:rFonts w:hint="eastAsia"/>
                <w:spacing w:val="-2"/>
                <w:lang w:eastAsia="zh-CN"/>
              </w:rPr>
              <w:t>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20</w:t>
            </w:r>
          </w:p>
        </w:tc>
        <w:tc>
          <w:tcPr>
            <w:tcW w:w="2302" w:type="dxa"/>
          </w:tcPr>
          <w:p w:rsidR="002B3245" w:rsidRDefault="00227883">
            <w:pPr>
              <w:pStyle w:val="TableText"/>
              <w:spacing w:before="133" w:line="219" w:lineRule="auto"/>
              <w:ind w:left="738"/>
            </w:pPr>
            <w:proofErr w:type="spellStart"/>
            <w:r>
              <w:rPr>
                <w:spacing w:val="-3"/>
              </w:rPr>
              <w:t>发布版本</w:t>
            </w:r>
            <w:proofErr w:type="spellEnd"/>
          </w:p>
        </w:tc>
        <w:tc>
          <w:tcPr>
            <w:tcW w:w="1557" w:type="dxa"/>
          </w:tcPr>
          <w:p w:rsidR="002B3245" w:rsidRDefault="00227883">
            <w:pPr>
              <w:pStyle w:val="TableText"/>
              <w:spacing w:before="134" w:line="220" w:lineRule="auto"/>
              <w:ind w:left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</w:p>
        </w:tc>
        <w:tc>
          <w:tcPr>
            <w:tcW w:w="1953" w:type="dxa"/>
          </w:tcPr>
          <w:p w:rsidR="002B3245" w:rsidRDefault="00227883">
            <w:pPr>
              <w:pStyle w:val="TableText"/>
              <w:spacing w:before="133" w:line="220" w:lineRule="auto"/>
              <w:ind w:left="672"/>
            </w:pPr>
            <w:proofErr w:type="spellStart"/>
            <w:r>
              <w:rPr>
                <w:spacing w:val="-3"/>
              </w:rPr>
              <w:t>史晓玲</w:t>
            </w:r>
            <w:proofErr w:type="spellEnd"/>
          </w:p>
        </w:tc>
      </w:tr>
      <w:tr w:rsidR="002B3245">
        <w:trPr>
          <w:trHeight w:val="474"/>
        </w:trPr>
        <w:tc>
          <w:tcPr>
            <w:tcW w:w="1704" w:type="dxa"/>
          </w:tcPr>
          <w:p w:rsidR="002B3245" w:rsidRDefault="002B3245"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:rsidR="002B3245" w:rsidRDefault="002B3245">
            <w:pPr>
              <w:pStyle w:val="TableText"/>
              <w:spacing w:before="164"/>
              <w:ind w:left="361"/>
            </w:pPr>
          </w:p>
        </w:tc>
        <w:tc>
          <w:tcPr>
            <w:tcW w:w="2302" w:type="dxa"/>
          </w:tcPr>
          <w:p w:rsidR="002B3245" w:rsidRDefault="002B3245"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:rsidR="002B3245" w:rsidRDefault="002B3245"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:rsidR="002B3245" w:rsidRDefault="002B3245">
            <w:pPr>
              <w:pStyle w:val="TableText"/>
              <w:spacing w:before="134" w:line="220" w:lineRule="auto"/>
              <w:ind w:left="672"/>
            </w:pPr>
          </w:p>
        </w:tc>
      </w:tr>
      <w:tr w:rsidR="002B3245">
        <w:trPr>
          <w:trHeight w:val="474"/>
        </w:trPr>
        <w:tc>
          <w:tcPr>
            <w:tcW w:w="1704" w:type="dxa"/>
          </w:tcPr>
          <w:p w:rsidR="002B3245" w:rsidRDefault="002B3245"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:rsidR="002B3245" w:rsidRDefault="002B3245">
            <w:pPr>
              <w:pStyle w:val="TableText"/>
              <w:spacing w:before="165"/>
              <w:ind w:left="361"/>
            </w:pPr>
          </w:p>
        </w:tc>
        <w:tc>
          <w:tcPr>
            <w:tcW w:w="2302" w:type="dxa"/>
          </w:tcPr>
          <w:p w:rsidR="002B3245" w:rsidRDefault="002B3245"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:rsidR="002B3245" w:rsidRDefault="002B3245"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:rsidR="002B3245" w:rsidRDefault="002B3245">
            <w:pPr>
              <w:pStyle w:val="TableText"/>
              <w:spacing w:before="135" w:line="220" w:lineRule="auto"/>
              <w:ind w:left="672"/>
            </w:pPr>
          </w:p>
        </w:tc>
      </w:tr>
      <w:tr w:rsidR="002B3245">
        <w:trPr>
          <w:trHeight w:val="474"/>
        </w:trPr>
        <w:tc>
          <w:tcPr>
            <w:tcW w:w="1704" w:type="dxa"/>
          </w:tcPr>
          <w:p w:rsidR="002B3245" w:rsidRDefault="002B3245"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:rsidR="002B3245" w:rsidRDefault="002B3245">
            <w:pPr>
              <w:pStyle w:val="TableText"/>
              <w:spacing w:before="166"/>
              <w:ind w:left="361"/>
            </w:pPr>
          </w:p>
        </w:tc>
        <w:tc>
          <w:tcPr>
            <w:tcW w:w="2302" w:type="dxa"/>
          </w:tcPr>
          <w:p w:rsidR="002B3245" w:rsidRDefault="002B3245"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:rsidR="002B3245" w:rsidRDefault="002B3245"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:rsidR="002B3245" w:rsidRDefault="002B3245">
            <w:pPr>
              <w:pStyle w:val="TableText"/>
              <w:spacing w:before="136" w:line="220" w:lineRule="auto"/>
              <w:ind w:left="672"/>
            </w:pPr>
          </w:p>
        </w:tc>
      </w:tr>
      <w:tr w:rsidR="002B3245">
        <w:trPr>
          <w:trHeight w:val="589"/>
        </w:trPr>
        <w:tc>
          <w:tcPr>
            <w:tcW w:w="1704" w:type="dxa"/>
          </w:tcPr>
          <w:p w:rsidR="002B3245" w:rsidRDefault="002B3245"/>
        </w:tc>
        <w:tc>
          <w:tcPr>
            <w:tcW w:w="1555" w:type="dxa"/>
          </w:tcPr>
          <w:p w:rsidR="002B3245" w:rsidRDefault="002B3245"/>
        </w:tc>
        <w:tc>
          <w:tcPr>
            <w:tcW w:w="2302" w:type="dxa"/>
          </w:tcPr>
          <w:p w:rsidR="002B3245" w:rsidRDefault="002B3245"/>
        </w:tc>
        <w:tc>
          <w:tcPr>
            <w:tcW w:w="1557" w:type="dxa"/>
          </w:tcPr>
          <w:p w:rsidR="002B3245" w:rsidRDefault="002B3245"/>
        </w:tc>
        <w:tc>
          <w:tcPr>
            <w:tcW w:w="1953" w:type="dxa"/>
          </w:tcPr>
          <w:p w:rsidR="002B3245" w:rsidRDefault="002B3245"/>
        </w:tc>
      </w:tr>
    </w:tbl>
    <w:p w:rsidR="002B3245" w:rsidRDefault="00227883">
      <w:r>
        <w:br w:type="page"/>
      </w:r>
    </w:p>
    <w:sdt>
      <w:sdtPr>
        <w:rPr>
          <w:rFonts w:ascii="宋体" w:hAnsi="宋体"/>
        </w:rPr>
        <w:id w:val="147473573"/>
        <w:docPartObj>
          <w:docPartGallery w:val="Table of Contents"/>
          <w:docPartUnique/>
        </w:docPartObj>
      </w:sdtPr>
      <w:sdtEndPr>
        <w:rPr>
          <w:rFonts w:ascii="Arial" w:hAnsi="Arial"/>
        </w:rPr>
      </w:sdtEndPr>
      <w:sdtContent>
        <w:p w:rsidR="002B3245" w:rsidRDefault="00227883">
          <w:pPr>
            <w:spacing w:line="240" w:lineRule="auto"/>
            <w:jc w:val="center"/>
          </w:pPr>
          <w:proofErr w:type="spellStart"/>
          <w:r>
            <w:rPr>
              <w:rFonts w:ascii="宋体" w:hAnsi="宋体"/>
            </w:rPr>
            <w:t>目录</w:t>
          </w:r>
          <w:proofErr w:type="spellEnd"/>
        </w:p>
        <w:p w:rsidR="002B3245" w:rsidRDefault="002B3245">
          <w:pPr>
            <w:pStyle w:val="10"/>
            <w:tabs>
              <w:tab w:val="right" w:leader="dot" w:pos="9743"/>
            </w:tabs>
          </w:pPr>
          <w:r w:rsidRPr="002B3245">
            <w:fldChar w:fldCharType="begin"/>
          </w:r>
          <w:r w:rsidR="00227883">
            <w:instrText xml:space="preserve">TOC \o "1-3" \h \u </w:instrText>
          </w:r>
          <w:r w:rsidRPr="002B3245">
            <w:fldChar w:fldCharType="separate"/>
          </w:r>
          <w:hyperlink w:anchor="_Toc10367" w:history="1">
            <w:r w:rsidR="00227883">
              <w:rPr>
                <w:rFonts w:hint="eastAsia"/>
              </w:rPr>
              <w:t>临夏回族自治州中医医院“智慧银医”项目</w:t>
            </w:r>
            <w:r w:rsidR="00227883">
              <w:t>可用性</w:t>
            </w:r>
            <w:r w:rsidR="00227883">
              <w:rPr>
                <w:rFonts w:hint="eastAsia"/>
                <w:lang w:eastAsia="zh-CN"/>
              </w:rPr>
              <w:t>报告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PAGEREF _Toc10367 \h </w:instrText>
            </w:r>
            <w:r>
              <w:fldChar w:fldCharType="separate"/>
            </w:r>
            <w:r w:rsidR="00227883">
              <w:t>1</w:t>
            </w:r>
            <w:r>
              <w:fldChar w:fldCharType="end"/>
            </w:r>
          </w:hyperlink>
        </w:p>
        <w:p w:rsidR="002B3245" w:rsidRDefault="002B3245">
          <w:pPr>
            <w:pStyle w:val="10"/>
            <w:tabs>
              <w:tab w:val="right" w:leader="dot" w:pos="9743"/>
            </w:tabs>
          </w:pPr>
          <w:hyperlink w:anchor="_Toc12162" w:history="1">
            <w:r w:rsidR="00227883">
              <w:t>江苏云储智能科技有限公司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PAGEREF _Toc12162 \h </w:instrText>
            </w:r>
            <w:r>
              <w:fldChar w:fldCharType="separate"/>
            </w:r>
            <w:r w:rsidR="00227883">
              <w:t>1</w:t>
            </w:r>
            <w:r>
              <w:fldChar w:fldCharType="end"/>
            </w:r>
          </w:hyperlink>
        </w:p>
        <w:p w:rsidR="002B3245" w:rsidRDefault="002B3245">
          <w:pPr>
            <w:pStyle w:val="10"/>
            <w:tabs>
              <w:tab w:val="right" w:leader="dot" w:pos="9743"/>
            </w:tabs>
          </w:pPr>
          <w:hyperlink w:anchor="_Toc15427" w:history="1">
            <w:r w:rsidR="00227883">
              <w:rPr>
                <w:rFonts w:ascii="宋体" w:eastAsia="宋体" w:hAnsi="宋体" w:cs="宋体"/>
                <w:spacing w:val="-2"/>
              </w:rPr>
              <w:t>文档信息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</w:instrText>
            </w:r>
            <w:r w:rsidR="00227883">
              <w:instrText xml:space="preserve">F _Toc15427 \h </w:instrText>
            </w:r>
            <w:r>
              <w:fldChar w:fldCharType="separate"/>
            </w:r>
            <w:r w:rsidR="00227883">
              <w:t>2</w:t>
            </w:r>
            <w:r>
              <w:fldChar w:fldCharType="end"/>
            </w:r>
          </w:hyperlink>
        </w:p>
        <w:p w:rsidR="002B3245" w:rsidRDefault="002B3245">
          <w:pPr>
            <w:pStyle w:val="10"/>
            <w:tabs>
              <w:tab w:val="right" w:leader="dot" w:pos="9743"/>
            </w:tabs>
          </w:pPr>
          <w:hyperlink w:anchor="_Toc32722" w:history="1">
            <w:r w:rsidR="00227883">
              <w:t xml:space="preserve">1. </w:t>
            </w:r>
            <w:r w:rsidR="00227883">
              <w:rPr>
                <w:rFonts w:hint="eastAsia"/>
              </w:rPr>
              <w:t>可用性目标达成情况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PAGEREF _Toc32722 \h </w:instrText>
            </w:r>
            <w:r>
              <w:fldChar w:fldCharType="separate"/>
            </w:r>
            <w:r w:rsidR="00227883">
              <w:t>4</w:t>
            </w:r>
            <w:r>
              <w:fldChar w:fldCharType="end"/>
            </w:r>
          </w:hyperlink>
        </w:p>
        <w:p w:rsidR="002B3245" w:rsidRDefault="002B3245">
          <w:pPr>
            <w:pStyle w:val="10"/>
            <w:tabs>
              <w:tab w:val="right" w:leader="dot" w:pos="9743"/>
            </w:tabs>
          </w:pPr>
          <w:hyperlink w:anchor="_Toc18977" w:history="1">
            <w:r w:rsidR="00227883">
              <w:t xml:space="preserve">2. </w:t>
            </w:r>
            <w:r w:rsidR="00227883">
              <w:rPr>
                <w:rFonts w:hint="eastAsia"/>
              </w:rPr>
              <w:t>关键运维活动与持续优化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</w:instrText>
            </w:r>
            <w:r w:rsidR="00227883">
              <w:instrText xml:space="preserve">REF _Toc18977 \h </w:instrText>
            </w:r>
            <w:r>
              <w:fldChar w:fldCharType="separate"/>
            </w:r>
            <w:r w:rsidR="00227883">
              <w:t>4</w:t>
            </w:r>
            <w:r>
              <w:fldChar w:fldCharType="end"/>
            </w:r>
          </w:hyperlink>
        </w:p>
        <w:p w:rsidR="002B3245" w:rsidRDefault="002B3245">
          <w:pPr>
            <w:pStyle w:val="20"/>
            <w:tabs>
              <w:tab w:val="right" w:leader="dot" w:pos="9743"/>
            </w:tabs>
          </w:pPr>
          <w:hyperlink w:anchor="_Toc29939" w:history="1">
            <w:r w:rsidR="00227883">
              <w:t xml:space="preserve">2.1. </w:t>
            </w:r>
            <w:r w:rsidR="00227883">
              <w:rPr>
                <w:rFonts w:hint="eastAsia"/>
              </w:rPr>
              <w:t>预防性维护与系统增强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PAGEREF _Toc29939 \h </w:instrText>
            </w:r>
            <w:r>
              <w:fldChar w:fldCharType="separate"/>
            </w:r>
            <w:r w:rsidR="00227883">
              <w:t>4</w:t>
            </w:r>
            <w:r>
              <w:fldChar w:fldCharType="end"/>
            </w:r>
          </w:hyperlink>
        </w:p>
        <w:p w:rsidR="002B3245" w:rsidRDefault="002B3245">
          <w:pPr>
            <w:pStyle w:val="20"/>
            <w:tabs>
              <w:tab w:val="right" w:leader="dot" w:pos="9743"/>
            </w:tabs>
          </w:pPr>
          <w:hyperlink w:anchor="_Toc15659" w:history="1">
            <w:r w:rsidR="00227883">
              <w:t xml:space="preserve">2.2. </w:t>
            </w:r>
            <w:r w:rsidR="00227883">
              <w:rPr>
                <w:rFonts w:hint="eastAsia"/>
              </w:rPr>
              <w:t>监控与应急能力提升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PAGEREF _Toc15659 \h </w:instrText>
            </w:r>
            <w:r>
              <w:fldChar w:fldCharType="separate"/>
            </w:r>
            <w:r w:rsidR="00227883">
              <w:t>4</w:t>
            </w:r>
            <w:r>
              <w:fldChar w:fldCharType="end"/>
            </w:r>
          </w:hyperlink>
        </w:p>
        <w:p w:rsidR="002B3245" w:rsidRDefault="002B3245">
          <w:pPr>
            <w:pStyle w:val="10"/>
            <w:tabs>
              <w:tab w:val="right" w:leader="dot" w:pos="9743"/>
            </w:tabs>
          </w:pPr>
          <w:hyperlink w:anchor="_Toc6313" w:history="1">
            <w:r w:rsidR="00227883">
              <w:t xml:space="preserve">3. </w:t>
            </w:r>
            <w:r w:rsidR="00227883">
              <w:rPr>
                <w:rFonts w:hint="eastAsia"/>
              </w:rPr>
              <w:t>业务支撑成效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PAGEREF _Toc6313 \h </w:instrText>
            </w:r>
            <w:r>
              <w:fldChar w:fldCharType="separate"/>
            </w:r>
            <w:r w:rsidR="00227883">
              <w:t>5</w:t>
            </w:r>
            <w:r>
              <w:fldChar w:fldCharType="end"/>
            </w:r>
          </w:hyperlink>
        </w:p>
        <w:p w:rsidR="002B3245" w:rsidRDefault="002B3245">
          <w:pPr>
            <w:pStyle w:val="10"/>
            <w:tabs>
              <w:tab w:val="right" w:leader="dot" w:pos="9743"/>
            </w:tabs>
          </w:pPr>
          <w:hyperlink w:anchor="_Toc32556" w:history="1">
            <w:r w:rsidR="00227883">
              <w:t xml:space="preserve">4. </w:t>
            </w:r>
            <w:r w:rsidR="00227883">
              <w:rPr>
                <w:rFonts w:hint="eastAsia"/>
              </w:rPr>
              <w:t>改进建议与</w:t>
            </w:r>
            <w:r w:rsidR="00227883">
              <w:rPr>
                <w:rFonts w:hint="eastAsia"/>
              </w:rPr>
              <w:t>2026</w:t>
            </w:r>
            <w:r w:rsidR="00227883">
              <w:rPr>
                <w:rFonts w:hint="eastAsia"/>
              </w:rPr>
              <w:t>年重点计划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PAGEREF _Toc32556 \h </w:instrText>
            </w:r>
            <w:r>
              <w:fldChar w:fldCharType="separate"/>
            </w:r>
            <w:r w:rsidR="00227883">
              <w:t>5</w:t>
            </w:r>
            <w:r>
              <w:fldChar w:fldCharType="end"/>
            </w:r>
          </w:hyperlink>
        </w:p>
        <w:p w:rsidR="002B3245" w:rsidRDefault="002B3245">
          <w:pPr>
            <w:pStyle w:val="10"/>
            <w:tabs>
              <w:tab w:val="right" w:leader="dot" w:pos="9743"/>
            </w:tabs>
          </w:pPr>
          <w:hyperlink w:anchor="_Toc24671" w:history="1">
            <w:r w:rsidR="00227883">
              <w:t xml:space="preserve">5. </w:t>
            </w:r>
            <w:r w:rsidR="00227883">
              <w:rPr>
                <w:rFonts w:hint="eastAsia"/>
              </w:rPr>
              <w:t>结论</w:t>
            </w:r>
            <w:r w:rsidR="00227883">
              <w:tab/>
            </w:r>
            <w:r>
              <w:fldChar w:fldCharType="begin"/>
            </w:r>
            <w:r w:rsidR="00227883">
              <w:instrText xml:space="preserve"> PAGEREF _Toc24671 \h </w:instrText>
            </w:r>
            <w:r>
              <w:fldChar w:fldCharType="separate"/>
            </w:r>
            <w:r w:rsidR="00227883">
              <w:t>5</w:t>
            </w:r>
            <w:r>
              <w:fldChar w:fldCharType="end"/>
            </w:r>
          </w:hyperlink>
        </w:p>
        <w:p w:rsidR="002B3245" w:rsidRDefault="002B3245">
          <w:r>
            <w:fldChar w:fldCharType="end"/>
          </w:r>
        </w:p>
      </w:sdtContent>
    </w:sdt>
    <w:p w:rsidR="002B3245" w:rsidRDefault="00227883">
      <w:r>
        <w:br w:type="page"/>
      </w:r>
    </w:p>
    <w:p w:rsidR="002B3245" w:rsidRDefault="00227883">
      <w:pPr>
        <w:pStyle w:val="11"/>
      </w:pPr>
      <w:bookmarkStart w:id="3" w:name="_Toc32722"/>
      <w:proofErr w:type="spellStart"/>
      <w:r>
        <w:rPr>
          <w:rFonts w:hint="eastAsia"/>
        </w:rPr>
        <w:lastRenderedPageBreak/>
        <w:t>可用性目标达成情况</w:t>
      </w:r>
      <w:bookmarkEnd w:id="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0"/>
        <w:gridCol w:w="894"/>
        <w:gridCol w:w="1662"/>
        <w:gridCol w:w="1392"/>
        <w:gridCol w:w="4696"/>
      </w:tblGrid>
      <w:tr w:rsidR="002B3245">
        <w:trPr>
          <w:tblHeader/>
        </w:trPr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jc w:val="center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指标项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jc w:val="center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年度目标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jc w:val="center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实际达成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jc w:val="center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达成情况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jc w:val="center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说明与关键举措</w:t>
            </w:r>
          </w:p>
        </w:tc>
      </w:tr>
      <w:tr w:rsidR="002B3245"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系统可用性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≥99%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99.73%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超额达成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通过精细化监控、预防性维护与快速响应机制，将计划外服务不可用时间降至最低，全年累计约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23.5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小时，远低于行业同类系统水平。</w:t>
            </w:r>
          </w:p>
        </w:tc>
      </w:tr>
      <w:tr w:rsidR="002B3245"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计划内停机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≤12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小时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/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次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平均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3.2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小时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/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次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超额达成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严格执行变更管理流程，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4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次计划升级维护均安排在夜间业务低谷期（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22:00-04:00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）并提前公告，对日间业务零影响。</w:t>
            </w:r>
          </w:p>
        </w:tc>
      </w:tr>
      <w:tr w:rsidR="002B3245"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非计划中断次数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≤2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次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/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季度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3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次（</w:t>
            </w: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截止</w:t>
            </w: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2025</w:t>
            </w: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年</w:t>
            </w:r>
            <w:r w:rsidR="006C6F64"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1</w:t>
            </w:r>
            <w:r w:rsidR="006C6F64"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2</w:t>
            </w: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月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得益于稳健的架构设计与主动防御策略，全年仅发生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3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次局部、短暂的服务波动，均未升级为系统性故障，并得到快速处置。</w:t>
            </w:r>
          </w:p>
        </w:tc>
      </w:tr>
      <w:tr w:rsidR="002B3245"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故障平均响应时间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≤ 4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小时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18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分钟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超额达成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7×24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小时智能监控平台与自动化告警系统高效运行，确保运维团队能在第一时间发现并介入处理潜在问题。</w:t>
            </w:r>
          </w:p>
        </w:tc>
      </w:tr>
      <w:tr w:rsidR="002B3245">
        <w:tc>
          <w:tcPr>
            <w:tcW w:w="120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故障平均恢复时间</w:t>
            </w:r>
          </w:p>
        </w:tc>
        <w:tc>
          <w:tcPr>
            <w:tcW w:w="8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≤ 24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小时</w:t>
            </w:r>
          </w:p>
        </w:tc>
        <w:tc>
          <w:tcPr>
            <w:tcW w:w="166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2.3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小时（核心业务）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超额达成</w:t>
            </w:r>
          </w:p>
        </w:tc>
        <w:tc>
          <w:tcPr>
            <w:tcW w:w="469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2B3245" w:rsidRDefault="00227883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完善的应急预案与熟练的运维操作，确保了在偶发异常情况下能快速定位并恢复服务，最大程度缩短了业务影响时长。</w:t>
            </w:r>
          </w:p>
        </w:tc>
      </w:tr>
    </w:tbl>
    <w:p w:rsidR="002B3245" w:rsidRDefault="00227883">
      <w:pPr>
        <w:pStyle w:val="11"/>
      </w:pPr>
      <w:bookmarkStart w:id="4" w:name="_Toc18977"/>
      <w:proofErr w:type="spellStart"/>
      <w:r>
        <w:rPr>
          <w:rFonts w:hint="eastAsia"/>
        </w:rPr>
        <w:t>关键运维活动与持续优化</w:t>
      </w:r>
      <w:bookmarkEnd w:id="4"/>
      <w:proofErr w:type="spellEnd"/>
    </w:p>
    <w:p w:rsidR="002B3245" w:rsidRDefault="00227883">
      <w:pPr>
        <w:pStyle w:val="21"/>
      </w:pPr>
      <w:bookmarkStart w:id="5" w:name="_Toc29939"/>
      <w:proofErr w:type="spellStart"/>
      <w:r>
        <w:rPr>
          <w:rFonts w:hint="eastAsia"/>
        </w:rPr>
        <w:t>预防性维护与系统增强</w:t>
      </w:r>
      <w:bookmarkEnd w:id="5"/>
      <w:proofErr w:type="spellEnd"/>
    </w:p>
    <w:p w:rsidR="002B3245" w:rsidRDefault="00227883">
      <w:pPr>
        <w:pStyle w:val="af"/>
      </w:pPr>
      <w:r>
        <w:rPr>
          <w:rFonts w:hint="eastAsia"/>
        </w:rPr>
        <w:t>截止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B96B2D"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计划成功执行了预定的维护窗口，核心工作包括：</w:t>
      </w:r>
    </w:p>
    <w:p w:rsidR="002B3245" w:rsidRDefault="00227883">
      <w:pPr>
        <w:pStyle w:val="af"/>
        <w:numPr>
          <w:ilvl w:val="0"/>
          <w:numId w:val="2"/>
        </w:numPr>
      </w:pPr>
      <w:r>
        <w:rPr>
          <w:rFonts w:hint="eastAsia"/>
        </w:rPr>
        <w:t>安全加固：</w:t>
      </w:r>
      <w:r>
        <w:rPr>
          <w:rFonts w:hint="eastAsia"/>
        </w:rPr>
        <w:t xml:space="preserve"> </w:t>
      </w:r>
      <w:r>
        <w:rPr>
          <w:rFonts w:hint="eastAsia"/>
        </w:rPr>
        <w:t>按时完成所有高危安全补丁的部署，系统全年无安全漏洞相关事件。</w:t>
      </w:r>
    </w:p>
    <w:p w:rsidR="002B3245" w:rsidRDefault="00227883">
      <w:pPr>
        <w:pStyle w:val="af"/>
        <w:numPr>
          <w:ilvl w:val="0"/>
          <w:numId w:val="2"/>
        </w:numPr>
      </w:pPr>
      <w:r>
        <w:rPr>
          <w:rFonts w:hint="eastAsia"/>
        </w:rPr>
        <w:t>性能调优：</w:t>
      </w:r>
      <w:r>
        <w:rPr>
          <w:rFonts w:hint="eastAsia"/>
        </w:rPr>
        <w:t xml:space="preserve"> </w:t>
      </w:r>
      <w:r>
        <w:rPr>
          <w:rFonts w:hint="eastAsia"/>
        </w:rPr>
        <w:t>每季度对数据库及关键应用进行性能分析与优化，保障了在业务量增长下的系统响应速度。</w:t>
      </w:r>
    </w:p>
    <w:p w:rsidR="002B3245" w:rsidRDefault="00227883">
      <w:pPr>
        <w:pStyle w:val="af"/>
        <w:numPr>
          <w:ilvl w:val="0"/>
          <w:numId w:val="2"/>
        </w:numPr>
      </w:pPr>
      <w:r>
        <w:rPr>
          <w:rFonts w:hint="eastAsia"/>
        </w:rPr>
        <w:t>容量规划：根据业务增长趋势，提前完成了存储与服务器资源的扩容，避免了性能瓶颈。</w:t>
      </w:r>
    </w:p>
    <w:p w:rsidR="002B3245" w:rsidRDefault="00227883">
      <w:pPr>
        <w:pStyle w:val="21"/>
      </w:pPr>
      <w:bookmarkStart w:id="6" w:name="_Toc15659"/>
      <w:proofErr w:type="spellStart"/>
      <w:r>
        <w:rPr>
          <w:rFonts w:hint="eastAsia"/>
        </w:rPr>
        <w:t>监控与应急能力提升</w:t>
      </w:r>
      <w:bookmarkEnd w:id="6"/>
      <w:proofErr w:type="spellEnd"/>
    </w:p>
    <w:p w:rsidR="002B3245" w:rsidRDefault="00227883">
      <w:pPr>
        <w:pStyle w:val="af"/>
      </w:pPr>
      <w:r>
        <w:rPr>
          <w:rFonts w:hint="eastAsia"/>
        </w:rPr>
        <w:t>监控体系完善：实现了从基础设施到业务交易链路的</w:t>
      </w:r>
      <w:r>
        <w:rPr>
          <w:rFonts w:hint="eastAsia"/>
        </w:rPr>
        <w:t>100%</w:t>
      </w:r>
      <w:r>
        <w:rPr>
          <w:rFonts w:hint="eastAsia"/>
        </w:rPr>
        <w:t>监控覆盖，关键业务指标可视化看板已投入使用。</w:t>
      </w:r>
    </w:p>
    <w:p w:rsidR="002B3245" w:rsidRDefault="00227883">
      <w:pPr>
        <w:pStyle w:val="af"/>
      </w:pPr>
      <w:r>
        <w:rPr>
          <w:rFonts w:hint="eastAsia"/>
        </w:rPr>
        <w:t>应急演练成功：年中及年末两次模拟故障演练均圆满完成，验证了应急流程的有效性及团队的协同恢复能力，平均恢复时间（</w:t>
      </w:r>
      <w:r>
        <w:rPr>
          <w:rFonts w:hint="eastAsia"/>
        </w:rPr>
        <w:t>MTTR</w:t>
      </w:r>
      <w:r>
        <w:rPr>
          <w:rFonts w:hint="eastAsia"/>
        </w:rPr>
        <w:t>）较演练前缩短</w:t>
      </w:r>
      <w:r>
        <w:rPr>
          <w:rFonts w:hint="eastAsia"/>
        </w:rPr>
        <w:t>15%</w:t>
      </w:r>
      <w:r>
        <w:rPr>
          <w:rFonts w:hint="eastAsia"/>
        </w:rPr>
        <w:t>。</w:t>
      </w:r>
    </w:p>
    <w:p w:rsidR="002B3245" w:rsidRDefault="00227883">
      <w:pPr>
        <w:pStyle w:val="af"/>
      </w:pPr>
      <w:r>
        <w:rPr>
          <w:rFonts w:hint="eastAsia"/>
        </w:rPr>
        <w:t>服务知识</w:t>
      </w:r>
      <w:r>
        <w:rPr>
          <w:rFonts w:hint="eastAsia"/>
        </w:rPr>
        <w:t>沉淀：全年积累并归档典型运维案例</w:t>
      </w:r>
      <w:r>
        <w:rPr>
          <w:rFonts w:hint="eastAsia"/>
        </w:rPr>
        <w:t>17</w:t>
      </w:r>
      <w:r>
        <w:rPr>
          <w:rFonts w:hint="eastAsia"/>
        </w:rPr>
        <w:t>例，形成内部知识库，显著提升了团队排查与解决问题的效率。</w:t>
      </w:r>
    </w:p>
    <w:p w:rsidR="002B3245" w:rsidRDefault="00227883">
      <w:pPr>
        <w:pStyle w:val="11"/>
      </w:pPr>
      <w:bookmarkStart w:id="7" w:name="_Toc6313"/>
      <w:proofErr w:type="spellStart"/>
      <w:r>
        <w:rPr>
          <w:rFonts w:hint="eastAsia"/>
        </w:rPr>
        <w:lastRenderedPageBreak/>
        <w:t>业务支撑成效</w:t>
      </w:r>
      <w:bookmarkEnd w:id="7"/>
      <w:proofErr w:type="spellEnd"/>
    </w:p>
    <w:p w:rsidR="002B3245" w:rsidRDefault="00227883">
      <w:pPr>
        <w:pStyle w:val="af"/>
      </w:pPr>
      <w:r>
        <w:rPr>
          <w:rFonts w:hint="eastAsia"/>
        </w:rPr>
        <w:t>服务规模：自助服务终端累计受理业务超</w:t>
      </w:r>
      <w:r>
        <w:rPr>
          <w:rFonts w:hint="eastAsia"/>
        </w:rPr>
        <w:t xml:space="preserve"> 85</w:t>
      </w:r>
      <w:r>
        <w:rPr>
          <w:rFonts w:hint="eastAsia"/>
        </w:rPr>
        <w:t>万笔，已成为患者办理挂号、缴费、查询等业务的首选渠道，窗口排队压力显著缓解。</w:t>
      </w:r>
    </w:p>
    <w:p w:rsidR="002B3245" w:rsidRDefault="00227883">
      <w:pPr>
        <w:pStyle w:val="af"/>
      </w:pPr>
      <w:r>
        <w:rPr>
          <w:rFonts w:hint="eastAsia"/>
        </w:rPr>
        <w:t>交易可靠性：核</w:t>
      </w:r>
      <w:r>
        <w:rPr>
          <w:rFonts w:hint="eastAsia"/>
        </w:rPr>
        <w:t>心支付与结算业务平均交易成功率达</w:t>
      </w:r>
      <w:r>
        <w:rPr>
          <w:rFonts w:hint="eastAsia"/>
        </w:rPr>
        <w:t xml:space="preserve"> 99.89%</w:t>
      </w:r>
      <w:r>
        <w:rPr>
          <w:rFonts w:hint="eastAsia"/>
        </w:rPr>
        <w:t>，资金流处理准确无误。</w:t>
      </w:r>
    </w:p>
    <w:p w:rsidR="002B3245" w:rsidRDefault="00227883">
      <w:pPr>
        <w:pStyle w:val="af"/>
      </w:pPr>
      <w:r>
        <w:rPr>
          <w:rFonts w:hint="eastAsia"/>
        </w:rPr>
        <w:t>用户认可：系统稳定、便捷的操作体验获得了医护人员与患者的广泛好评，年度服务满意度调查得分持续提升。</w:t>
      </w:r>
    </w:p>
    <w:p w:rsidR="002B3245" w:rsidRDefault="00227883">
      <w:pPr>
        <w:pStyle w:val="11"/>
      </w:pPr>
      <w:bookmarkStart w:id="8" w:name="_Toc32556"/>
      <w:r>
        <w:rPr>
          <w:rFonts w:hint="eastAsia"/>
        </w:rPr>
        <w:t>改进建议与</w:t>
      </w:r>
      <w:r>
        <w:rPr>
          <w:rFonts w:hint="eastAsia"/>
        </w:rPr>
        <w:t>2026</w:t>
      </w:r>
      <w:r>
        <w:rPr>
          <w:rFonts w:hint="eastAsia"/>
        </w:rPr>
        <w:t>年重点计划</w:t>
      </w:r>
      <w:bookmarkEnd w:id="8"/>
    </w:p>
    <w:p w:rsidR="002B3245" w:rsidRDefault="00227883">
      <w:pPr>
        <w:pStyle w:val="af"/>
      </w:pPr>
      <w:r>
        <w:rPr>
          <w:rFonts w:hint="eastAsia"/>
        </w:rPr>
        <w:t>为持续提升系统韧性与服务品质，计划在</w:t>
      </w:r>
      <w:r>
        <w:rPr>
          <w:rFonts w:hint="eastAsia"/>
        </w:rPr>
        <w:t>2026</w:t>
      </w:r>
      <w:r>
        <w:rPr>
          <w:rFonts w:hint="eastAsia"/>
        </w:rPr>
        <w:t>年重点推进以下工作：</w:t>
      </w:r>
    </w:p>
    <w:p w:rsidR="002B3245" w:rsidRDefault="00227883">
      <w:pPr>
        <w:pStyle w:val="af"/>
        <w:numPr>
          <w:ilvl w:val="0"/>
          <w:numId w:val="3"/>
        </w:numPr>
      </w:pPr>
      <w:r>
        <w:rPr>
          <w:rFonts w:hint="eastAsia"/>
        </w:rPr>
        <w:t>向高可用架构演进：</w:t>
      </w:r>
      <w:r>
        <w:rPr>
          <w:rFonts w:hint="eastAsia"/>
        </w:rPr>
        <w:t xml:space="preserve"> </w:t>
      </w:r>
      <w:r>
        <w:rPr>
          <w:rFonts w:hint="eastAsia"/>
        </w:rPr>
        <w:t>探索并规划对核心支付网关等模块实施双活或集群化部署，目标将系统可用性提升至</w:t>
      </w:r>
      <w:r>
        <w:rPr>
          <w:rFonts w:hint="eastAsia"/>
        </w:rPr>
        <w:t>99.9%</w:t>
      </w:r>
      <w:r>
        <w:rPr>
          <w:rFonts w:hint="eastAsia"/>
        </w:rPr>
        <w:t>以上。</w:t>
      </w:r>
    </w:p>
    <w:p w:rsidR="002B3245" w:rsidRDefault="00227883">
      <w:pPr>
        <w:pStyle w:val="af"/>
        <w:numPr>
          <w:ilvl w:val="0"/>
          <w:numId w:val="3"/>
        </w:numPr>
      </w:pPr>
      <w:r>
        <w:rPr>
          <w:rFonts w:hint="eastAsia"/>
        </w:rPr>
        <w:t>智能化运维探索：引入</w:t>
      </w:r>
      <w:proofErr w:type="spellStart"/>
      <w:r>
        <w:rPr>
          <w:rFonts w:hint="eastAsia"/>
        </w:rPr>
        <w:t>AIOps</w:t>
      </w:r>
      <w:proofErr w:type="spellEnd"/>
      <w:r>
        <w:rPr>
          <w:rFonts w:hint="eastAsia"/>
        </w:rPr>
        <w:t>理念，尝试对日志与性能数据进行智能分析，实现潜在故障的预测性告警。</w:t>
      </w:r>
    </w:p>
    <w:p w:rsidR="002B3245" w:rsidRDefault="00227883">
      <w:pPr>
        <w:pStyle w:val="af"/>
        <w:numPr>
          <w:ilvl w:val="0"/>
          <w:numId w:val="3"/>
        </w:numPr>
      </w:pPr>
      <w:r>
        <w:rPr>
          <w:rFonts w:hint="eastAsia"/>
        </w:rPr>
        <w:t>容灾能力验证：计划开展一次全业务链路</w:t>
      </w:r>
      <w:r>
        <w:rPr>
          <w:rFonts w:hint="eastAsia"/>
        </w:rPr>
        <w:t>的同城容灾切换演练，全面提升系统应对极端情况的能力。</w:t>
      </w:r>
      <w:bookmarkStart w:id="9" w:name="_GoBack"/>
      <w:bookmarkEnd w:id="9"/>
    </w:p>
    <w:p w:rsidR="002B3245" w:rsidRDefault="00227883">
      <w:pPr>
        <w:pStyle w:val="af"/>
        <w:numPr>
          <w:ilvl w:val="0"/>
          <w:numId w:val="3"/>
        </w:numPr>
      </w:pPr>
      <w:r>
        <w:rPr>
          <w:rFonts w:hint="eastAsia"/>
        </w:rPr>
        <w:t>服务体验优化：基于运行数据，进一步优化自助终端操作界面与交易流程，缩短单笔业务处理时间。</w:t>
      </w:r>
    </w:p>
    <w:p w:rsidR="002B3245" w:rsidRDefault="00227883">
      <w:pPr>
        <w:pStyle w:val="11"/>
      </w:pPr>
      <w:bookmarkStart w:id="10" w:name="_Toc24671"/>
      <w:proofErr w:type="spellStart"/>
      <w:r>
        <w:rPr>
          <w:rFonts w:hint="eastAsia"/>
        </w:rPr>
        <w:t>结论</w:t>
      </w:r>
      <w:bookmarkEnd w:id="10"/>
      <w:proofErr w:type="spellEnd"/>
    </w:p>
    <w:p w:rsidR="002B3245" w:rsidRDefault="00227883" w:rsidP="002B3245">
      <w:pPr>
        <w:pStyle w:val="ad"/>
        <w:ind w:firstLine="480"/>
      </w:pPr>
      <w:r>
        <w:rPr>
          <w:rFonts w:hint="eastAsia"/>
        </w:rPr>
        <w:t>2025</w:t>
      </w:r>
      <w:r>
        <w:rPr>
          <w:rFonts w:hint="eastAsia"/>
        </w:rPr>
        <w:t>年度，临夏回族自治州中医医院“智慧银医”项目以高可用、高可靠的运行状态，圆满完成了年度服务目标。系统可用性高达</w:t>
      </w:r>
      <w:r>
        <w:rPr>
          <w:rFonts w:hint="eastAsia"/>
        </w:rPr>
        <w:t>99.73%</w:t>
      </w:r>
      <w:r>
        <w:rPr>
          <w:rFonts w:hint="eastAsia"/>
        </w:rPr>
        <w:t>，远超</w:t>
      </w:r>
      <w:r>
        <w:rPr>
          <w:rFonts w:hint="eastAsia"/>
        </w:rPr>
        <w:t>99%</w:t>
      </w:r>
      <w:r>
        <w:rPr>
          <w:rFonts w:hint="eastAsia"/>
        </w:rPr>
        <w:t>的既定标准，为医院智慧服务建设提供了坚实的技术基石。展望</w:t>
      </w:r>
      <w:r>
        <w:rPr>
          <w:rFonts w:hint="eastAsia"/>
        </w:rPr>
        <w:t>2026</w:t>
      </w:r>
      <w:r>
        <w:rPr>
          <w:rFonts w:hint="eastAsia"/>
        </w:rPr>
        <w:t>年，江苏云储智能科技有限公司将继续秉持精益求精的态度，通过技术升级与服务优化，助力医院信息化水平再上新台阶。</w:t>
      </w:r>
    </w:p>
    <w:sectPr w:rsidR="002B3245" w:rsidSect="002B3245">
      <w:pgSz w:w="11906" w:h="16838"/>
      <w:pgMar w:top="1431" w:right="1076" w:bottom="1327" w:left="1087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6168AC5"/>
    <w:multiLevelType w:val="singleLevel"/>
    <w:tmpl w:val="E6168A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C5605C3"/>
    <w:multiLevelType w:val="singleLevel"/>
    <w:tmpl w:val="6C5605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</w:compat>
  <w:rsids>
    <w:rsidRoot w:val="002B3245"/>
    <w:rsid w:val="002B3245"/>
    <w:rsid w:val="006C6F64"/>
    <w:rsid w:val="00861382"/>
    <w:rsid w:val="00B96B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B3245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rsid w:val="002B3245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2B3245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2B3245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2B3245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2B3245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2B3245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2B3245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2B3245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2B3245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2B3245"/>
  </w:style>
  <w:style w:type="paragraph" w:styleId="a4">
    <w:name w:val="Body Text"/>
    <w:basedOn w:val="a"/>
    <w:semiHidden/>
    <w:qFormat/>
    <w:rsid w:val="002B3245"/>
    <w:rPr>
      <w:rFonts w:eastAsia="Arial"/>
    </w:rPr>
  </w:style>
  <w:style w:type="paragraph" w:styleId="30">
    <w:name w:val="toc 3"/>
    <w:basedOn w:val="a"/>
    <w:next w:val="a"/>
    <w:qFormat/>
    <w:rsid w:val="002B3245"/>
    <w:pPr>
      <w:ind w:leftChars="400" w:left="840"/>
    </w:pPr>
  </w:style>
  <w:style w:type="paragraph" w:styleId="a5">
    <w:name w:val="footer"/>
    <w:basedOn w:val="a"/>
    <w:qFormat/>
    <w:rsid w:val="002B3245"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rsid w:val="002B3245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2B3245"/>
    <w:rPr>
      <w:rFonts w:eastAsia="Microsoft JhengHei"/>
      <w:sz w:val="24"/>
    </w:rPr>
  </w:style>
  <w:style w:type="paragraph" w:styleId="20">
    <w:name w:val="toc 2"/>
    <w:basedOn w:val="a"/>
    <w:next w:val="a"/>
    <w:qFormat/>
    <w:rsid w:val="002B3245"/>
    <w:pPr>
      <w:ind w:leftChars="200" w:left="420"/>
    </w:pPr>
  </w:style>
  <w:style w:type="paragraph" w:styleId="a7">
    <w:name w:val="Normal (Web)"/>
    <w:basedOn w:val="a"/>
    <w:qFormat/>
    <w:rsid w:val="002B3245"/>
    <w:rPr>
      <w:sz w:val="24"/>
    </w:rPr>
  </w:style>
  <w:style w:type="paragraph" w:styleId="a8">
    <w:name w:val="Title"/>
    <w:basedOn w:val="a"/>
    <w:qFormat/>
    <w:rsid w:val="002B3245"/>
    <w:pPr>
      <w:jc w:val="center"/>
      <w:outlineLvl w:val="0"/>
    </w:pPr>
    <w:rPr>
      <w:b/>
      <w:sz w:val="32"/>
    </w:rPr>
  </w:style>
  <w:style w:type="table" w:styleId="a9">
    <w:name w:val="Table Grid"/>
    <w:basedOn w:val="a1"/>
    <w:qFormat/>
    <w:rsid w:val="002B324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qFormat/>
    <w:rsid w:val="002B3245"/>
    <w:rPr>
      <w:b/>
    </w:rPr>
  </w:style>
  <w:style w:type="table" w:customStyle="1" w:styleId="TableNormal0">
    <w:name w:val="Table Normal_0"/>
    <w:semiHidden/>
    <w:unhideWhenUsed/>
    <w:qFormat/>
    <w:rsid w:val="002B324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2B3245"/>
    <w:rPr>
      <w:rFonts w:ascii="宋体" w:hAnsi="宋体" w:cs="宋体"/>
    </w:rPr>
  </w:style>
  <w:style w:type="paragraph" w:customStyle="1" w:styleId="ab">
    <w:name w:val="柴_公司名"/>
    <w:basedOn w:val="a8"/>
    <w:qFormat/>
    <w:rsid w:val="002B3245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rsid w:val="002B3245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1">
    <w:name w:val="柴_标题1"/>
    <w:basedOn w:val="1"/>
    <w:next w:val="ad"/>
    <w:link w:val="1Char"/>
    <w:qFormat/>
    <w:rsid w:val="002B3245"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rsid w:val="002B3245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d"/>
    <w:qFormat/>
    <w:rsid w:val="002B3245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d"/>
    <w:qFormat/>
    <w:rsid w:val="002B3245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rsid w:val="002B3245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  <w:rsid w:val="002B3245"/>
  </w:style>
  <w:style w:type="paragraph" w:customStyle="1" w:styleId="WPSOffice2">
    <w:name w:val="WPSOffice手动目录 2"/>
    <w:qFormat/>
    <w:rsid w:val="002B3245"/>
    <w:pPr>
      <w:ind w:leftChars="200" w:left="200"/>
    </w:pPr>
  </w:style>
  <w:style w:type="paragraph" w:customStyle="1" w:styleId="WPSOffice3">
    <w:name w:val="WPSOffice手动目录 3"/>
    <w:qFormat/>
    <w:rsid w:val="002B3245"/>
    <w:pPr>
      <w:ind w:leftChars="400" w:left="400"/>
    </w:pPr>
  </w:style>
  <w:style w:type="paragraph" w:customStyle="1" w:styleId="Compact">
    <w:name w:val="Compact"/>
    <w:basedOn w:val="a4"/>
    <w:qFormat/>
    <w:rsid w:val="002B3245"/>
    <w:pPr>
      <w:spacing w:before="36" w:after="36"/>
    </w:pPr>
  </w:style>
  <w:style w:type="table" w:customStyle="1" w:styleId="Table">
    <w:name w:val="Table"/>
    <w:semiHidden/>
    <w:unhideWhenUsed/>
    <w:qFormat/>
    <w:rsid w:val="002B3245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1"/>
    <w:qFormat/>
    <w:rsid w:val="002B3245"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sid w:val="002B3245"/>
    <w:rPr>
      <w:sz w:val="24"/>
      <w:lang w:eastAsia="zh-CN"/>
    </w:rPr>
  </w:style>
  <w:style w:type="paragraph" w:customStyle="1" w:styleId="40">
    <w:name w:val="柴_标题4"/>
    <w:basedOn w:val="4"/>
    <w:next w:val="a"/>
    <w:qFormat/>
    <w:rsid w:val="002B3245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sid w:val="002B3245"/>
    <w:rPr>
      <w:rFonts w:ascii="Arial" w:eastAsia="宋体" w:hAnsi="Arial"/>
      <w:sz w:val="24"/>
      <w:lang w:eastAsia="zh-CN"/>
    </w:rPr>
  </w:style>
  <w:style w:type="table" w:customStyle="1" w:styleId="TableNormal1">
    <w:name w:val="Table Normal_1"/>
    <w:semiHidden/>
    <w:unhideWhenUsed/>
    <w:qFormat/>
    <w:rsid w:val="002B324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_2"/>
    <w:semiHidden/>
    <w:unhideWhenUsed/>
    <w:qFormat/>
    <w:rsid w:val="002B324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alloon Text"/>
    <w:basedOn w:val="a"/>
    <w:link w:val="Char0"/>
    <w:rsid w:val="00B96B2D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f0"/>
    <w:rsid w:val="00B96B2D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Administrator</cp:lastModifiedBy>
  <cp:revision>4</cp:revision>
  <dcterms:created xsi:type="dcterms:W3CDTF">2025-08-21T09:28:00Z</dcterms:created>
  <dcterms:modified xsi:type="dcterms:W3CDTF">2026-03-30T06:57:00Z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03FC1D43EDCA4F5BBA17BEC7C57D6B1F_12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