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bidi w:val="0"/>
        <w:rPr>
          <w:rFonts w:hint="eastAsia"/>
          <w:lang w:val="en-US" w:eastAsia="zh-CN"/>
        </w:rPr>
      </w:pPr>
      <w:bookmarkStart w:id="0" w:name="_Toc26282"/>
    </w:p>
    <w:p>
      <w:pPr>
        <w:pStyle w:val="a1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服务数据管理制度</w:t>
      </w:r>
      <w:bookmarkEnd w:id="0"/>
    </w:p>
    <w:p>
      <w:pPr>
        <w:pStyle w:val="a2"/>
        <w:bidi w:val="0"/>
      </w:pPr>
      <w:bookmarkStart w:id="1" w:name="_Toc3614"/>
      <w:r>
        <w:t>江苏云储智能科技有限公司</w:t>
      </w:r>
      <w:bookmarkEnd w:id="1"/>
    </w:p>
    <w:p>
      <w:pPr>
        <w:spacing w:before="275"/>
        <w:ind w:left="3285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spacing w:val="-2"/>
          <w:sz w:val="36"/>
          <w:szCs w:val="36"/>
        </w:rPr>
        <w:t>202</w:t>
      </w:r>
      <w:r>
        <w:rPr>
          <w:rFonts w:ascii="宋体" w:eastAsia="宋体" w:hAnsi="宋体" w:cs="宋体" w:hint="eastAsia"/>
          <w:spacing w:val="-2"/>
          <w:sz w:val="36"/>
          <w:szCs w:val="36"/>
          <w:lang w:val="en-US" w:eastAsia="zh-CN"/>
        </w:rPr>
        <w:t>5</w:t>
      </w:r>
      <w:r>
        <w:rPr>
          <w:rFonts w:ascii="宋体" w:eastAsia="宋体" w:hAnsi="宋体" w:cs="宋体"/>
          <w:spacing w:val="-2"/>
          <w:sz w:val="36"/>
          <w:szCs w:val="36"/>
        </w:rPr>
        <w:t>-01-04</w:t>
      </w:r>
    </w:p>
    <w:p>
      <w:pPr>
        <w:rPr>
          <w:rFonts w:ascii="宋体" w:eastAsia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num="1" w:space="720"/>
        </w:sectPr>
      </w:pPr>
    </w:p>
    <w:p>
      <w:pPr>
        <w:spacing w:before="69" w:line="220" w:lineRule="auto"/>
        <w:ind w:left="3954"/>
        <w:outlineLvl w:val="0"/>
        <w:rPr>
          <w:rFonts w:ascii="宋体" w:eastAsia="宋体" w:hAnsi="宋体" w:cs="宋体"/>
          <w:sz w:val="21"/>
          <w:szCs w:val="21"/>
        </w:rPr>
      </w:pPr>
      <w:bookmarkStart w:id="2" w:name="_Toc984"/>
      <w:r>
        <w:rPr>
          <w:rFonts w:ascii="宋体" w:eastAsia="宋体" w:hAnsi="宋体" w:cs="宋体"/>
          <w:spacing w:val="-2"/>
          <w:sz w:val="21"/>
          <w:szCs w:val="21"/>
        </w:rPr>
        <w:t>文档信息</w:t>
      </w:r>
      <w:bookmarkEnd w:id="2"/>
    </w:p>
    <w:p>
      <w:pPr>
        <w:spacing w:line="16" w:lineRule="exact"/>
      </w:pPr>
    </w:p>
    <w:tbl>
      <w:tblPr>
        <w:tblStyle w:val="TableNormal0"/>
        <w:tblW w:w="7937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0"/>
        <w:gridCol w:w="1361"/>
        <w:gridCol w:w="2014"/>
        <w:gridCol w:w="1363"/>
        <w:gridCol w:w="1709"/>
      </w:tblGrid>
      <w:tr>
        <w:tblPrEx>
          <w:tblW w:w="7937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704" w:type="dxa"/>
          </w:tcPr>
          <w:p>
            <w:pPr>
              <w:pStyle w:val="TableText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>
            <w:pPr>
              <w:pStyle w:val="TableText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服务数据管理制度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FWSJGL</w:t>
            </w:r>
            <w:r>
              <w:rPr>
                <w:spacing w:val="-1"/>
              </w:rPr>
              <w:t>）</w:t>
            </w:r>
          </w:p>
        </w:tc>
      </w:tr>
      <w:tr>
        <w:tblPrEx>
          <w:tblW w:w="793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pStyle w:val="TableText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>
            <w:pPr>
              <w:pStyle w:val="TableText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>
        <w:tblPrEx>
          <w:tblW w:w="793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704" w:type="dxa"/>
          </w:tcPr>
          <w:p>
            <w:pPr>
              <w:pStyle w:val="TableText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>
            <w:pPr>
              <w:pStyle w:val="TableText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>
            <w:pPr>
              <w:pStyle w:val="TableText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>
            <w:pPr>
              <w:pStyle w:val="TableText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>
            <w:pPr>
              <w:pStyle w:val="TableText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>
        <w:tblPrEx>
          <w:tblW w:w="793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>
            <w:pPr>
              <w:pStyle w:val="TableText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2302" w:type="dxa"/>
          </w:tcPr>
          <w:p>
            <w:pPr>
              <w:pStyle w:val="TableText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>
            <w:pPr>
              <w:pStyle w:val="TableText"/>
              <w:spacing w:before="134" w:line="220" w:lineRule="auto"/>
              <w:ind w:left="480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唐雪珊</w:t>
            </w:r>
          </w:p>
        </w:tc>
        <w:tc>
          <w:tcPr>
            <w:tcW w:w="1953" w:type="dxa"/>
          </w:tcPr>
          <w:p>
            <w:pPr>
              <w:pStyle w:val="TableText"/>
              <w:spacing w:before="133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>
        <w:tblPrEx>
          <w:tblW w:w="793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4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spacing w:before="134" w:line="220" w:lineRule="auto"/>
              <w:ind w:left="672"/>
            </w:pPr>
          </w:p>
        </w:tc>
      </w:tr>
      <w:tr>
        <w:tblPrEx>
          <w:tblW w:w="793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5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spacing w:before="135" w:line="220" w:lineRule="auto"/>
              <w:ind w:left="672"/>
            </w:pPr>
          </w:p>
        </w:tc>
      </w:tr>
      <w:tr>
        <w:tblPrEx>
          <w:tblW w:w="793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6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spacing w:before="136" w:line="220" w:lineRule="auto"/>
              <w:ind w:left="672"/>
            </w:pPr>
          </w:p>
        </w:tc>
      </w:tr>
      <w:tr>
        <w:tblPrEx>
          <w:tblW w:w="793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ascii="Segoe UI" w:eastAsia="Segoe UI" w:hAnsi="Segoe UI" w:cs="Segoe UI" w:hint="default"/>
          <w:i w:val="0"/>
          <w:iCs w:val="0"/>
          <w:caps w:val="0"/>
          <w:color w:val="404040"/>
          <w:spacing w:val="0"/>
          <w:sz w:val="19"/>
          <w:szCs w:val="19"/>
        </w:rPr>
      </w:pPr>
    </w:p>
    <w:p>
      <w:pPr>
        <w:rPr>
          <w:rFonts w:ascii="宋体" w:eastAsia="宋体" w:hAnsi="宋体" w:cstheme="minorBidi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theme="minorBidi"/>
          <w:kern w:val="2"/>
          <w:sz w:val="21"/>
          <w:szCs w:val="24"/>
          <w:lang w:val="en-US" w:eastAsia="zh-CN" w:bidi="ar-SA"/>
        </w:rPr>
        <w:br w:type="page"/>
      </w:r>
    </w:p>
    <w:sdt>
      <w:sdtPr>
        <w:rPr>
          <w:rFonts w:ascii="宋体" w:eastAsia="宋体" w:hAnsi="宋体" w:cstheme="minorBidi"/>
          <w:kern w:val="2"/>
          <w:sz w:val="21"/>
          <w:szCs w:val="24"/>
          <w:lang w:val="en-US" w:eastAsia="zh-CN" w:bidi="ar-SA"/>
        </w:rPr>
        <w:id w:val="147479644"/>
        <w:docPartObj>
          <w:docPartGallery w:val="Table of Contents"/>
          <w:docPartUnique/>
        </w:docPartObj>
      </w:sdtPr>
      <w:sdtEndPr>
        <w:rPr>
          <w:rFonts w:ascii="Microsoft JhengHei" w:eastAsia="Microsoft JhengHei" w:hAnsi="Microsoft JhengHei" w:cs="Microsoft JhengHei" w:hint="eastAsia"/>
          <w:kern w:val="2"/>
          <w:sz w:val="24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TOC \o "1-2" \h \u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_Toc26282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_Toc26282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_Toc3614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_Toc3614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_Toc984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ascii="宋体" w:eastAsia="宋体" w:hAnsi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_Toc984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_Toc29334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_Toc29334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_Toc14861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_Toc14861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_Toc24130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>3. 职责分工</w:t>
          </w:r>
          <w:r>
            <w:tab/>
          </w:r>
          <w:r>
            <w:fldChar w:fldCharType="begin"/>
          </w:r>
          <w:r>
            <w:instrText xml:space="preserve"> PAGEREF _Toc24130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_Toc8388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3.1. </w:t>
          </w:r>
          <w:r>
            <w:rPr>
              <w:rFonts w:hint="eastAsia"/>
              <w:szCs w:val="24"/>
              <w:lang w:val="en-US" w:eastAsia="zh-CN"/>
            </w:rPr>
            <w:t>总经理</w:t>
          </w:r>
          <w:r>
            <w:tab/>
          </w:r>
          <w:r>
            <w:fldChar w:fldCharType="begin"/>
          </w:r>
          <w:r>
            <w:instrText xml:space="preserve"> PAGEREF _Toc8388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_Toc12048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eastAsia="宋体" w:hint="default"/>
              <w:szCs w:val="24"/>
              <w:lang w:val="en-US" w:eastAsia="zh-CN"/>
            </w:rPr>
            <w:t xml:space="preserve">3.2. </w:t>
          </w:r>
          <w:r>
            <w:rPr>
              <w:rFonts w:hint="eastAsia"/>
              <w:szCs w:val="24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_Toc12048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_Toc6435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eastAsia="宋体" w:hint="default"/>
              <w:szCs w:val="24"/>
              <w:lang w:val="en-US" w:eastAsia="zh-CN"/>
            </w:rPr>
            <w:t xml:space="preserve">3.3. </w:t>
          </w:r>
          <w:r>
            <w:rPr>
              <w:rFonts w:hint="default"/>
              <w:szCs w:val="24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_Toc6435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_Toc6324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数据分类、分级</w:t>
          </w:r>
          <w:r>
            <w:tab/>
          </w:r>
          <w:r>
            <w:fldChar w:fldCharType="begin"/>
          </w:r>
          <w:r>
            <w:instrText xml:space="preserve"> PAGEREF _Toc6324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_Toc10901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数据生命周期管理</w:t>
          </w:r>
          <w:r>
            <w:tab/>
          </w:r>
          <w:r>
            <w:fldChar w:fldCharType="begin"/>
          </w:r>
          <w:r>
            <w:instrText xml:space="preserve"> PAGEREF _Toc10901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_Toc9577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管理要求</w:t>
          </w:r>
          <w:r>
            <w:tab/>
          </w:r>
          <w:r>
            <w:fldChar w:fldCharType="begin"/>
          </w:r>
          <w:r>
            <w:instrText xml:space="preserve"> PAGEREF _Toc9577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_Toc15606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关键指标</w:t>
          </w:r>
          <w:r>
            <w:tab/>
          </w:r>
          <w:r>
            <w:fldChar w:fldCharType="begin"/>
          </w:r>
          <w:r>
            <w:instrText xml:space="preserve"> PAGEREF _Toc15606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_Toc20965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相关记录文件</w:t>
          </w:r>
          <w:r>
            <w:tab/>
          </w:r>
          <w:r>
            <w:fldChar w:fldCharType="begin"/>
          </w:r>
          <w:r>
            <w:instrText xml:space="preserve"> PAGEREF _Toc20965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bidi w:val="0"/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</w:sdtContent>
    </w:sdt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br w:type="page"/>
      </w:r>
    </w:p>
    <w:p>
      <w:pPr>
        <w:pStyle w:val="1"/>
        <w:bidi w:val="0"/>
        <w:rPr>
          <w:rFonts w:hint="default"/>
        </w:rPr>
      </w:pPr>
      <w:bookmarkStart w:id="3" w:name="_Toc29334"/>
      <w:r>
        <w:rPr>
          <w:rFonts w:hint="default"/>
        </w:rPr>
        <w:t>目的</w:t>
      </w:r>
      <w:bookmarkEnd w:id="3"/>
    </w:p>
    <w:p>
      <w:pPr>
        <w:pStyle w:val="a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本制度旨在规范IT服务过程中各类数据的全生命周期管理，确保数据的完整性、安全性和可用性，满足ITSS（信息技术服务标准）认证要求，提升IT服务质量和管理水平。</w:t>
      </w:r>
    </w:p>
    <w:p>
      <w:pPr>
        <w:pStyle w:val="1"/>
        <w:bidi w:val="0"/>
        <w:rPr>
          <w:rFonts w:hint="default"/>
        </w:rPr>
      </w:pPr>
      <w:bookmarkStart w:id="4" w:name="_Toc14861"/>
      <w:r>
        <w:rPr>
          <w:rFonts w:hint="default"/>
        </w:rPr>
        <w:t>适用范围</w:t>
      </w:r>
      <w:bookmarkEnd w:id="4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制度适用于公司IT服务过程中涉及的所有数据，包括但不限于：服务交付数据（SLA、工单记录）、运维监控数据（系统日志、性能数据）、配置管理数据（CMDB信息）、客户服务数据（客户信息、需求文档）、质量管理数据（KPI指标、客户满意度）</w:t>
      </w:r>
    </w:p>
    <w:p>
      <w:pPr>
        <w:pStyle w:val="1"/>
        <w:bidi w:val="0"/>
        <w:rPr>
          <w:rFonts w:hint="default"/>
        </w:rPr>
      </w:pPr>
      <w:bookmarkStart w:id="5" w:name="_Toc24130"/>
      <w:r>
        <w:rPr>
          <w:rFonts w:hint="default"/>
        </w:rPr>
        <w:t>职责分工</w:t>
      </w:r>
      <w:bookmarkEnd w:id="5"/>
    </w:p>
    <w:p>
      <w:pPr>
        <w:pStyle w:val="Heading2"/>
        <w:bidi w:val="0"/>
        <w:rPr>
          <w:rFonts w:hint="default"/>
          <w:sz w:val="24"/>
          <w:szCs w:val="24"/>
        </w:rPr>
      </w:pPr>
      <w:bookmarkStart w:id="6" w:name="_Toc8388"/>
      <w:r>
        <w:rPr>
          <w:rFonts w:hint="eastAsia"/>
          <w:sz w:val="24"/>
          <w:szCs w:val="24"/>
          <w:lang w:val="en-US" w:eastAsia="zh-CN"/>
        </w:rPr>
        <w:t>总经理</w:t>
      </w:r>
      <w:bookmarkEnd w:id="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负责制定数据管理策略，审批重大数据操作事项，监督数据安全管理</w:t>
      </w:r>
      <w:r>
        <w:rPr>
          <w:rFonts w:hint="eastAsia"/>
          <w:lang w:val="en-US" w:eastAsia="zh-CN"/>
        </w:rPr>
        <w:t>。</w:t>
      </w:r>
    </w:p>
    <w:p>
      <w:pPr>
        <w:pStyle w:val="Heading2"/>
        <w:bidi w:val="0"/>
        <w:rPr>
          <w:rFonts w:eastAsia="宋体" w:hint="default"/>
          <w:sz w:val="24"/>
          <w:szCs w:val="24"/>
          <w:lang w:val="en-US" w:eastAsia="zh-CN"/>
        </w:rPr>
      </w:pPr>
      <w:bookmarkStart w:id="7" w:name="_Toc12048"/>
      <w:r>
        <w:rPr>
          <w:rFonts w:hint="eastAsia"/>
          <w:sz w:val="24"/>
          <w:szCs w:val="24"/>
          <w:lang w:val="en-US" w:eastAsia="zh-CN"/>
        </w:rPr>
        <w:t>运维部</w:t>
      </w:r>
      <w:bookmarkEnd w:id="7"/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负责数据的采集、存储和维护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实施数据备份和恢复方案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确保数据采集的准确性和及时性</w:t>
      </w:r>
    </w:p>
    <w:p>
      <w:pPr>
        <w:pStyle w:val="Heading2"/>
        <w:bidi w:val="0"/>
        <w:rPr>
          <w:rFonts w:eastAsia="宋体" w:hint="eastAsia"/>
          <w:sz w:val="24"/>
          <w:szCs w:val="24"/>
          <w:lang w:val="en-US" w:eastAsia="zh-CN"/>
        </w:rPr>
      </w:pPr>
      <w:bookmarkStart w:id="8" w:name="_Toc6435"/>
      <w:r>
        <w:rPr>
          <w:rFonts w:hint="default"/>
          <w:sz w:val="24"/>
          <w:szCs w:val="24"/>
        </w:rPr>
        <w:t>质量部</w:t>
      </w:r>
      <w:bookmarkEnd w:id="8"/>
    </w:p>
    <w:p>
      <w:pPr>
        <w:pStyle w:val="NormalWeb"/>
        <w:keepNext w:val="0"/>
        <w:keepLines w:val="0"/>
        <w:widowControl/>
        <w:numPr>
          <w:ilvl w:val="0"/>
          <w:numId w:val="3"/>
        </w:numPr>
        <w:suppressLineNumbers w:val="0"/>
        <w:shd w:val="clear" w:color="auto" w:fill="auto"/>
        <w:spacing w:before="165" w:beforeAutospacing="0" w:after="165" w:afterAutospacing="0" w:line="343" w:lineRule="atLeast"/>
        <w:ind w:left="425" w:right="0" w:hanging="425" w:leftChars="0" w:firstLineChars="0"/>
        <w:rPr>
          <w:rFonts w:ascii="宋体" w:eastAsia="宋体" w:hAnsi="宋体" w:cs="宋体" w:hint="default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kern w:val="2"/>
          <w:sz w:val="24"/>
          <w:szCs w:val="24"/>
          <w:lang w:val="en-US" w:eastAsia="zh-CN" w:bidi="ar-SA"/>
        </w:rPr>
        <w:t>监督数据质量管理</w:t>
      </w:r>
    </w:p>
    <w:p>
      <w:pPr>
        <w:pStyle w:val="NormalWeb"/>
        <w:keepNext w:val="0"/>
        <w:keepLines w:val="0"/>
        <w:widowControl/>
        <w:numPr>
          <w:ilvl w:val="0"/>
          <w:numId w:val="3"/>
        </w:numPr>
        <w:suppressLineNumbers w:val="0"/>
        <w:shd w:val="clear" w:color="auto" w:fill="auto"/>
        <w:spacing w:before="165" w:beforeAutospacing="0" w:after="165" w:afterAutospacing="0" w:line="343" w:lineRule="atLeast"/>
        <w:ind w:left="425" w:right="0" w:hanging="425" w:leftChars="0" w:firstLineChars="0"/>
        <w:rPr>
          <w:rFonts w:ascii="宋体" w:eastAsia="宋体" w:hAnsi="宋体" w:cs="宋体" w:hint="default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kern w:val="2"/>
          <w:sz w:val="24"/>
          <w:szCs w:val="24"/>
          <w:lang w:val="en-US" w:eastAsia="zh-CN" w:bidi="ar-SA"/>
        </w:rPr>
        <w:t>负责ITSS认证对接工作</w:t>
      </w:r>
    </w:p>
    <w:p>
      <w:pPr>
        <w:pStyle w:val="NormalWeb"/>
        <w:keepNext w:val="0"/>
        <w:keepLines w:val="0"/>
        <w:widowControl/>
        <w:numPr>
          <w:ilvl w:val="0"/>
          <w:numId w:val="3"/>
        </w:numPr>
        <w:suppressLineNumbers w:val="0"/>
        <w:shd w:val="clear" w:color="auto" w:fill="auto"/>
        <w:spacing w:before="165" w:beforeAutospacing="0" w:after="165" w:afterAutospacing="0" w:line="343" w:lineRule="atLeast"/>
        <w:ind w:left="425" w:right="0" w:hanging="425" w:leftChars="0" w:firstLineChars="0"/>
        <w:rPr>
          <w:rFonts w:ascii="宋体" w:eastAsia="宋体" w:hAnsi="宋体" w:cs="宋体" w:hint="default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kern w:val="2"/>
          <w:sz w:val="24"/>
          <w:szCs w:val="24"/>
          <w:lang w:val="en-US" w:eastAsia="zh-CN" w:bidi="ar-SA"/>
        </w:rPr>
        <w:t>推动数据管理持续改进</w:t>
      </w:r>
    </w:p>
    <w:p>
      <w:pPr>
        <w:rPr>
          <w:rFonts w:ascii="宋体" w:eastAsia="宋体" w:hAnsi="宋体" w:cs="宋体" w:hint="default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kern w:val="2"/>
          <w:sz w:val="24"/>
          <w:szCs w:val="24"/>
          <w:lang w:val="en-US" w:eastAsia="zh-CN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9" w:name="_Toc6324"/>
      <w:r>
        <w:rPr>
          <w:rFonts w:hint="eastAsia"/>
          <w:lang w:val="en-US" w:eastAsia="zh-CN"/>
        </w:rPr>
        <w:t>数据分类、分级</w:t>
      </w:r>
      <w:bookmarkEnd w:id="9"/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6829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数据分类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类别</w:t>
            </w:r>
          </w:p>
        </w:tc>
        <w:tc>
          <w:tcPr>
            <w:tcW w:w="6829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服务交付数据</w:t>
            </w:r>
          </w:p>
        </w:tc>
        <w:tc>
          <w:tcPr>
            <w:tcW w:w="6829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服务合同、SLA协议、工单记录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运维数据</w:t>
            </w:r>
          </w:p>
        </w:tc>
        <w:tc>
          <w:tcPr>
            <w:tcW w:w="6829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系统日志、监控数据、故障记录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配置数据</w:t>
            </w:r>
          </w:p>
        </w:tc>
        <w:tc>
          <w:tcPr>
            <w:tcW w:w="6829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CMDB信息、资产配置信息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客户数据</w:t>
            </w:r>
          </w:p>
        </w:tc>
        <w:tc>
          <w:tcPr>
            <w:tcW w:w="6829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客户信息、需求文档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质量数据</w:t>
            </w:r>
          </w:p>
        </w:tc>
        <w:tc>
          <w:tcPr>
            <w:tcW w:w="6829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KPI指标、客户满意度调查</w:t>
            </w:r>
          </w:p>
        </w:tc>
      </w:tr>
    </w:tbl>
    <w:p>
      <w:pPr>
        <w:rPr>
          <w:rFonts w:hint="default"/>
          <w:lang w:val="en-US" w:eastAsia="zh-CN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6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数据分级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术语</w:t>
            </w:r>
          </w:p>
        </w:tc>
        <w:tc>
          <w:tcPr>
            <w:tcW w:w="684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定义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机密级</w:t>
            </w:r>
          </w:p>
        </w:tc>
        <w:tc>
          <w:tcPr>
            <w:tcW w:w="684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涉及客户隐私，公司核心业务的敏感数据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重要级</w:t>
            </w:r>
          </w:p>
        </w:tc>
        <w:tc>
          <w:tcPr>
            <w:tcW w:w="684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日常运维、服务交付等关键数据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普通级</w:t>
            </w:r>
          </w:p>
        </w:tc>
        <w:tc>
          <w:tcPr>
            <w:tcW w:w="684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一般参考数据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10" w:name="_Toc10901"/>
      <w:r>
        <w:rPr>
          <w:rFonts w:hint="eastAsia"/>
          <w:lang w:val="en-US" w:eastAsia="zh-CN"/>
        </w:rPr>
        <w:t>数据生命周期管理</w:t>
      </w:r>
      <w:bookmarkEnd w:id="10"/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数据采集</w:t>
      </w:r>
    </w:p>
    <w:p>
      <w:pPr>
        <w:pStyle w:val="a3"/>
        <w:numPr>
          <w:ilvl w:val="0"/>
          <w:numId w:val="5"/>
        </w:numPr>
        <w:bidi w:val="0"/>
        <w:ind w:left="84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建立规范的数据采集流程</w:t>
      </w:r>
    </w:p>
    <w:p>
      <w:pPr>
        <w:pStyle w:val="a3"/>
        <w:numPr>
          <w:ilvl w:val="0"/>
          <w:numId w:val="5"/>
        </w:numPr>
        <w:bidi w:val="0"/>
        <w:ind w:left="84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自动化采集工作需要经过安全评估</w:t>
      </w:r>
    </w:p>
    <w:p>
      <w:pPr>
        <w:pStyle w:val="a3"/>
        <w:numPr>
          <w:ilvl w:val="0"/>
          <w:numId w:val="5"/>
        </w:numPr>
        <w:bidi w:val="0"/>
        <w:ind w:left="84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人工录入数据需要经过双重验证</w:t>
      </w:r>
    </w:p>
    <w:p>
      <w:pPr>
        <w:pStyle w:val="a3"/>
        <w:numPr>
          <w:ilvl w:val="0"/>
          <w:numId w:val="5"/>
        </w:numPr>
        <w:bidi w:val="0"/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确保数据来源的合法性和可靠性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</w:t>
      </w:r>
    </w:p>
    <w:p>
      <w:pPr>
        <w:pStyle w:val="a3"/>
        <w:numPr>
          <w:ilvl w:val="0"/>
          <w:numId w:val="6"/>
        </w:numPr>
        <w:bidi w:val="0"/>
        <w:ind w:left="84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核心业务数据必须存储在境内数据中心</w:t>
      </w:r>
    </w:p>
    <w:p>
      <w:pPr>
        <w:pStyle w:val="a3"/>
        <w:numPr>
          <w:ilvl w:val="0"/>
          <w:numId w:val="6"/>
        </w:numPr>
        <w:bidi w:val="0"/>
        <w:ind w:left="84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实施分级存储策略</w:t>
      </w:r>
    </w:p>
    <w:p>
      <w:pPr>
        <w:pStyle w:val="a3"/>
        <w:numPr>
          <w:ilvl w:val="0"/>
          <w:numId w:val="6"/>
        </w:numPr>
        <w:bidi w:val="0"/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建立完善的数据备份机制：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数据使用</w:t>
      </w:r>
    </w:p>
    <w:p>
      <w:pPr>
        <w:pStyle w:val="a3"/>
        <w:numPr>
          <w:ilvl w:val="0"/>
          <w:numId w:val="7"/>
        </w:numPr>
        <w:bidi w:val="0"/>
        <w:ind w:left="84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实施基于角色的访问控制（RBAC）</w:t>
      </w:r>
    </w:p>
    <w:p>
      <w:pPr>
        <w:pStyle w:val="a3"/>
        <w:numPr>
          <w:ilvl w:val="0"/>
          <w:numId w:val="7"/>
        </w:numPr>
        <w:bidi w:val="0"/>
        <w:ind w:left="845" w:hanging="425" w:leftChars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敏感数据访问需经过审批</w:t>
      </w:r>
    </w:p>
    <w:p>
      <w:pPr>
        <w:pStyle w:val="a3"/>
        <w:numPr>
          <w:ilvl w:val="0"/>
          <w:numId w:val="7"/>
        </w:numPr>
        <w:bidi w:val="0"/>
        <w:ind w:left="845" w:hanging="425" w:leftChars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记录所有数据访问操作日志</w:t>
      </w:r>
    </w:p>
    <w:p>
      <w:pPr>
        <w:pStyle w:val="NormalWeb"/>
        <w:keepNext w:val="0"/>
        <w:keepLines w:val="0"/>
        <w:widowControl/>
        <w:numPr>
          <w:ilvl w:val="0"/>
          <w:numId w:val="7"/>
        </w:numPr>
        <w:suppressLineNumbers w:val="0"/>
        <w:shd w:val="clear" w:color="auto" w:fill="auto"/>
        <w:spacing w:before="165" w:beforeAutospacing="0" w:after="165" w:afterAutospacing="0" w:line="343" w:lineRule="atLeast"/>
        <w:ind w:left="845" w:right="0" w:hanging="425" w:leftChars="0" w:firstLineChars="0"/>
        <w:rPr>
          <w:rFonts w:ascii="宋体" w:eastAsia="宋体" w:hAnsi="宋体" w:cs="宋体" w:hint="eastAsia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kern w:val="2"/>
          <w:sz w:val="24"/>
          <w:szCs w:val="24"/>
          <w:lang w:val="en-US" w:eastAsia="zh-CN" w:bidi="ar-SA"/>
        </w:rPr>
        <w:t>禁止未经授权的数据复制和传播</w:t>
      </w:r>
    </w:p>
    <w:p>
      <w:pPr>
        <w:pStyle w:val="NormalWeb"/>
        <w:keepNext w:val="0"/>
        <w:keepLines w:val="0"/>
        <w:widowControl/>
        <w:numPr>
          <w:ilvl w:val="0"/>
          <w:numId w:val="4"/>
        </w:numPr>
        <w:suppressLineNumbers w:val="0"/>
        <w:shd w:val="clear" w:color="auto" w:fill="auto"/>
        <w:spacing w:before="165" w:beforeAutospacing="0" w:after="165" w:afterAutospacing="0" w:line="343" w:lineRule="atLeast"/>
        <w:ind w:left="425" w:right="0" w:hanging="425" w:leftChars="0" w:firstLineChars="0"/>
        <w:rPr>
          <w:rFonts w:ascii="宋体" w:eastAsia="宋体" w:hAnsi="宋体" w:cs="宋体" w:hint="default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4"/>
          <w:szCs w:val="24"/>
          <w:lang w:val="en-US" w:eastAsia="zh-CN" w:bidi="ar-SA"/>
        </w:rPr>
        <w:t>数据共享</w:t>
      </w:r>
    </w:p>
    <w:p>
      <w:pPr>
        <w:pStyle w:val="NormalWeb"/>
        <w:keepNext w:val="0"/>
        <w:keepLines w:val="0"/>
        <w:widowControl/>
        <w:numPr>
          <w:ilvl w:val="0"/>
          <w:numId w:val="8"/>
        </w:numPr>
        <w:suppressLineNumbers w:val="0"/>
        <w:shd w:val="clear" w:color="auto" w:fill="auto"/>
        <w:spacing w:before="165" w:beforeAutospacing="0" w:after="165" w:afterAutospacing="0" w:line="343" w:lineRule="atLeast"/>
        <w:ind w:left="845" w:right="0" w:hanging="425" w:leftChars="0" w:firstLineChars="0"/>
        <w:rPr>
          <w:rFonts w:ascii="宋体" w:eastAsia="宋体" w:hAnsi="宋体" w:cs="宋体" w:hint="eastAsia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4"/>
          <w:szCs w:val="24"/>
          <w:lang w:val="en-US" w:eastAsia="zh-CN" w:bidi="ar-SA"/>
        </w:rPr>
        <w:t>内部共享需遵循最小必要原则</w:t>
      </w:r>
    </w:p>
    <w:p>
      <w:pPr>
        <w:pStyle w:val="NormalWeb"/>
        <w:keepNext w:val="0"/>
        <w:keepLines w:val="0"/>
        <w:widowControl/>
        <w:numPr>
          <w:ilvl w:val="0"/>
          <w:numId w:val="8"/>
        </w:numPr>
        <w:suppressLineNumbers w:val="0"/>
        <w:shd w:val="clear" w:color="auto" w:fill="auto"/>
        <w:spacing w:before="165" w:beforeAutospacing="0" w:after="165" w:afterAutospacing="0" w:line="343" w:lineRule="atLeast"/>
        <w:ind w:left="845" w:right="0" w:hanging="425" w:leftChars="0" w:firstLineChars="0"/>
        <w:rPr>
          <w:rFonts w:ascii="宋体" w:eastAsia="宋体" w:hAnsi="宋体" w:cs="宋体" w:hint="eastAsia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kern w:val="2"/>
          <w:sz w:val="24"/>
          <w:szCs w:val="24"/>
          <w:lang w:val="en-US" w:eastAsia="zh-CN" w:bidi="ar-SA"/>
        </w:rPr>
        <w:t>外部共享必须签订保密协议</w:t>
      </w:r>
    </w:p>
    <w:p>
      <w:pPr>
        <w:pStyle w:val="NormalWeb"/>
        <w:keepNext w:val="0"/>
        <w:keepLines w:val="0"/>
        <w:widowControl/>
        <w:numPr>
          <w:ilvl w:val="0"/>
          <w:numId w:val="8"/>
        </w:numPr>
        <w:suppressLineNumbers w:val="0"/>
        <w:shd w:val="clear" w:color="auto" w:fill="auto"/>
        <w:spacing w:before="165" w:beforeAutospacing="0" w:after="165" w:afterAutospacing="0" w:line="343" w:lineRule="atLeast"/>
        <w:ind w:left="845" w:right="0" w:hanging="425" w:leftChars="0" w:firstLineChars="0"/>
        <w:rPr>
          <w:rFonts w:ascii="宋体" w:eastAsia="宋体" w:hAnsi="宋体" w:cs="宋体" w:hint="eastAsia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kern w:val="2"/>
          <w:sz w:val="24"/>
          <w:szCs w:val="24"/>
          <w:lang w:val="en-US" w:eastAsia="zh-CN" w:bidi="ar-SA"/>
        </w:rPr>
        <w:t>跨境数据传输需特别审批</w:t>
      </w:r>
    </w:p>
    <w:p>
      <w:pPr>
        <w:pStyle w:val="NormalWeb"/>
        <w:keepNext w:val="0"/>
        <w:keepLines w:val="0"/>
        <w:widowControl/>
        <w:numPr>
          <w:ilvl w:val="0"/>
          <w:numId w:val="4"/>
        </w:numPr>
        <w:suppressLineNumbers w:val="0"/>
        <w:shd w:val="clear" w:color="auto" w:fill="auto"/>
        <w:spacing w:before="165" w:beforeAutospacing="0" w:after="165" w:afterAutospacing="0" w:line="343" w:lineRule="atLeast"/>
        <w:ind w:left="425" w:right="0" w:hanging="425" w:leftChars="0" w:firstLineChars="0"/>
        <w:rPr>
          <w:rFonts w:ascii="宋体" w:eastAsia="宋体" w:hAnsi="宋体" w:cs="宋体" w:hint="default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4"/>
          <w:szCs w:val="24"/>
          <w:lang w:val="en-US" w:eastAsia="zh-CN" w:bidi="ar-SA"/>
        </w:rPr>
        <w:t>数据销毁</w:t>
      </w:r>
    </w:p>
    <w:p>
      <w:pPr>
        <w:pStyle w:val="NormalWeb"/>
        <w:keepNext w:val="0"/>
        <w:keepLines w:val="0"/>
        <w:widowControl/>
        <w:numPr>
          <w:ilvl w:val="0"/>
          <w:numId w:val="9"/>
        </w:numPr>
        <w:suppressLineNumbers w:val="0"/>
        <w:shd w:val="clear" w:color="auto" w:fill="auto"/>
        <w:spacing w:before="165" w:beforeAutospacing="0" w:after="165" w:afterAutospacing="0" w:line="343" w:lineRule="atLeast"/>
        <w:ind w:left="845" w:right="0" w:hanging="425" w:leftChars="0" w:firstLineChars="0"/>
        <w:rPr>
          <w:rFonts w:ascii="宋体" w:eastAsia="宋体" w:hAnsi="宋体" w:cs="宋体" w:hint="eastAsia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4"/>
          <w:szCs w:val="24"/>
          <w:lang w:val="en-US" w:eastAsia="zh-CN" w:bidi="ar-SA"/>
        </w:rPr>
        <w:t>过期数据必须安全销毁</w:t>
      </w:r>
    </w:p>
    <w:p>
      <w:pPr>
        <w:pStyle w:val="NormalWeb"/>
        <w:keepNext w:val="0"/>
        <w:keepLines w:val="0"/>
        <w:widowControl/>
        <w:numPr>
          <w:ilvl w:val="0"/>
          <w:numId w:val="9"/>
        </w:numPr>
        <w:suppressLineNumbers w:val="0"/>
        <w:shd w:val="clear" w:color="auto" w:fill="auto"/>
        <w:spacing w:before="165" w:beforeAutospacing="0" w:after="165" w:afterAutospacing="0" w:line="343" w:lineRule="atLeast"/>
        <w:ind w:left="845" w:right="0" w:hanging="425" w:leftChars="0" w:firstLineChars="0"/>
        <w:rPr>
          <w:rFonts w:ascii="宋体" w:eastAsia="宋体" w:hAnsi="宋体" w:cs="宋体" w:hint="eastAsia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kern w:val="2"/>
          <w:sz w:val="24"/>
          <w:szCs w:val="24"/>
          <w:lang w:val="en-US" w:eastAsia="zh-CN" w:bidi="ar-SA"/>
        </w:rPr>
        <w:t>存储介质需进行物理或逻辑销毁</w:t>
      </w:r>
      <w:r>
        <w:rPr>
          <w:rFonts w:ascii="宋体" w:eastAsia="宋体" w:hAnsi="宋体" w:cs="宋体" w:hint="eastAsia"/>
          <w:kern w:val="2"/>
          <w:sz w:val="24"/>
          <w:szCs w:val="24"/>
          <w:lang w:val="en-US" w:eastAsia="zh-CN" w:bidi="ar-SA"/>
        </w:rPr>
        <w:t>，</w:t>
      </w:r>
      <w:r>
        <w:rPr>
          <w:rFonts w:ascii="宋体" w:eastAsia="宋体" w:hAnsi="宋体" w:cs="宋体" w:hint="default"/>
          <w:kern w:val="2"/>
          <w:sz w:val="24"/>
          <w:szCs w:val="24"/>
          <w:lang w:val="en-US" w:eastAsia="zh-CN" w:bidi="ar-SA"/>
        </w:rPr>
        <w:t>保留完整的销毁记录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9577"/>
      <w:r>
        <w:rPr>
          <w:rFonts w:hint="default"/>
          <w:lang w:val="en-US" w:eastAsia="zh-CN"/>
        </w:rPr>
        <w:t>管理要求</w:t>
      </w:r>
      <w:bookmarkEnd w:id="11"/>
    </w:p>
    <w:p>
      <w:pPr>
        <w:pStyle w:val="a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</w:t>
      </w:r>
    </w:p>
    <w:p>
      <w:pPr>
        <w:pStyle w:val="a"/>
        <w:numPr>
          <w:ilvl w:val="0"/>
          <w:numId w:val="11"/>
        </w:numPr>
        <w:bidi w:val="0"/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实施严格的权限管理</w:t>
      </w:r>
    </w:p>
    <w:p>
      <w:pPr>
        <w:pStyle w:val="a"/>
        <w:numPr>
          <w:ilvl w:val="0"/>
          <w:numId w:val="11"/>
        </w:numPr>
        <w:bidi w:val="0"/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采用双因素认证</w:t>
      </w:r>
    </w:p>
    <w:p>
      <w:pPr>
        <w:pStyle w:val="a"/>
        <w:numPr>
          <w:ilvl w:val="0"/>
          <w:numId w:val="11"/>
        </w:numPr>
        <w:bidi w:val="0"/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定期审查访问权限</w:t>
      </w:r>
    </w:p>
    <w:p>
      <w:pPr>
        <w:pStyle w:val="a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加密要求</w:t>
      </w:r>
    </w:p>
    <w:p>
      <w:pPr>
        <w:pStyle w:val="a"/>
        <w:numPr>
          <w:ilvl w:val="0"/>
          <w:numId w:val="12"/>
        </w:numPr>
        <w:bidi w:val="0"/>
        <w:ind w:left="1260" w:hanging="42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传输加密：使用TLS 1.2及以上协议</w:t>
      </w:r>
    </w:p>
    <w:p>
      <w:pPr>
        <w:pStyle w:val="a"/>
        <w:numPr>
          <w:ilvl w:val="0"/>
          <w:numId w:val="12"/>
        </w:numPr>
        <w:bidi w:val="0"/>
        <w:ind w:left="1260" w:hanging="42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存储加密：采用AES-256加密算法</w:t>
      </w:r>
    </w:p>
    <w:p>
      <w:pPr>
        <w:pStyle w:val="a"/>
        <w:numPr>
          <w:ilvl w:val="0"/>
          <w:numId w:val="12"/>
        </w:numPr>
        <w:bidi w:val="0"/>
        <w:ind w:left="1260" w:hanging="42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敏感数据必须加密存储</w:t>
      </w:r>
    </w:p>
    <w:p>
      <w:pPr>
        <w:pStyle w:val="a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安全审计</w:t>
      </w:r>
    </w:p>
    <w:p>
      <w:pPr>
        <w:pStyle w:val="a"/>
        <w:numPr>
          <w:ilvl w:val="0"/>
          <w:numId w:val="13"/>
        </w:numPr>
        <w:bidi w:val="0"/>
        <w:ind w:left="1260" w:hanging="42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记录所有关键数据操作</w:t>
      </w:r>
    </w:p>
    <w:p>
      <w:pPr>
        <w:pStyle w:val="a"/>
        <w:numPr>
          <w:ilvl w:val="0"/>
          <w:numId w:val="13"/>
        </w:numPr>
        <w:bidi w:val="0"/>
        <w:ind w:left="1260" w:hanging="42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审计日志至少保留6个月</w:t>
      </w:r>
    </w:p>
    <w:p>
      <w:pPr>
        <w:pStyle w:val="a"/>
        <w:numPr>
          <w:ilvl w:val="0"/>
          <w:numId w:val="13"/>
        </w:numPr>
        <w:bidi w:val="0"/>
        <w:ind w:left="1260" w:hanging="42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定期进行安全漏洞扫描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15606"/>
      <w:r>
        <w:rPr>
          <w:rFonts w:hint="eastAsia"/>
          <w:lang w:val="en-US" w:eastAsia="zh-CN"/>
        </w:rPr>
        <w:t>关键指标</w:t>
      </w:r>
      <w:bookmarkEnd w:id="12"/>
    </w:p>
    <w:tbl>
      <w:tblPr>
        <w:tblStyle w:val="TableNormal0"/>
        <w:tblW w:w="8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2148"/>
        <w:gridCol w:w="2974"/>
        <w:gridCol w:w="991"/>
        <w:gridCol w:w="991"/>
      </w:tblGrid>
      <w:tr>
        <w:tblPrEx>
          <w:tblW w:w="8070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966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2148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2974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991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991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>
        <w:tblPrEx>
          <w:tblW w:w="80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966" w:type="dxa"/>
            <w:shd w:val="clear" w:color="auto" w:fill="auto"/>
            <w:vAlign w:val="center"/>
          </w:tcPr>
          <w:p>
            <w:pPr>
              <w:pStyle w:val="NormalWeb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leftChars="0" w:rightChars="0" w:firstLineChars="0"/>
              <w:jc w:val="center"/>
              <w:textAlignment w:val="auto"/>
              <w:rPr>
                <w:rFonts w:hint="default"/>
                <w:w w:val="10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pStyle w:val="NormalWeb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leftChars="0" w:rightChars="0" w:firstLineChars="0"/>
              <w:jc w:val="center"/>
              <w:textAlignment w:val="auto"/>
              <w:rPr>
                <w:rFonts w:ascii="宋体" w:eastAsia="宋体" w:hAnsi="宋体" w:cs="宋体" w:hint="default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服务数据</w:t>
            </w:r>
          </w:p>
        </w:tc>
        <w:tc>
          <w:tcPr>
            <w:tcW w:w="2974" w:type="dxa"/>
            <w:shd w:val="clear" w:color="auto" w:fill="auto"/>
            <w:vAlign w:val="center"/>
          </w:tcPr>
          <w:p>
            <w:pPr>
              <w:pStyle w:val="NormalWeb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leftChars="0" w:rightChars="0" w:firstLineChars="0"/>
              <w:jc w:val="center"/>
              <w:textAlignment w:val="auto"/>
              <w:rPr>
                <w:rFonts w:ascii="宋体" w:eastAsia="宋体" w:hAnsi="宋体" w:cs="宋体" w:hint="default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对服务数据分析利用次数</w:t>
            </w:r>
          </w:p>
        </w:tc>
        <w:tc>
          <w:tcPr>
            <w:tcW w:w="991" w:type="dxa"/>
            <w:vAlign w:val="center"/>
          </w:tcPr>
          <w:p>
            <w:pPr>
              <w:pStyle w:val="NormalWeb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leftChars="0" w:rightChars="0" w:firstLineChars="0"/>
              <w:jc w:val="center"/>
              <w:textAlignment w:val="auto"/>
              <w:rPr>
                <w:rFonts w:hint="eastAsia"/>
                <w:w w:val="10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按季度</w:t>
            </w:r>
          </w:p>
        </w:tc>
        <w:tc>
          <w:tcPr>
            <w:tcW w:w="991" w:type="dxa"/>
            <w:vAlign w:val="center"/>
          </w:tcPr>
          <w:p>
            <w:pPr>
              <w:pStyle w:val="NormalWeb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leftChars="0" w:rightChars="0" w:firstLineChars="0"/>
              <w:jc w:val="center"/>
              <w:textAlignment w:val="auto"/>
              <w:rPr>
                <w:rFonts w:hint="default"/>
                <w:w w:val="10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≥1次</w:t>
            </w:r>
          </w:p>
        </w:tc>
      </w:tr>
    </w:tbl>
    <w:p>
      <w:pPr>
        <w:pStyle w:val="a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13" w:name="_Toc20965"/>
      <w:r>
        <w:rPr>
          <w:rFonts w:hint="eastAsia"/>
          <w:lang w:val="en-US" w:eastAsia="zh-CN"/>
        </w:rPr>
        <w:t>相关记录文件</w:t>
      </w:r>
      <w:bookmarkEnd w:id="13"/>
      <w:bookmarkStart w:id="14" w:name="_GoBack"/>
      <w:bookmarkEnd w:id="14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《服务数据分析报告》</w:t>
      </w:r>
    </w:p>
    <w:sectPr>
      <w:headerReference w:type="default" r:id="rId4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ACDDB59"/>
    <w:multiLevelType w:val="singleLevel"/>
    <w:tmpl w:val="AACDDB5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7EFC4B9"/>
    <w:multiLevelType w:val="singleLevel"/>
    <w:tmpl w:val="C7EFC4B9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E618F45D"/>
    <w:multiLevelType w:val="singleLevel"/>
    <w:tmpl w:val="E618F45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24675B6"/>
    <w:multiLevelType w:val="singleLevel"/>
    <w:tmpl w:val="024675B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04A90272"/>
    <w:multiLevelType w:val="multilevel"/>
    <w:tmpl w:val="04A90272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>
      <w:start w:val="1"/>
      <w:numFmt w:val="decimalEnclosedCircleChinese"/>
      <w:lvlText w:val="%2"/>
      <w:lvlJc w:val="left"/>
      <w:pPr>
        <w:tabs>
          <w:tab w:val="left" w:pos="1260"/>
        </w:tabs>
        <w:ind w:left="1260" w:hanging="420" w:leftChars="0" w:firstLineChars="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680"/>
        </w:tabs>
        <w:ind w:left="1680" w:hanging="420" w:leftChars="0" w:firstLineChars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2100"/>
        </w:tabs>
        <w:ind w:left="2100" w:hanging="420" w:leftChars="0" w:firstLineChars="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 w:leftChars="0" w:firstLineChars="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940"/>
        </w:tabs>
        <w:ind w:left="2940" w:hanging="420" w:leftChars="0" w:firstLineChars="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3360"/>
        </w:tabs>
        <w:ind w:left="3360" w:hanging="420" w:leftChars="0" w:firstLineChars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780"/>
        </w:tabs>
        <w:ind w:left="3780" w:hanging="420" w:leftChars="0" w:firstLineChars="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4200"/>
        </w:tabs>
        <w:ind w:left="4200" w:hanging="420" w:leftChars="0" w:firstLineChars="0"/>
      </w:pPr>
      <w:rPr>
        <w:rFonts w:hint="default"/>
      </w:rPr>
    </w:lvl>
  </w:abstractNum>
  <w:abstractNum w:abstractNumId="6">
    <w:nsid w:val="083807CC"/>
    <w:multiLevelType w:val="singleLevel"/>
    <w:tmpl w:val="083807CC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083F5C9B"/>
    <w:multiLevelType w:val="singleLevel"/>
    <w:tmpl w:val="083F5C9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308E1341"/>
    <w:multiLevelType w:val="singleLevel"/>
    <w:tmpl w:val="308E134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29AB120"/>
    <w:multiLevelType w:val="singleLevel"/>
    <w:tmpl w:val="329AB120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0">
    <w:nsid w:val="5344E574"/>
    <w:multiLevelType w:val="singleLevel"/>
    <w:tmpl w:val="5344E574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>
    <w:nsid w:val="75D45A14"/>
    <w:multiLevelType w:val="singleLevel"/>
    <w:tmpl w:val="75D45A1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EB18A29"/>
    <w:multiLevelType w:val="singleLevel"/>
    <w:tmpl w:val="7EB18A29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11"/>
  </w:num>
  <w:num w:numId="5">
    <w:abstractNumId w:val="6"/>
  </w:num>
  <w:num w:numId="6">
    <w:abstractNumId w:val="12"/>
  </w:num>
  <w:num w:numId="7">
    <w:abstractNumId w:val="2"/>
  </w:num>
  <w:num w:numId="8">
    <w:abstractNumId w:val="9"/>
  </w:num>
  <w:num w:numId="9">
    <w:abstractNumId w:val="10"/>
  </w:num>
  <w:num w:numId="10">
    <w:abstractNumId w:val="1"/>
  </w:num>
  <w:num w:numId="11">
    <w:abstractNumId w:val="5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styleId="NoSpacing">
    <w:name w:val="No Spacing"/>
    <w:uiPriority w:val="99"/>
    <w:qFormat/>
    <w:pPr>
      <w:adjustRightInd w:val="0"/>
      <w:snapToGrid w:val="0"/>
    </w:pPr>
    <w:rPr>
      <w:rFonts w:ascii="Times New Roman" w:eastAsia="宋体" w:hAnsi="Times New Roman" w:cs="Times New Roman"/>
      <w:sz w:val="24"/>
      <w:szCs w:val="22"/>
      <w:lang w:val="en-US" w:eastAsia="zh-CN" w:bidi="ar-SA"/>
    </w:r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1047</Words>
  <Characters>1134</Characters>
  <Application>Microsoft Office Word</Application>
  <DocSecurity>0</DocSecurity>
  <Lines>0</Lines>
  <Paragraphs>0</Paragraphs>
  <ScaleCrop>false</ScaleCrop>
  <Company/>
  <LinksUpToDate>false</LinksUpToDate>
  <CharactersWithSpaces>1189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nancy杨茜</cp:lastModifiedBy>
  <cp:revision>0</cp:revision>
  <dcterms:created xsi:type="dcterms:W3CDTF">2025-08-03T07:55:00Z</dcterms:created>
  <dcterms:modified xsi:type="dcterms:W3CDTF">2026-01-07T06:03:31Z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8178A8AF70684A7D9FAAE4F331428A1A_12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