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bookmarkStart w:id="0" w:name="_Toc8027"/>
      <w:r>
        <w:t>运维服务交付规范</w:t>
      </w:r>
      <w:bookmarkEnd w:id="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 w:name="_Toc9409"/>
      <w:r>
        <w:t>江苏云储智能科技有限公司</w:t>
      </w:r>
      <w:bookmarkEnd w:id="1"/>
    </w:p>
    <w:p>
      <w:pPr>
        <w:keepNext w:val="0"/>
        <w:keepLines w:val="0"/>
        <w:pageBreakBefore w:val="0"/>
        <w:widowControl w:val="0"/>
        <w:kinsoku w:val="0"/>
        <w:wordWrap/>
        <w:overflowPunct/>
        <w:topLinePunct w:val="0"/>
        <w:autoSpaceDE w:val="0"/>
        <w:autoSpaceDN w:val="0"/>
        <w:bidi w:val="0"/>
        <w:adjustRightInd w:val="0"/>
        <w:snapToGrid w:val="0"/>
        <w:spacing w:line="219" w:lineRule="auto"/>
        <w:textAlignment w:val="baseline"/>
        <w:rPr>
          <w:rFonts w:ascii="宋体" w:eastAsia="宋体" w:hAnsi="宋体" w:cs="宋体"/>
          <w:sz w:val="30"/>
          <w:szCs w:val="30"/>
        </w:rPr>
      </w:pPr>
    </w:p>
    <w:p>
      <w:pPr>
        <w:keepNext w:val="0"/>
        <w:keepLines w:val="0"/>
        <w:pageBreakBefore w:val="0"/>
        <w:widowControl w:val="0"/>
        <w:kinsoku w:val="0"/>
        <w:wordWrap/>
        <w:overflowPunct/>
        <w:topLinePunct w:val="0"/>
        <w:autoSpaceDE w:val="0"/>
        <w:autoSpaceDN w:val="0"/>
        <w:bidi w:val="0"/>
        <w:adjustRightInd w:val="0"/>
        <w:snapToGrid w:val="0"/>
        <w:spacing w:line="219" w:lineRule="auto"/>
        <w:ind w:left="0" w:right="0" w:firstLine="0" w:leftChars="0" w:rightChars="0" w:firstLineChars="0"/>
        <w:jc w:val="center"/>
        <w:textAlignment w:val="baseline"/>
        <w:rPr>
          <w:rFonts w:ascii="宋体" w:eastAsia="宋体" w:hAnsi="宋体" w:cs="宋体" w:hint="default"/>
          <w:sz w:val="30"/>
          <w:szCs w:val="30"/>
          <w:lang w:val="en-US" w:eastAsia="zh-CN"/>
        </w:rPr>
        <w:sectPr>
          <w:footerReference w:type="default" r:id="rId4"/>
          <w:pgSz w:w="11906" w:h="16839"/>
          <w:pgMar w:top="1431" w:right="1785" w:bottom="1152" w:left="1785" w:header="0" w:footer="992" w:gutter="0"/>
          <w:cols w:num="1" w:space="720"/>
        </w:sectPr>
      </w:pPr>
      <w:r>
        <w:rPr>
          <w:rFonts w:ascii="宋体" w:eastAsia="宋体" w:hAnsi="宋体" w:cs="宋体" w:hint="eastAsia"/>
          <w:sz w:val="30"/>
          <w:szCs w:val="30"/>
          <w:lang w:val="en-US" w:eastAsia="zh-CN"/>
        </w:rPr>
        <w:t>2025年1月4日</w:t>
      </w:r>
    </w:p>
    <w:p>
      <w:pPr>
        <w:keepNext w:val="0"/>
        <w:keepLines w:val="0"/>
        <w:pageBreakBefore w:val="0"/>
        <w:widowControl w:val="0"/>
        <w:kinsoku w:val="0"/>
        <w:wordWrap/>
        <w:overflowPunct/>
        <w:topLinePunct w:val="0"/>
        <w:autoSpaceDE w:val="0"/>
        <w:autoSpaceDN w:val="0"/>
        <w:bidi w:val="0"/>
        <w:adjustRightInd w:val="0"/>
        <w:snapToGrid w:val="0"/>
        <w:spacing w:before="91" w:line="220" w:lineRule="auto"/>
        <w:ind w:left="3620"/>
        <w:textAlignment w:val="baseline"/>
        <w:outlineLvl w:val="1"/>
        <w:rPr>
          <w:rFonts w:ascii="宋体" w:eastAsia="宋体" w:hAnsi="宋体" w:cs="宋体"/>
          <w:sz w:val="28"/>
          <w:szCs w:val="28"/>
        </w:rPr>
      </w:pPr>
      <w:bookmarkStart w:id="2" w:name="_Toc25995"/>
      <w:r>
        <w:rPr>
          <w:rFonts w:ascii="宋体" w:eastAsia="宋体" w:hAnsi="宋体" w:cs="宋体"/>
          <w:spacing w:val="-3"/>
          <w:sz w:val="28"/>
          <w:szCs w:val="28"/>
        </w:rPr>
        <w:t>文档信息</w:t>
      </w:r>
      <w:bookmarkEnd w:id="2"/>
    </w:p>
    <w:tbl>
      <w:tblPr>
        <w:tblStyle w:val="TableNormal0"/>
        <w:tblW w:w="9071"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1563"/>
        <w:gridCol w:w="1696"/>
        <w:gridCol w:w="2302"/>
        <w:gridCol w:w="1557"/>
        <w:gridCol w:w="1953"/>
      </w:tblGrid>
      <w:tr>
        <w:tblPrEx>
          <w:tblW w:w="9071"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Ex>
        <w:trPr>
          <w:trHeight w:val="611"/>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154"/>
              <w:textAlignment w:val="baseline"/>
            </w:pPr>
            <w:r>
              <w:rPr>
                <w:spacing w:val="-2"/>
              </w:rPr>
              <w:t>文档名称编号</w:t>
            </w:r>
          </w:p>
        </w:tc>
        <w:tc>
          <w:tcPr>
            <w:tcW w:w="7508"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200" w:line="218" w:lineRule="auto"/>
              <w:ind w:left="108"/>
              <w:textAlignment w:val="baseline"/>
            </w:pPr>
            <w:r>
              <w:rPr>
                <w:spacing w:val="-1"/>
              </w:rPr>
              <w:t>运维服务交付规范（JSYC-ITSS-FWJFGF）</w:t>
            </w:r>
          </w:p>
        </w:tc>
      </w:tr>
      <w:tr>
        <w:tblPrEx>
          <w:tblW w:w="9071" w:type="dxa"/>
          <w:tblInd w:w="127"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6" w:line="220" w:lineRule="auto"/>
              <w:ind w:left="364"/>
              <w:textAlignment w:val="baseline"/>
            </w:pPr>
            <w:r>
              <w:rPr>
                <w:spacing w:val="-2"/>
              </w:rPr>
              <w:t>编制单位</w:t>
            </w:r>
          </w:p>
        </w:tc>
        <w:tc>
          <w:tcPr>
            <w:tcW w:w="7508" w:type="dxa"/>
            <w:gridSpan w:val="4"/>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7" w:line="219" w:lineRule="auto"/>
              <w:ind w:left="108"/>
              <w:textAlignment w:val="baseline"/>
            </w:pPr>
            <w:r>
              <w:rPr>
                <w:spacing w:val="-1"/>
              </w:rPr>
              <w:t>江苏云储智能科技有限公司</w:t>
            </w:r>
          </w:p>
        </w:tc>
      </w:tr>
      <w:tr>
        <w:tblPrEx>
          <w:tblW w:w="9071" w:type="dxa"/>
          <w:tblInd w:w="127" w:type="dxa"/>
          <w:tblLayout w:type="fixed"/>
          <w:tblCellMar>
            <w:top w:w="0" w:type="dxa"/>
            <w:left w:w="0" w:type="dxa"/>
            <w:bottom w:w="0" w:type="dxa"/>
            <w:right w:w="0" w:type="dxa"/>
          </w:tblCellMar>
        </w:tblPrEx>
        <w:trPr>
          <w:trHeight w:val="606"/>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364"/>
              <w:textAlignment w:val="baseline"/>
            </w:pPr>
            <w:r>
              <w:rPr>
                <w:spacing w:val="-2"/>
              </w:rPr>
              <w:t>文档版本</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430"/>
              <w:textAlignment w:val="baseline"/>
            </w:pPr>
            <w:r>
              <w:rPr>
                <w:spacing w:val="-2"/>
              </w:rPr>
              <w:t>版本日期</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19" w:lineRule="auto"/>
              <w:ind w:left="735"/>
              <w:textAlignment w:val="baseline"/>
            </w:pPr>
            <w:r>
              <w:rPr>
                <w:spacing w:val="-2"/>
              </w:rPr>
              <w:t>版本说明</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575"/>
              <w:textAlignment w:val="baseline"/>
            </w:pPr>
            <w:r>
              <w:rPr>
                <w:spacing w:val="-3"/>
              </w:rPr>
              <w:t>作者</w:t>
            </w: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9" w:line="220" w:lineRule="auto"/>
              <w:ind w:left="782"/>
              <w:textAlignment w:val="baseline"/>
            </w:pPr>
            <w:r>
              <w:rPr>
                <w:spacing w:val="-5"/>
              </w:rPr>
              <w:t>审核</w:t>
            </w:r>
          </w:p>
        </w:tc>
      </w:tr>
      <w:tr>
        <w:tblPrEx>
          <w:tblW w:w="9071" w:type="dxa"/>
          <w:tblInd w:w="127" w:type="dxa"/>
          <w:tblLayout w:type="fixed"/>
          <w:tblCellMar>
            <w:top w:w="0" w:type="dxa"/>
            <w:left w:w="0" w:type="dxa"/>
            <w:bottom w:w="0" w:type="dxa"/>
            <w:right w:w="0" w:type="dxa"/>
          </w:tblCellMar>
        </w:tblPrEx>
        <w:trPr>
          <w:trHeight w:val="474"/>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83" w:line="239" w:lineRule="auto"/>
              <w:ind w:left="568"/>
              <w:textAlignment w:val="baseline"/>
            </w:pPr>
            <w:r>
              <w:rPr>
                <w:spacing w:val="-1"/>
              </w:rPr>
              <w:t>V1.0</w:t>
            </w: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82"/>
              <w:ind w:left="431"/>
              <w:textAlignment w:val="baseline"/>
            </w:pPr>
            <w:r>
              <w:rPr>
                <w:spacing w:val="-2"/>
              </w:rPr>
              <w:t>20</w:t>
            </w:r>
            <w:r>
              <w:rPr>
                <w:rFonts w:hint="eastAsia"/>
                <w:spacing w:val="-2"/>
                <w:lang w:val="en-US" w:eastAsia="zh-CN"/>
              </w:rPr>
              <w:t>25</w:t>
            </w:r>
            <w:r>
              <w:rPr>
                <w:spacing w:val="-2"/>
              </w:rPr>
              <w:t>-1-4</w:t>
            </w: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3" w:line="219" w:lineRule="auto"/>
              <w:ind w:left="738"/>
              <w:textAlignment w:val="baseline"/>
            </w:pPr>
            <w:r>
              <w:rPr>
                <w:spacing w:val="-3"/>
              </w:rPr>
              <w:t>发布版本</w:t>
            </w: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53" w:line="220" w:lineRule="auto"/>
              <w:ind w:left="480"/>
              <w:textAlignment w:val="baseline"/>
              <w:rPr>
                <w:rFonts w:eastAsia="宋体" w:hint="eastAsia"/>
                <w:lang w:val="en-US" w:eastAsia="zh-CN"/>
              </w:rPr>
            </w:pPr>
            <w:r>
              <w:rPr>
                <w:rFonts w:hint="eastAsia"/>
                <w:lang w:val="en-US" w:eastAsia="zh-CN"/>
              </w:rPr>
              <w:t>王朋</w:t>
            </w: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34" w:line="220" w:lineRule="auto"/>
              <w:ind w:left="672"/>
              <w:textAlignment w:val="baseline"/>
            </w:pPr>
            <w:r>
              <w:rPr>
                <w:spacing w:val="-3"/>
              </w:rPr>
              <w:t>史晓玲</w:t>
            </w:r>
          </w:p>
        </w:tc>
      </w:tr>
      <w:tr>
        <w:tblPrEx>
          <w:tblW w:w="9071" w:type="dxa"/>
          <w:tblInd w:w="127" w:type="dxa"/>
          <w:tblLayout w:type="fixed"/>
          <w:tblCellMar>
            <w:top w:w="0" w:type="dxa"/>
            <w:left w:w="0" w:type="dxa"/>
            <w:bottom w:w="0" w:type="dxa"/>
            <w:right w:w="0" w:type="dxa"/>
          </w:tblCellMar>
        </w:tblPrEx>
        <w:trPr>
          <w:trHeight w:val="528"/>
        </w:trPr>
        <w:tc>
          <w:tcPr>
            <w:tcW w:w="156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2" w:line="239" w:lineRule="auto"/>
              <w:ind w:left="568"/>
              <w:textAlignment w:val="baseline"/>
            </w:pPr>
          </w:p>
        </w:tc>
        <w:tc>
          <w:tcPr>
            <w:tcW w:w="1696"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92"/>
              <w:ind w:left="431"/>
              <w:textAlignment w:val="baseline"/>
            </w:pPr>
          </w:p>
        </w:tc>
        <w:tc>
          <w:tcPr>
            <w:tcW w:w="2302"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2" w:line="219" w:lineRule="auto"/>
              <w:ind w:left="737"/>
              <w:textAlignment w:val="baseline"/>
            </w:pPr>
          </w:p>
        </w:tc>
        <w:tc>
          <w:tcPr>
            <w:tcW w:w="1557"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3" w:line="220" w:lineRule="auto"/>
              <w:ind w:left="480"/>
              <w:textAlignment w:val="baseline"/>
            </w:pPr>
          </w:p>
        </w:tc>
        <w:tc>
          <w:tcPr>
            <w:tcW w:w="1953" w:type="dxa"/>
          </w:tcPr>
          <w:p>
            <w:pPr>
              <w:pStyle w:val="TableText"/>
              <w:keepNext w:val="0"/>
              <w:keepLines w:val="0"/>
              <w:pageBreakBefore w:val="0"/>
              <w:widowControl w:val="0"/>
              <w:kinsoku w:val="0"/>
              <w:wordWrap/>
              <w:overflowPunct/>
              <w:topLinePunct w:val="0"/>
              <w:autoSpaceDE w:val="0"/>
              <w:autoSpaceDN w:val="0"/>
              <w:bidi w:val="0"/>
              <w:adjustRightInd w:val="0"/>
              <w:snapToGrid w:val="0"/>
              <w:spacing w:before="162" w:line="220" w:lineRule="auto"/>
              <w:ind w:left="672"/>
              <w:textAlignment w:val="baseline"/>
            </w:pPr>
          </w:p>
        </w:tc>
      </w:tr>
      <w:tr>
        <w:tblPrEx>
          <w:tblW w:w="9071" w:type="dxa"/>
          <w:tblInd w:w="127" w:type="dxa"/>
          <w:tblLayout w:type="fixed"/>
          <w:tblCellMar>
            <w:top w:w="0" w:type="dxa"/>
            <w:left w:w="0" w:type="dxa"/>
            <w:bottom w:w="0" w:type="dxa"/>
            <w:right w:w="0" w:type="dxa"/>
          </w:tblCellMar>
        </w:tblPrEx>
        <w:trPr>
          <w:trHeight w:val="588"/>
        </w:trPr>
        <w:tc>
          <w:tcPr>
            <w:tcW w:w="1563"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696"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230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557"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1953"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bl>
    <w:p>
      <w:pPr>
        <w:pStyle w:val="BodyText"/>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sectPr>
          <w:footerReference w:type="default" r:id="rId5"/>
          <w:pgSz w:w="11906" w:h="16839"/>
          <w:pgMar w:top="1431" w:right="915" w:bottom="1152" w:left="1785" w:header="0" w:footer="992" w:gutter="0"/>
          <w:cols w:num="1" w:space="720"/>
        </w:sectPr>
      </w:pPr>
    </w:p>
    <w:sdt>
      <w:sdtPr>
        <w:rPr>
          <w:rFonts w:ascii="宋体" w:eastAsia="宋体" w:hAnsi="宋体" w:cs="Arial"/>
          <w:snapToGrid w:val="0"/>
          <w:color w:val="000000"/>
          <w:kern w:val="0"/>
          <w:sz w:val="21"/>
          <w:szCs w:val="21"/>
          <w:lang w:val="en-US" w:eastAsia="en-US" w:bidi="ar-SA"/>
        </w:rPr>
        <w:id w:val="147482246"/>
        <w:docPartObj>
          <w:docPartGallery w:val="Table of Contents"/>
          <w:docPartUnique/>
        </w:docPartObj>
      </w:sdtPr>
      <w:sdtEndPr>
        <w:rPr>
          <w:rFonts w:ascii="Times New Roman" w:eastAsia="Times New Roman" w:hAnsi="Times New Roman" w:cs="Times New Roman"/>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Microsoft JhengHei" w:eastAsia="Microsoft JhengHei" w:hAnsi="Microsoft JhengHei" w:cs="Microsoft JhengHei" w:hint="eastAsia"/>
              <w:sz w:val="24"/>
              <w:szCs w:val="24"/>
            </w:rPr>
          </w:pPr>
          <w:r>
            <w:rPr>
              <w:rFonts w:ascii="Microsoft JhengHei" w:eastAsia="Microsoft JhengHei" w:hAnsi="Microsoft JhengHei" w:cs="Microsoft JhengHei" w:hint="eastAsia"/>
              <w:sz w:val="24"/>
              <w:szCs w:val="24"/>
            </w:rPr>
            <w:t>目录</w:t>
          </w:r>
        </w:p>
        <w:p>
          <w:pPr>
            <w:pStyle w:val="TOC1"/>
            <w:tabs>
              <w:tab w:val="right" w:leader="dot" w:pos="8336"/>
            </w:tabs>
          </w:pPr>
          <w:r>
            <w:rPr>
              <w:rFonts w:ascii="Microsoft JhengHei" w:eastAsia="Microsoft JhengHei" w:hAnsi="Microsoft JhengHei" w:cs="Microsoft JhengHei" w:hint="eastAsia"/>
              <w:sz w:val="24"/>
              <w:szCs w:val="24"/>
            </w:rPr>
            <w:fldChar w:fldCharType="begin"/>
          </w:r>
          <w:r>
            <w:rPr>
              <w:rFonts w:ascii="Microsoft JhengHei" w:eastAsia="Microsoft JhengHei" w:hAnsi="Microsoft JhengHei" w:cs="Microsoft JhengHei" w:hint="eastAsia"/>
              <w:sz w:val="24"/>
              <w:szCs w:val="24"/>
            </w:rPr>
            <w:instrText xml:space="preserve">TOC \o "1-3" \h \u </w:instrText>
          </w:r>
          <w:r>
            <w:rPr>
              <w:rFonts w:ascii="Microsoft JhengHei" w:eastAsia="Microsoft JhengHei" w:hAnsi="Microsoft JhengHei" w:cs="Microsoft JhengHei" w:hint="eastAsia"/>
              <w:sz w:val="24"/>
              <w:szCs w:val="24"/>
            </w:rPr>
            <w:fldChar w:fldCharType="separate"/>
          </w: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_Toc8027 </w:instrText>
          </w:r>
          <w:r>
            <w:rPr>
              <w:rFonts w:ascii="Microsoft JhengHei" w:eastAsia="Microsoft JhengHei" w:hAnsi="Microsoft JhengHei" w:cs="Microsoft JhengHei" w:hint="eastAsia"/>
              <w:szCs w:val="24"/>
            </w:rPr>
            <w:fldChar w:fldCharType="separate"/>
          </w:r>
          <w:r>
            <w:t>运维服务交付规范</w:t>
          </w:r>
          <w:r>
            <w:tab/>
          </w:r>
          <w:r>
            <w:fldChar w:fldCharType="begin"/>
          </w:r>
          <w:r>
            <w:instrText xml:space="preserve"> PAGEREF _Toc8027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_Toc9409 </w:instrText>
          </w:r>
          <w:r>
            <w:rPr>
              <w:rFonts w:ascii="Microsoft JhengHei" w:eastAsia="Microsoft JhengHei" w:hAnsi="Microsoft JhengHei" w:cs="Microsoft JhengHei" w:hint="eastAsia"/>
              <w:szCs w:val="24"/>
            </w:rPr>
            <w:fldChar w:fldCharType="separate"/>
          </w:r>
          <w:r>
            <w:t>江苏云储智能科技有限公司</w:t>
          </w:r>
          <w:r>
            <w:tab/>
          </w:r>
          <w:r>
            <w:fldChar w:fldCharType="begin"/>
          </w:r>
          <w:r>
            <w:instrText xml:space="preserve"> PAGEREF _Toc9409 \h </w:instrText>
          </w:r>
          <w:r>
            <w:fldChar w:fldCharType="separate"/>
          </w:r>
          <w:r>
            <w:t>1</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_Toc25995 </w:instrText>
          </w:r>
          <w:r>
            <w:rPr>
              <w:rFonts w:ascii="Microsoft JhengHei" w:eastAsia="Microsoft JhengHei" w:hAnsi="Microsoft JhengHei" w:cs="Microsoft JhengHei" w:hint="eastAsia"/>
              <w:szCs w:val="24"/>
            </w:rPr>
            <w:fldChar w:fldCharType="separate"/>
          </w:r>
          <w:r>
            <w:rPr>
              <w:rFonts w:ascii="宋体" w:eastAsia="宋体" w:hAnsi="宋体" w:cs="宋体"/>
              <w:spacing w:val="-3"/>
              <w:szCs w:val="28"/>
            </w:rPr>
            <w:t>文档信息</w:t>
          </w:r>
          <w:r>
            <w:tab/>
          </w:r>
          <w:r>
            <w:fldChar w:fldCharType="begin"/>
          </w:r>
          <w:r>
            <w:instrText xml:space="preserve"> PAGEREF _Toc25995 \h </w:instrText>
          </w:r>
          <w:r>
            <w:fldChar w:fldCharType="separate"/>
          </w:r>
          <w:r>
            <w:t>2</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_Toc9580 </w:instrText>
          </w:r>
          <w:r>
            <w:rPr>
              <w:rFonts w:ascii="Microsoft JhengHei" w:eastAsia="Microsoft JhengHei" w:hAnsi="Microsoft JhengHei" w:cs="Microsoft JhengHei" w:hint="eastAsia"/>
              <w:szCs w:val="24"/>
            </w:rPr>
            <w:fldChar w:fldCharType="separate"/>
          </w:r>
          <w:r>
            <w:rPr>
              <w:rFonts w:hint="default"/>
            </w:rPr>
            <w:t xml:space="preserve">1. </w:t>
          </w:r>
          <w:r>
            <w:rPr>
              <w:rFonts w:hint="eastAsia"/>
            </w:rPr>
            <w:t>目的</w:t>
          </w:r>
          <w:r>
            <w:tab/>
          </w:r>
          <w:r>
            <w:fldChar w:fldCharType="begin"/>
          </w:r>
          <w:r>
            <w:instrText xml:space="preserve"> PAGEREF _Toc9580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_Toc16256 </w:instrText>
          </w:r>
          <w:r>
            <w:rPr>
              <w:rFonts w:ascii="Microsoft JhengHei" w:eastAsia="Microsoft JhengHei" w:hAnsi="Microsoft JhengHei" w:cs="Microsoft JhengHei" w:hint="eastAsia"/>
              <w:szCs w:val="24"/>
            </w:rPr>
            <w:fldChar w:fldCharType="separate"/>
          </w:r>
          <w:r>
            <w:rPr>
              <w:rFonts w:hint="default"/>
            </w:rPr>
            <w:t xml:space="preserve">2. </w:t>
          </w:r>
          <w:r>
            <w:rPr>
              <w:rFonts w:hint="eastAsia"/>
            </w:rPr>
            <w:t>适用范围</w:t>
          </w:r>
          <w:r>
            <w:tab/>
          </w:r>
          <w:r>
            <w:fldChar w:fldCharType="begin"/>
          </w:r>
          <w:r>
            <w:instrText xml:space="preserve"> PAGEREF _Toc16256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_Toc716 </w:instrText>
          </w:r>
          <w:r>
            <w:rPr>
              <w:rFonts w:ascii="Microsoft JhengHei" w:eastAsia="Microsoft JhengHei" w:hAnsi="Microsoft JhengHei" w:cs="Microsoft JhengHei" w:hint="eastAsia"/>
              <w:szCs w:val="24"/>
            </w:rPr>
            <w:fldChar w:fldCharType="separate"/>
          </w:r>
          <w:r>
            <w:rPr>
              <w:rFonts w:hint="default"/>
            </w:rPr>
            <w:t xml:space="preserve">3. </w:t>
          </w:r>
          <w:r>
            <w:rPr>
              <w:rFonts w:hint="eastAsia"/>
            </w:rPr>
            <w:t>岗位职责</w:t>
          </w:r>
          <w:r>
            <w:tab/>
          </w:r>
          <w:r>
            <w:fldChar w:fldCharType="begin"/>
          </w:r>
          <w:r>
            <w:instrText xml:space="preserve"> PAGEREF _Toc716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_Toc26686 </w:instrText>
          </w:r>
          <w:r>
            <w:rPr>
              <w:rFonts w:ascii="Microsoft JhengHei" w:eastAsia="Microsoft JhengHei" w:hAnsi="Microsoft JhengHei" w:cs="Microsoft JhengHei" w:hint="eastAsia"/>
              <w:szCs w:val="24"/>
            </w:rPr>
            <w:fldChar w:fldCharType="separate"/>
          </w:r>
          <w:r>
            <w:rPr>
              <w:rFonts w:hint="default"/>
            </w:rPr>
            <w:t xml:space="preserve">3.1. </w:t>
          </w:r>
          <w:r>
            <w:rPr>
              <w:rFonts w:hint="eastAsia"/>
              <w:lang w:eastAsia="zh-CN"/>
            </w:rPr>
            <w:t>运维部</w:t>
          </w:r>
          <w:r>
            <w:rPr>
              <w:rFonts w:hint="eastAsia"/>
            </w:rPr>
            <w:t>经理</w:t>
          </w:r>
          <w:r>
            <w:tab/>
          </w:r>
          <w:r>
            <w:fldChar w:fldCharType="begin"/>
          </w:r>
          <w:r>
            <w:instrText xml:space="preserve"> PAGEREF _Toc26686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_Toc15891 </w:instrText>
          </w:r>
          <w:r>
            <w:rPr>
              <w:rFonts w:ascii="Microsoft JhengHei" w:eastAsia="Microsoft JhengHei" w:hAnsi="Microsoft JhengHei" w:cs="Microsoft JhengHei" w:hint="eastAsia"/>
              <w:szCs w:val="24"/>
            </w:rPr>
            <w:fldChar w:fldCharType="separate"/>
          </w:r>
          <w:r>
            <w:rPr>
              <w:rFonts w:hint="default"/>
            </w:rPr>
            <w:t xml:space="preserve">3.2. </w:t>
          </w:r>
          <w:r>
            <w:rPr>
              <w:rFonts w:hint="eastAsia"/>
            </w:rPr>
            <w:t>技术支持工程师</w:t>
          </w:r>
          <w:r>
            <w:tab/>
          </w:r>
          <w:r>
            <w:fldChar w:fldCharType="begin"/>
          </w:r>
          <w:r>
            <w:instrText xml:space="preserve"> PAGEREF _Toc15891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_Toc11655 </w:instrText>
          </w:r>
          <w:r>
            <w:rPr>
              <w:rFonts w:ascii="Microsoft JhengHei" w:eastAsia="Microsoft JhengHei" w:hAnsi="Microsoft JhengHei" w:cs="Microsoft JhengHei" w:hint="eastAsia"/>
              <w:szCs w:val="24"/>
            </w:rPr>
            <w:fldChar w:fldCharType="separate"/>
          </w:r>
          <w:r>
            <w:rPr>
              <w:rFonts w:hint="default"/>
            </w:rPr>
            <w:t xml:space="preserve">3.3. </w:t>
          </w:r>
          <w:r>
            <w:rPr>
              <w:rFonts w:hint="eastAsia"/>
            </w:rPr>
            <w:t>运维实施工程师</w:t>
          </w:r>
          <w:r>
            <w:tab/>
          </w:r>
          <w:r>
            <w:fldChar w:fldCharType="begin"/>
          </w:r>
          <w:r>
            <w:instrText xml:space="preserve"> PAGEREF _Toc11655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_Toc16900 </w:instrText>
          </w:r>
          <w:r>
            <w:rPr>
              <w:rFonts w:ascii="Microsoft JhengHei" w:eastAsia="Microsoft JhengHei" w:hAnsi="Microsoft JhengHei" w:cs="Microsoft JhengHei" w:hint="eastAsia"/>
              <w:szCs w:val="24"/>
            </w:rPr>
            <w:fldChar w:fldCharType="separate"/>
          </w:r>
          <w:r>
            <w:rPr>
              <w:rFonts w:hint="default"/>
            </w:rPr>
            <w:t xml:space="preserve">4. </w:t>
          </w:r>
          <w:r>
            <w:rPr>
              <w:rFonts w:hint="eastAsia"/>
            </w:rPr>
            <w:t>场景分类</w:t>
          </w:r>
          <w:r>
            <w:tab/>
          </w:r>
          <w:r>
            <w:fldChar w:fldCharType="begin"/>
          </w:r>
          <w:r>
            <w:instrText xml:space="preserve"> PAGEREF _Toc16900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_Toc31468 </w:instrText>
          </w:r>
          <w:r>
            <w:rPr>
              <w:rFonts w:ascii="Microsoft JhengHei" w:eastAsia="Microsoft JhengHei" w:hAnsi="Microsoft JhengHei" w:cs="Microsoft JhengHei" w:hint="eastAsia"/>
              <w:szCs w:val="24"/>
            </w:rPr>
            <w:fldChar w:fldCharType="separate"/>
          </w:r>
          <w:r>
            <w:rPr>
              <w:rFonts w:hint="default"/>
            </w:rPr>
            <w:t xml:space="preserve">4.1. </w:t>
          </w:r>
          <w:r>
            <w:rPr>
              <w:rFonts w:hint="eastAsia"/>
            </w:rPr>
            <w:t>运维模式</w:t>
          </w:r>
          <w:r>
            <w:tab/>
          </w:r>
          <w:r>
            <w:fldChar w:fldCharType="begin"/>
          </w:r>
          <w:r>
            <w:instrText xml:space="preserve"> PAGEREF _Toc31468 \h </w:instrText>
          </w:r>
          <w:r>
            <w:fldChar w:fldCharType="separate"/>
          </w:r>
          <w:r>
            <w:t>5</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_Toc20552 </w:instrText>
          </w:r>
          <w:r>
            <w:rPr>
              <w:rFonts w:ascii="Microsoft JhengHei" w:eastAsia="Microsoft JhengHei" w:hAnsi="Microsoft JhengHei" w:cs="Microsoft JhengHei" w:hint="eastAsia"/>
              <w:szCs w:val="24"/>
            </w:rPr>
            <w:fldChar w:fldCharType="separate"/>
          </w:r>
          <w:r>
            <w:rPr>
              <w:rFonts w:hint="default"/>
            </w:rPr>
            <w:t xml:space="preserve">4.2. </w:t>
          </w:r>
          <w:r>
            <w:rPr>
              <w:rFonts w:hint="eastAsia"/>
            </w:rPr>
            <w:t>合作模式</w:t>
          </w:r>
          <w:r>
            <w:tab/>
          </w:r>
          <w:r>
            <w:fldChar w:fldCharType="begin"/>
          </w:r>
          <w:r>
            <w:instrText xml:space="preserve"> PAGEREF _Toc20552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_Toc26221 </w:instrText>
          </w:r>
          <w:r>
            <w:rPr>
              <w:rFonts w:ascii="Microsoft JhengHei" w:eastAsia="Microsoft JhengHei" w:hAnsi="Microsoft JhengHei" w:cs="Microsoft JhengHei" w:hint="eastAsia"/>
              <w:szCs w:val="24"/>
            </w:rPr>
            <w:fldChar w:fldCharType="separate"/>
          </w:r>
          <w:r>
            <w:rPr>
              <w:rFonts w:hint="default"/>
            </w:rPr>
            <w:t xml:space="preserve">5. </w:t>
          </w:r>
          <w:r>
            <w:rPr>
              <w:rFonts w:hint="eastAsia"/>
            </w:rPr>
            <w:t>交付管理总则</w:t>
          </w:r>
          <w:r>
            <w:tab/>
          </w:r>
          <w:r>
            <w:fldChar w:fldCharType="begin"/>
          </w:r>
          <w:r>
            <w:instrText xml:space="preserve"> PAGEREF _Toc26221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_Toc24071 </w:instrText>
          </w:r>
          <w:r>
            <w:rPr>
              <w:rFonts w:ascii="Microsoft JhengHei" w:eastAsia="Microsoft JhengHei" w:hAnsi="Microsoft JhengHei" w:cs="Microsoft JhengHei" w:hint="eastAsia"/>
              <w:szCs w:val="24"/>
            </w:rPr>
            <w:fldChar w:fldCharType="separate"/>
          </w:r>
          <w:r>
            <w:rPr>
              <w:rFonts w:hint="default"/>
            </w:rPr>
            <w:t xml:space="preserve">5.1. </w:t>
          </w:r>
          <w:r>
            <w:rPr>
              <w:rFonts w:hint="eastAsia"/>
            </w:rPr>
            <w:t>项目需求分析</w:t>
          </w:r>
          <w:r>
            <w:tab/>
          </w:r>
          <w:r>
            <w:fldChar w:fldCharType="begin"/>
          </w:r>
          <w:r>
            <w:instrText xml:space="preserve"> PAGEREF _Toc24071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_Toc4875 </w:instrText>
          </w:r>
          <w:r>
            <w:rPr>
              <w:rFonts w:ascii="Microsoft JhengHei" w:eastAsia="Microsoft JhengHei" w:hAnsi="Microsoft JhengHei" w:cs="Microsoft JhengHei" w:hint="eastAsia"/>
              <w:szCs w:val="24"/>
            </w:rPr>
            <w:fldChar w:fldCharType="separate"/>
          </w:r>
          <w:r>
            <w:rPr>
              <w:rFonts w:hint="default"/>
            </w:rPr>
            <w:t xml:space="preserve">5.2. </w:t>
          </w:r>
          <w:r>
            <w:rPr>
              <w:rFonts w:hint="eastAsia"/>
            </w:rPr>
            <w:t>项目立项</w:t>
          </w:r>
          <w:r>
            <w:tab/>
          </w:r>
          <w:r>
            <w:fldChar w:fldCharType="begin"/>
          </w:r>
          <w:r>
            <w:instrText xml:space="preserve"> PAGEREF _Toc4875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_Toc695 </w:instrText>
          </w:r>
          <w:r>
            <w:rPr>
              <w:rFonts w:ascii="Microsoft JhengHei" w:eastAsia="Microsoft JhengHei" w:hAnsi="Microsoft JhengHei" w:cs="Microsoft JhengHei" w:hint="eastAsia"/>
              <w:szCs w:val="24"/>
            </w:rPr>
            <w:fldChar w:fldCharType="separate"/>
          </w:r>
          <w:r>
            <w:rPr>
              <w:rFonts w:hint="default"/>
            </w:rPr>
            <w:t xml:space="preserve">5.3. </w:t>
          </w:r>
          <w:r>
            <w:rPr>
              <w:rFonts w:hint="eastAsia"/>
            </w:rPr>
            <w:t>项目启动及准备</w:t>
          </w:r>
          <w:r>
            <w:tab/>
          </w:r>
          <w:r>
            <w:fldChar w:fldCharType="begin"/>
          </w:r>
          <w:r>
            <w:instrText xml:space="preserve"> PAGEREF _Toc695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_Toc8443 </w:instrText>
          </w:r>
          <w:r>
            <w:rPr>
              <w:rFonts w:ascii="Microsoft JhengHei" w:eastAsia="Microsoft JhengHei" w:hAnsi="Microsoft JhengHei" w:cs="Microsoft JhengHei" w:hint="eastAsia"/>
              <w:szCs w:val="24"/>
            </w:rPr>
            <w:fldChar w:fldCharType="separate"/>
          </w:r>
          <w:r>
            <w:rPr>
              <w:rFonts w:hint="default"/>
            </w:rPr>
            <w:t xml:space="preserve">5.3.1. </w:t>
          </w:r>
          <w:r>
            <w:rPr>
              <w:rFonts w:hint="eastAsia"/>
            </w:rPr>
            <w:t>组建项目团队</w:t>
          </w:r>
          <w:r>
            <w:tab/>
          </w:r>
          <w:r>
            <w:fldChar w:fldCharType="begin"/>
          </w:r>
          <w:r>
            <w:instrText xml:space="preserve"> PAGEREF _Toc8443 \h </w:instrText>
          </w:r>
          <w:r>
            <w:fldChar w:fldCharType="separate"/>
          </w:r>
          <w:r>
            <w:t>6</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_Toc29189 </w:instrText>
          </w:r>
          <w:r>
            <w:rPr>
              <w:rFonts w:ascii="Microsoft JhengHei" w:eastAsia="Microsoft JhengHei" w:hAnsi="Microsoft JhengHei" w:cs="Microsoft JhengHei" w:hint="eastAsia"/>
              <w:szCs w:val="24"/>
            </w:rPr>
            <w:fldChar w:fldCharType="separate"/>
          </w:r>
          <w:r>
            <w:rPr>
              <w:rFonts w:hint="default"/>
            </w:rPr>
            <w:t xml:space="preserve">5.3.2. </w:t>
          </w:r>
          <w:r>
            <w:rPr>
              <w:rFonts w:hint="eastAsia"/>
            </w:rPr>
            <w:t>技术准备</w:t>
          </w:r>
          <w:r>
            <w:tab/>
          </w:r>
          <w:r>
            <w:fldChar w:fldCharType="begin"/>
          </w:r>
          <w:r>
            <w:instrText xml:space="preserve"> PAGEREF _Toc29189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_Toc24666 </w:instrText>
          </w:r>
          <w:r>
            <w:rPr>
              <w:rFonts w:ascii="Microsoft JhengHei" w:eastAsia="Microsoft JhengHei" w:hAnsi="Microsoft JhengHei" w:cs="Microsoft JhengHei" w:hint="eastAsia"/>
              <w:szCs w:val="24"/>
            </w:rPr>
            <w:fldChar w:fldCharType="separate"/>
          </w:r>
          <w:r>
            <w:rPr>
              <w:rFonts w:hint="default"/>
            </w:rPr>
            <w:t xml:space="preserve">5.3.3. </w:t>
          </w:r>
          <w:r>
            <w:rPr>
              <w:rFonts w:hint="eastAsia"/>
            </w:rPr>
            <w:t>过程准备</w:t>
          </w:r>
          <w:r>
            <w:tab/>
          </w:r>
          <w:r>
            <w:fldChar w:fldCharType="begin"/>
          </w:r>
          <w:r>
            <w:instrText xml:space="preserve"> PAGEREF _Toc24666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_Toc562 </w:instrText>
          </w:r>
          <w:r>
            <w:rPr>
              <w:rFonts w:ascii="Microsoft JhengHei" w:eastAsia="Microsoft JhengHei" w:hAnsi="Microsoft JhengHei" w:cs="Microsoft JhengHei" w:hint="eastAsia"/>
              <w:szCs w:val="24"/>
            </w:rPr>
            <w:fldChar w:fldCharType="separate"/>
          </w:r>
          <w:r>
            <w:rPr>
              <w:rFonts w:hint="default"/>
            </w:rPr>
            <w:t xml:space="preserve">5.3.4. </w:t>
          </w:r>
          <w:r>
            <w:rPr>
              <w:rFonts w:hint="eastAsia"/>
            </w:rPr>
            <w:t>资源准备</w:t>
          </w:r>
          <w:r>
            <w:tab/>
          </w:r>
          <w:r>
            <w:fldChar w:fldCharType="begin"/>
          </w:r>
          <w:r>
            <w:instrText xml:space="preserve"> PAGEREF _Toc562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_Toc25232 </w:instrText>
          </w:r>
          <w:r>
            <w:rPr>
              <w:rFonts w:ascii="Microsoft JhengHei" w:eastAsia="Microsoft JhengHei" w:hAnsi="Microsoft JhengHei" w:cs="Microsoft JhengHei" w:hint="eastAsia"/>
              <w:szCs w:val="24"/>
            </w:rPr>
            <w:fldChar w:fldCharType="separate"/>
          </w:r>
          <w:r>
            <w:rPr>
              <w:rFonts w:hint="default"/>
            </w:rPr>
            <w:t xml:space="preserve">5.4. </w:t>
          </w:r>
          <w:r>
            <w:rPr>
              <w:rFonts w:hint="eastAsia"/>
            </w:rPr>
            <w:t>项目实施</w:t>
          </w:r>
          <w:r>
            <w:tab/>
          </w:r>
          <w:r>
            <w:fldChar w:fldCharType="begin"/>
          </w:r>
          <w:r>
            <w:instrText xml:space="preserve"> PAGEREF _Toc25232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_Toc2675 </w:instrText>
          </w:r>
          <w:r>
            <w:rPr>
              <w:rFonts w:ascii="Microsoft JhengHei" w:eastAsia="Microsoft JhengHei" w:hAnsi="Microsoft JhengHei" w:cs="Microsoft JhengHei" w:hint="eastAsia"/>
              <w:szCs w:val="24"/>
            </w:rPr>
            <w:fldChar w:fldCharType="separate"/>
          </w:r>
          <w:r>
            <w:rPr>
              <w:rFonts w:hint="default"/>
            </w:rPr>
            <w:t xml:space="preserve">5.4.1. </w:t>
          </w:r>
          <w:r>
            <w:rPr>
              <w:rFonts w:hint="eastAsia"/>
            </w:rPr>
            <w:t>服务实施</w:t>
          </w:r>
          <w:r>
            <w:tab/>
          </w:r>
          <w:r>
            <w:fldChar w:fldCharType="begin"/>
          </w:r>
          <w:r>
            <w:instrText xml:space="preserve"> PAGEREF _Toc2675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_Toc10183 </w:instrText>
          </w:r>
          <w:r>
            <w:rPr>
              <w:rFonts w:ascii="Microsoft JhengHei" w:eastAsia="Microsoft JhengHei" w:hAnsi="Microsoft JhengHei" w:cs="Microsoft JhengHei" w:hint="eastAsia"/>
              <w:szCs w:val="24"/>
            </w:rPr>
            <w:fldChar w:fldCharType="separate"/>
          </w:r>
          <w:r>
            <w:rPr>
              <w:rFonts w:hint="default"/>
            </w:rPr>
            <w:t xml:space="preserve">5.4.2. </w:t>
          </w:r>
          <w:r>
            <w:rPr>
              <w:rFonts w:hint="eastAsia"/>
            </w:rPr>
            <w:t>服务监控</w:t>
          </w:r>
          <w:r>
            <w:tab/>
          </w:r>
          <w:r>
            <w:fldChar w:fldCharType="begin"/>
          </w:r>
          <w:r>
            <w:instrText xml:space="preserve"> PAGEREF _Toc10183 \h </w:instrText>
          </w:r>
          <w:r>
            <w:fldChar w:fldCharType="separate"/>
          </w:r>
          <w:r>
            <w:t>7</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_Toc258 </w:instrText>
          </w:r>
          <w:r>
            <w:rPr>
              <w:rFonts w:ascii="Microsoft JhengHei" w:eastAsia="Microsoft JhengHei" w:hAnsi="Microsoft JhengHei" w:cs="Microsoft JhengHei" w:hint="eastAsia"/>
              <w:szCs w:val="24"/>
            </w:rPr>
            <w:fldChar w:fldCharType="separate"/>
          </w:r>
          <w:r>
            <w:rPr>
              <w:rFonts w:hint="default"/>
            </w:rPr>
            <w:t xml:space="preserve">5.4.3. </w:t>
          </w:r>
          <w:r>
            <w:rPr>
              <w:rFonts w:hint="eastAsia"/>
            </w:rPr>
            <w:t>服务改进</w:t>
          </w:r>
          <w:r>
            <w:tab/>
          </w:r>
          <w:r>
            <w:fldChar w:fldCharType="begin"/>
          </w:r>
          <w:r>
            <w:instrText xml:space="preserve"> PAGEREF _Toc258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_Toc20768 </w:instrText>
          </w:r>
          <w:r>
            <w:rPr>
              <w:rFonts w:ascii="Microsoft JhengHei" w:eastAsia="Microsoft JhengHei" w:hAnsi="Microsoft JhengHei" w:cs="Microsoft JhengHei" w:hint="eastAsia"/>
              <w:szCs w:val="24"/>
            </w:rPr>
            <w:fldChar w:fldCharType="separate"/>
          </w:r>
          <w:r>
            <w:rPr>
              <w:rFonts w:hint="default"/>
            </w:rPr>
            <w:t xml:space="preserve">5.5. </w:t>
          </w:r>
          <w:r>
            <w:rPr>
              <w:rFonts w:hint="eastAsia"/>
            </w:rPr>
            <w:t>项目收尾阶段（项目验收）</w:t>
          </w:r>
          <w:r>
            <w:tab/>
          </w:r>
          <w:r>
            <w:fldChar w:fldCharType="begin"/>
          </w:r>
          <w:r>
            <w:instrText xml:space="preserve"> PAGEREF _Toc20768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_Toc16132 </w:instrText>
          </w:r>
          <w:r>
            <w:rPr>
              <w:rFonts w:ascii="Microsoft JhengHei" w:eastAsia="Microsoft JhengHei" w:hAnsi="Microsoft JhengHei" w:cs="Microsoft JhengHei" w:hint="eastAsia"/>
              <w:szCs w:val="24"/>
            </w:rPr>
            <w:fldChar w:fldCharType="separate"/>
          </w:r>
          <w:r>
            <w:rPr>
              <w:rFonts w:hint="default"/>
            </w:rPr>
            <w:t xml:space="preserve">6. </w:t>
          </w:r>
          <w:r>
            <w:rPr>
              <w:rFonts w:hint="eastAsia"/>
            </w:rPr>
            <w:t>人员行为与操作规范</w:t>
          </w:r>
          <w:r>
            <w:tab/>
          </w:r>
          <w:r>
            <w:fldChar w:fldCharType="begin"/>
          </w:r>
          <w:r>
            <w:instrText xml:space="preserve"> PAGEREF _Toc16132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_Toc17807 </w:instrText>
          </w:r>
          <w:r>
            <w:rPr>
              <w:rFonts w:ascii="Microsoft JhengHei" w:eastAsia="Microsoft JhengHei" w:hAnsi="Microsoft JhengHei" w:cs="Microsoft JhengHei" w:hint="eastAsia"/>
              <w:szCs w:val="24"/>
            </w:rPr>
            <w:fldChar w:fldCharType="separate"/>
          </w:r>
          <w:r>
            <w:rPr>
              <w:rFonts w:hint="default"/>
            </w:rPr>
            <w:t xml:space="preserve">6.1. </w:t>
          </w:r>
          <w:r>
            <w:rPr>
              <w:rFonts w:hint="eastAsia"/>
            </w:rPr>
            <w:t>运维流程</w:t>
          </w:r>
          <w:r>
            <w:tab/>
          </w:r>
          <w:r>
            <w:fldChar w:fldCharType="begin"/>
          </w:r>
          <w:r>
            <w:instrText xml:space="preserve"> PAGEREF _Toc17807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_Toc16507 </w:instrText>
          </w:r>
          <w:r>
            <w:rPr>
              <w:rFonts w:ascii="Microsoft JhengHei" w:eastAsia="Microsoft JhengHei" w:hAnsi="Microsoft JhengHei" w:cs="Microsoft JhengHei" w:hint="eastAsia"/>
              <w:szCs w:val="24"/>
            </w:rPr>
            <w:fldChar w:fldCharType="separate"/>
          </w:r>
          <w:r>
            <w:rPr>
              <w:rFonts w:hint="default"/>
            </w:rPr>
            <w:t xml:space="preserve">6.2. </w:t>
          </w:r>
          <w:r>
            <w:rPr>
              <w:rFonts w:hint="eastAsia"/>
            </w:rPr>
            <w:t>人员行为规范</w:t>
          </w:r>
          <w:r>
            <w:tab/>
          </w:r>
          <w:r>
            <w:fldChar w:fldCharType="begin"/>
          </w:r>
          <w:r>
            <w:instrText xml:space="preserve"> PAGEREF _Toc16507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_Toc26237 </w:instrText>
          </w:r>
          <w:r>
            <w:rPr>
              <w:rFonts w:ascii="Microsoft JhengHei" w:eastAsia="Microsoft JhengHei" w:hAnsi="Microsoft JhengHei" w:cs="Microsoft JhengHei" w:hint="eastAsia"/>
              <w:szCs w:val="24"/>
            </w:rPr>
            <w:fldChar w:fldCharType="separate"/>
          </w:r>
          <w:r>
            <w:rPr>
              <w:rFonts w:hint="default"/>
            </w:rPr>
            <w:t xml:space="preserve">6.2.1. </w:t>
          </w:r>
          <w:r>
            <w:rPr>
              <w:rFonts w:hint="eastAsia"/>
            </w:rPr>
            <w:t>服务礼仪规范</w:t>
          </w:r>
          <w:r>
            <w:tab/>
          </w:r>
          <w:r>
            <w:fldChar w:fldCharType="begin"/>
          </w:r>
          <w:r>
            <w:instrText xml:space="preserve"> PAGEREF _Toc26237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_Toc10453 </w:instrText>
          </w:r>
          <w:r>
            <w:rPr>
              <w:rFonts w:ascii="Microsoft JhengHei" w:eastAsia="Microsoft JhengHei" w:hAnsi="Microsoft JhengHei" w:cs="Microsoft JhengHei" w:hint="eastAsia"/>
              <w:szCs w:val="24"/>
            </w:rPr>
            <w:fldChar w:fldCharType="separate"/>
          </w:r>
          <w:r>
            <w:rPr>
              <w:rFonts w:hint="default"/>
            </w:rPr>
            <w:t xml:space="preserve">6.2.2. </w:t>
          </w:r>
          <w:r>
            <w:rPr>
              <w:rFonts w:hint="eastAsia"/>
            </w:rPr>
            <w:t>服务响应规范</w:t>
          </w:r>
          <w:r>
            <w:tab/>
          </w:r>
          <w:r>
            <w:fldChar w:fldCharType="begin"/>
          </w:r>
          <w:r>
            <w:instrText xml:space="preserve"> PAGEREF _Toc10453 \h </w:instrText>
          </w:r>
          <w:r>
            <w:fldChar w:fldCharType="separate"/>
          </w:r>
          <w:r>
            <w:t>8</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_Toc6823 </w:instrText>
          </w:r>
          <w:r>
            <w:rPr>
              <w:rFonts w:ascii="Microsoft JhengHei" w:eastAsia="Microsoft JhengHei" w:hAnsi="Microsoft JhengHei" w:cs="Microsoft JhengHei" w:hint="eastAsia"/>
              <w:szCs w:val="24"/>
            </w:rPr>
            <w:fldChar w:fldCharType="separate"/>
          </w:r>
          <w:r>
            <w:rPr>
              <w:rFonts w:hint="default"/>
            </w:rPr>
            <w:t xml:space="preserve">6.2.3. </w:t>
          </w:r>
          <w:r>
            <w:rPr>
              <w:rFonts w:hint="eastAsia"/>
            </w:rPr>
            <w:t>服务交付规范</w:t>
          </w:r>
          <w:r>
            <w:tab/>
          </w:r>
          <w:r>
            <w:fldChar w:fldCharType="begin"/>
          </w:r>
          <w:r>
            <w:instrText xml:space="preserve"> PAGEREF _Toc6823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_Toc22740 </w:instrText>
          </w:r>
          <w:r>
            <w:rPr>
              <w:rFonts w:ascii="Microsoft JhengHei" w:eastAsia="Microsoft JhengHei" w:hAnsi="Microsoft JhengHei" w:cs="Microsoft JhengHei" w:hint="eastAsia"/>
              <w:szCs w:val="24"/>
            </w:rPr>
            <w:fldChar w:fldCharType="separate"/>
          </w:r>
          <w:r>
            <w:rPr>
              <w:rFonts w:hint="default"/>
            </w:rPr>
            <w:t xml:space="preserve">6.2.4. </w:t>
          </w:r>
          <w:r>
            <w:rPr>
              <w:rFonts w:hint="eastAsia"/>
            </w:rPr>
            <w:t>文档填写规范</w:t>
          </w:r>
          <w:r>
            <w:tab/>
          </w:r>
          <w:r>
            <w:fldChar w:fldCharType="begin"/>
          </w:r>
          <w:r>
            <w:instrText xml:space="preserve"> PAGEREF _Toc22740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_Toc26837 </w:instrText>
          </w:r>
          <w:r>
            <w:rPr>
              <w:rFonts w:ascii="Microsoft JhengHei" w:eastAsia="Microsoft JhengHei" w:hAnsi="Microsoft JhengHei" w:cs="Microsoft JhengHei" w:hint="eastAsia"/>
              <w:szCs w:val="24"/>
            </w:rPr>
            <w:fldChar w:fldCharType="separate"/>
          </w:r>
          <w:r>
            <w:rPr>
              <w:rFonts w:hint="default"/>
            </w:rPr>
            <w:t xml:space="preserve">6.3. </w:t>
          </w:r>
          <w:r>
            <w:rPr>
              <w:rFonts w:hint="eastAsia"/>
            </w:rPr>
            <w:t>运维操作规范</w:t>
          </w:r>
          <w:r>
            <w:tab/>
          </w:r>
          <w:r>
            <w:fldChar w:fldCharType="begin"/>
          </w:r>
          <w:r>
            <w:instrText xml:space="preserve"> PAGEREF _Toc26837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_Toc2279 </w:instrText>
          </w:r>
          <w:r>
            <w:rPr>
              <w:rFonts w:ascii="Microsoft JhengHei" w:eastAsia="Microsoft JhengHei" w:hAnsi="Microsoft JhengHei" w:cs="Microsoft JhengHei" w:hint="eastAsia"/>
              <w:szCs w:val="24"/>
            </w:rPr>
            <w:fldChar w:fldCharType="separate"/>
          </w:r>
          <w:r>
            <w:rPr>
              <w:rFonts w:hint="default"/>
            </w:rPr>
            <w:t xml:space="preserve">6.3.1. </w:t>
          </w:r>
          <w:r>
            <w:rPr>
              <w:rFonts w:hint="eastAsia"/>
            </w:rPr>
            <w:t>视频会议运维操作规范</w:t>
          </w:r>
          <w:r>
            <w:tab/>
          </w:r>
          <w:r>
            <w:fldChar w:fldCharType="begin"/>
          </w:r>
          <w:r>
            <w:instrText xml:space="preserve"> PAGEREF _Toc2279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_Toc26971 </w:instrText>
          </w:r>
          <w:r>
            <w:rPr>
              <w:rFonts w:ascii="Microsoft JhengHei" w:eastAsia="Microsoft JhengHei" w:hAnsi="Microsoft JhengHei" w:cs="Microsoft JhengHei" w:hint="eastAsia"/>
              <w:szCs w:val="24"/>
            </w:rPr>
            <w:fldChar w:fldCharType="separate"/>
          </w:r>
          <w:r>
            <w:rPr>
              <w:rFonts w:hint="default"/>
            </w:rPr>
            <w:t xml:space="preserve">6.3.2. </w:t>
          </w:r>
          <w:r>
            <w:rPr>
              <w:rFonts w:hint="eastAsia"/>
            </w:rPr>
            <w:t>网络、服务器及存储系统运维</w:t>
          </w:r>
          <w:r>
            <w:tab/>
          </w:r>
          <w:r>
            <w:fldChar w:fldCharType="begin"/>
          </w:r>
          <w:r>
            <w:instrText xml:space="preserve"> PAGEREF _Toc26971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_Toc13109 </w:instrText>
          </w:r>
          <w:r>
            <w:rPr>
              <w:rFonts w:ascii="Microsoft JhengHei" w:eastAsia="Microsoft JhengHei" w:hAnsi="Microsoft JhengHei" w:cs="Microsoft JhengHei" w:hint="eastAsia"/>
              <w:szCs w:val="24"/>
            </w:rPr>
            <w:fldChar w:fldCharType="separate"/>
          </w:r>
          <w:r>
            <w:rPr>
              <w:rFonts w:hint="default"/>
            </w:rPr>
            <w:t xml:space="preserve">6.3.3. </w:t>
          </w:r>
          <w:r>
            <w:rPr>
              <w:rFonts w:hint="eastAsia"/>
            </w:rPr>
            <w:t>软交换系统运维规范</w:t>
          </w:r>
          <w:r>
            <w:tab/>
          </w:r>
          <w:r>
            <w:fldChar w:fldCharType="begin"/>
          </w:r>
          <w:r>
            <w:instrText xml:space="preserve"> PAGEREF _Toc13109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_Toc19580 </w:instrText>
          </w:r>
          <w:r>
            <w:rPr>
              <w:rFonts w:ascii="Microsoft JhengHei" w:eastAsia="Microsoft JhengHei" w:hAnsi="Microsoft JhengHei" w:cs="Microsoft JhengHei" w:hint="eastAsia"/>
              <w:szCs w:val="24"/>
            </w:rPr>
            <w:fldChar w:fldCharType="separate"/>
          </w:r>
          <w:r>
            <w:rPr>
              <w:rFonts w:hint="default"/>
            </w:rPr>
            <w:t xml:space="preserve">6.3.4. </w:t>
          </w:r>
          <w:r>
            <w:rPr>
              <w:rFonts w:hint="eastAsia"/>
            </w:rPr>
            <w:t>指挥调度系统运维</w:t>
          </w:r>
          <w:r>
            <w:tab/>
          </w:r>
          <w:r>
            <w:fldChar w:fldCharType="begin"/>
          </w:r>
          <w:r>
            <w:instrText xml:space="preserve"> PAGEREF _Toc19580 \h </w:instrText>
          </w:r>
          <w:r>
            <w:fldChar w:fldCharType="separate"/>
          </w:r>
          <w:r>
            <w:t>9</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_Toc13011 </w:instrText>
          </w:r>
          <w:r>
            <w:rPr>
              <w:rFonts w:ascii="Microsoft JhengHei" w:eastAsia="Microsoft JhengHei" w:hAnsi="Microsoft JhengHei" w:cs="Microsoft JhengHei" w:hint="eastAsia"/>
              <w:szCs w:val="24"/>
            </w:rPr>
            <w:fldChar w:fldCharType="separate"/>
          </w:r>
          <w:r>
            <w:rPr>
              <w:rFonts w:hint="default"/>
              <w:lang w:val="en-US" w:eastAsia="zh-CN"/>
            </w:rPr>
            <w:t xml:space="preserve">6.4. </w:t>
          </w:r>
          <w:r>
            <w:rPr>
              <w:rFonts w:hint="eastAsia"/>
              <w:lang w:val="en-US" w:eastAsia="zh-CN"/>
            </w:rPr>
            <w:t>交付内容、方式与检查规范</w:t>
          </w:r>
          <w:r>
            <w:tab/>
          </w:r>
          <w:r>
            <w:fldChar w:fldCharType="begin"/>
          </w:r>
          <w:r>
            <w:instrText xml:space="preserve"> PAGEREF _Toc13011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_Toc25909 </w:instrText>
          </w:r>
          <w:r>
            <w:rPr>
              <w:rFonts w:ascii="Microsoft JhengHei" w:eastAsia="Microsoft JhengHei" w:hAnsi="Microsoft JhengHei" w:cs="Microsoft JhengHei" w:hint="eastAsia"/>
              <w:szCs w:val="24"/>
            </w:rPr>
            <w:fldChar w:fldCharType="separate"/>
          </w:r>
          <w:r>
            <w:rPr>
              <w:rFonts w:hint="default"/>
              <w:lang w:val="en-US" w:eastAsia="zh-CN"/>
            </w:rPr>
            <w:t xml:space="preserve">6.4.1. </w:t>
          </w:r>
          <w:r>
            <w:rPr>
              <w:rFonts w:hint="eastAsia"/>
              <w:lang w:val="en-US" w:eastAsia="zh-CN"/>
            </w:rPr>
            <w:t>交付内容规范</w:t>
          </w:r>
          <w:r>
            <w:tab/>
          </w:r>
          <w:r>
            <w:fldChar w:fldCharType="begin"/>
          </w:r>
          <w:r>
            <w:instrText xml:space="preserve"> PAGEREF _Toc25909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_Toc27152 </w:instrText>
          </w:r>
          <w:r>
            <w:rPr>
              <w:rFonts w:ascii="Microsoft JhengHei" w:eastAsia="Microsoft JhengHei" w:hAnsi="Microsoft JhengHei" w:cs="Microsoft JhengHei" w:hint="eastAsia"/>
              <w:szCs w:val="24"/>
            </w:rPr>
            <w:fldChar w:fldCharType="separate"/>
          </w:r>
          <w:r>
            <w:rPr>
              <w:rFonts w:hint="default"/>
            </w:rPr>
            <w:t xml:space="preserve">6.4.2. </w:t>
          </w:r>
          <w:r>
            <w:rPr>
              <w:rFonts w:hint="eastAsia"/>
              <w:lang w:val="en-US" w:eastAsia="zh-CN"/>
            </w:rPr>
            <w:t>交付方式规范</w:t>
          </w:r>
          <w:r>
            <w:tab/>
          </w:r>
          <w:r>
            <w:fldChar w:fldCharType="begin"/>
          </w:r>
          <w:r>
            <w:instrText xml:space="preserve"> PAGEREF _Toc27152 \h </w:instrText>
          </w:r>
          <w:r>
            <w:fldChar w:fldCharType="separate"/>
          </w:r>
          <w:r>
            <w:t>10</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_Toc25324 </w:instrText>
          </w:r>
          <w:r>
            <w:rPr>
              <w:rFonts w:ascii="Microsoft JhengHei" w:eastAsia="Microsoft JhengHei" w:hAnsi="Microsoft JhengHei" w:cs="Microsoft JhengHei" w:hint="eastAsia"/>
              <w:szCs w:val="24"/>
            </w:rPr>
            <w:fldChar w:fldCharType="separate"/>
          </w:r>
          <w:r>
            <w:rPr>
              <w:rFonts w:hint="default"/>
              <w:lang w:val="en-US" w:eastAsia="zh-CN"/>
            </w:rPr>
            <w:t xml:space="preserve">6.4.3. </w:t>
          </w:r>
          <w:r>
            <w:rPr>
              <w:rFonts w:hint="eastAsia"/>
              <w:lang w:val="en-US" w:eastAsia="zh-CN"/>
            </w:rPr>
            <w:t>交付检查机制</w:t>
          </w:r>
          <w:r>
            <w:tab/>
          </w:r>
          <w:r>
            <w:fldChar w:fldCharType="begin"/>
          </w:r>
          <w:r>
            <w:instrText xml:space="preserve"> PAGEREF _Toc25324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_Toc4025 </w:instrText>
          </w:r>
          <w:r>
            <w:rPr>
              <w:rFonts w:ascii="Microsoft JhengHei" w:eastAsia="Microsoft JhengHei" w:hAnsi="Microsoft JhengHei" w:cs="Microsoft JhengHei" w:hint="eastAsia"/>
              <w:szCs w:val="24"/>
            </w:rPr>
            <w:fldChar w:fldCharType="separate"/>
          </w:r>
          <w:r>
            <w:rPr>
              <w:rFonts w:hint="default"/>
            </w:rPr>
            <w:t xml:space="preserve">7. </w:t>
          </w:r>
          <w:r>
            <w:rPr>
              <w:rFonts w:hint="eastAsia"/>
            </w:rPr>
            <w:t>风险控制管理</w:t>
          </w:r>
          <w:r>
            <w:tab/>
          </w:r>
          <w:r>
            <w:fldChar w:fldCharType="begin"/>
          </w:r>
          <w:r>
            <w:instrText xml:space="preserve"> PAGEREF _Toc4025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_Toc31264 </w:instrText>
          </w:r>
          <w:r>
            <w:rPr>
              <w:rFonts w:ascii="Microsoft JhengHei" w:eastAsia="Microsoft JhengHei" w:hAnsi="Microsoft JhengHei" w:cs="Microsoft JhengHei" w:hint="eastAsia"/>
              <w:szCs w:val="24"/>
            </w:rPr>
            <w:fldChar w:fldCharType="separate"/>
          </w:r>
          <w:r>
            <w:rPr>
              <w:rFonts w:hint="default"/>
            </w:rPr>
            <w:t xml:space="preserve">7.1. </w:t>
          </w:r>
          <w:r>
            <w:rPr>
              <w:rFonts w:hint="eastAsia"/>
            </w:rPr>
            <w:t>管控目标</w:t>
          </w:r>
          <w:r>
            <w:tab/>
          </w:r>
          <w:r>
            <w:fldChar w:fldCharType="begin"/>
          </w:r>
          <w:r>
            <w:instrText xml:space="preserve"> PAGEREF _Toc31264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2"/>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_Toc949 </w:instrText>
          </w:r>
          <w:r>
            <w:rPr>
              <w:rFonts w:ascii="Microsoft JhengHei" w:eastAsia="Microsoft JhengHei" w:hAnsi="Microsoft JhengHei" w:cs="Microsoft JhengHei" w:hint="eastAsia"/>
              <w:szCs w:val="24"/>
            </w:rPr>
            <w:fldChar w:fldCharType="separate"/>
          </w:r>
          <w:r>
            <w:rPr>
              <w:rFonts w:hint="default"/>
            </w:rPr>
            <w:t xml:space="preserve">7.2. </w:t>
          </w:r>
          <w:r>
            <w:rPr>
              <w:rFonts w:hint="eastAsia"/>
            </w:rPr>
            <w:t>风险管理过程</w:t>
          </w:r>
          <w:r>
            <w:tab/>
          </w:r>
          <w:r>
            <w:fldChar w:fldCharType="begin"/>
          </w:r>
          <w:r>
            <w:instrText xml:space="preserve"> PAGEREF _Toc949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_Toc31499 </w:instrText>
          </w:r>
          <w:r>
            <w:rPr>
              <w:rFonts w:ascii="Microsoft JhengHei" w:eastAsia="Microsoft JhengHei" w:hAnsi="Microsoft JhengHei" w:cs="Microsoft JhengHei" w:hint="eastAsia"/>
              <w:szCs w:val="24"/>
            </w:rPr>
            <w:fldChar w:fldCharType="separate"/>
          </w:r>
          <w:r>
            <w:rPr>
              <w:rFonts w:hint="default"/>
            </w:rPr>
            <w:t xml:space="preserve">7.2.1. </w:t>
          </w:r>
          <w:r>
            <w:rPr>
              <w:rFonts w:hint="eastAsia"/>
            </w:rPr>
            <w:t>风险识别</w:t>
          </w:r>
          <w:r>
            <w:tab/>
          </w:r>
          <w:r>
            <w:fldChar w:fldCharType="begin"/>
          </w:r>
          <w:r>
            <w:instrText xml:space="preserve"> PAGEREF _Toc31499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_Toc19834 </w:instrText>
          </w:r>
          <w:r>
            <w:rPr>
              <w:rFonts w:ascii="Microsoft JhengHei" w:eastAsia="Microsoft JhengHei" w:hAnsi="Microsoft JhengHei" w:cs="Microsoft JhengHei" w:hint="eastAsia"/>
              <w:szCs w:val="24"/>
            </w:rPr>
            <w:fldChar w:fldCharType="separate"/>
          </w:r>
          <w:r>
            <w:rPr>
              <w:rFonts w:hint="default"/>
            </w:rPr>
            <w:t xml:space="preserve">7.2.2. </w:t>
          </w:r>
          <w:r>
            <w:rPr>
              <w:rFonts w:hint="eastAsia"/>
            </w:rPr>
            <w:t>风险定性定量分析</w:t>
          </w:r>
          <w:r>
            <w:tab/>
          </w:r>
          <w:r>
            <w:fldChar w:fldCharType="begin"/>
          </w:r>
          <w:r>
            <w:instrText xml:space="preserve"> PAGEREF _Toc19834 \h </w:instrText>
          </w:r>
          <w:r>
            <w:fldChar w:fldCharType="separate"/>
          </w:r>
          <w:r>
            <w:t>11</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_Toc3789 </w:instrText>
          </w:r>
          <w:r>
            <w:rPr>
              <w:rFonts w:ascii="Microsoft JhengHei" w:eastAsia="Microsoft JhengHei" w:hAnsi="Microsoft JhengHei" w:cs="Microsoft JhengHei" w:hint="eastAsia"/>
              <w:szCs w:val="24"/>
            </w:rPr>
            <w:fldChar w:fldCharType="separate"/>
          </w:r>
          <w:r>
            <w:rPr>
              <w:rFonts w:hint="default"/>
            </w:rPr>
            <w:t xml:space="preserve">7.2.3. </w:t>
          </w:r>
          <w:r>
            <w:rPr>
              <w:rFonts w:hint="eastAsia"/>
            </w:rPr>
            <w:t>风险应对措施</w:t>
          </w:r>
          <w:r>
            <w:tab/>
          </w:r>
          <w:r>
            <w:fldChar w:fldCharType="begin"/>
          </w:r>
          <w:r>
            <w:instrText xml:space="preserve"> PAGEREF _Toc3789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_Toc15137 </w:instrText>
          </w:r>
          <w:r>
            <w:rPr>
              <w:rFonts w:ascii="Microsoft JhengHei" w:eastAsia="Microsoft JhengHei" w:hAnsi="Microsoft JhengHei" w:cs="Microsoft JhengHei" w:hint="eastAsia"/>
              <w:szCs w:val="24"/>
            </w:rPr>
            <w:fldChar w:fldCharType="separate"/>
          </w:r>
          <w:r>
            <w:rPr>
              <w:rFonts w:hint="default"/>
            </w:rPr>
            <w:t xml:space="preserve">7.2.4. </w:t>
          </w:r>
          <w:r>
            <w:rPr>
              <w:rFonts w:hint="eastAsia"/>
            </w:rPr>
            <w:t>风险跟踪与监控</w:t>
          </w:r>
          <w:r>
            <w:tab/>
          </w:r>
          <w:r>
            <w:fldChar w:fldCharType="begin"/>
          </w:r>
          <w:r>
            <w:instrText xml:space="preserve"> PAGEREF _Toc15137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_Toc22188 </w:instrText>
          </w:r>
          <w:r>
            <w:rPr>
              <w:rFonts w:ascii="Microsoft JhengHei" w:eastAsia="Microsoft JhengHei" w:hAnsi="Microsoft JhengHei" w:cs="Microsoft JhengHei" w:hint="eastAsia"/>
              <w:szCs w:val="24"/>
            </w:rPr>
            <w:fldChar w:fldCharType="separate"/>
          </w:r>
          <w:r>
            <w:rPr>
              <w:rFonts w:hint="default"/>
            </w:rPr>
            <w:t xml:space="preserve">7.2.5. </w:t>
          </w:r>
          <w:r>
            <w:rPr>
              <w:rFonts w:hint="eastAsia"/>
            </w:rPr>
            <w:t>运维项目后续风险管理</w:t>
          </w:r>
          <w:r>
            <w:tab/>
          </w:r>
          <w:r>
            <w:fldChar w:fldCharType="begin"/>
          </w:r>
          <w:r>
            <w:instrText xml:space="preserve"> PAGEREF _Toc22188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3"/>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_Toc3623 </w:instrText>
          </w:r>
          <w:r>
            <w:rPr>
              <w:rFonts w:ascii="Microsoft JhengHei" w:eastAsia="Microsoft JhengHei" w:hAnsi="Microsoft JhengHei" w:cs="Microsoft JhengHei" w:hint="eastAsia"/>
              <w:szCs w:val="24"/>
            </w:rPr>
            <w:fldChar w:fldCharType="separate"/>
          </w:r>
          <w:r>
            <w:rPr>
              <w:rFonts w:hint="default"/>
            </w:rPr>
            <w:t xml:space="preserve">7.2.6. </w:t>
          </w:r>
          <w:r>
            <w:rPr>
              <w:rFonts w:hint="eastAsia"/>
            </w:rPr>
            <w:t>风险控制流程</w:t>
          </w:r>
          <w:r>
            <w:tab/>
          </w:r>
          <w:r>
            <w:fldChar w:fldCharType="begin"/>
          </w:r>
          <w:r>
            <w:instrText xml:space="preserve"> PAGEREF _Toc3623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pStyle w:val="TOC1"/>
            <w:tabs>
              <w:tab w:val="right" w:leader="dot" w:pos="8336"/>
            </w:tabs>
          </w:pPr>
          <w:r>
            <w:rPr>
              <w:rFonts w:ascii="Microsoft JhengHei" w:eastAsia="Microsoft JhengHei" w:hAnsi="Microsoft JhengHei" w:cs="Microsoft JhengHei" w:hint="eastAsia"/>
              <w:szCs w:val="24"/>
            </w:rPr>
            <w:fldChar w:fldCharType="begin"/>
          </w:r>
          <w:r>
            <w:rPr>
              <w:rFonts w:ascii="Microsoft JhengHei" w:eastAsia="Microsoft JhengHei" w:hAnsi="Microsoft JhengHei" w:cs="Microsoft JhengHei" w:hint="eastAsia"/>
              <w:szCs w:val="24"/>
            </w:rPr>
            <w:instrText xml:space="preserve"> HYPERLINK \l _Toc18006 </w:instrText>
          </w:r>
          <w:r>
            <w:rPr>
              <w:rFonts w:ascii="Microsoft JhengHei" w:eastAsia="Microsoft JhengHei" w:hAnsi="Microsoft JhengHei" w:cs="Microsoft JhengHei" w:hint="eastAsia"/>
              <w:szCs w:val="24"/>
            </w:rPr>
            <w:fldChar w:fldCharType="separate"/>
          </w:r>
          <w:r>
            <w:rPr>
              <w:rFonts w:hint="default"/>
            </w:rPr>
            <w:t xml:space="preserve">8. </w:t>
          </w:r>
          <w:r>
            <w:rPr>
              <w:rFonts w:hint="eastAsia"/>
            </w:rPr>
            <w:t>考核指标</w:t>
          </w:r>
          <w:r>
            <w:tab/>
          </w:r>
          <w:r>
            <w:fldChar w:fldCharType="begin"/>
          </w:r>
          <w:r>
            <w:instrText xml:space="preserve"> PAGEREF _Toc18006 \h </w:instrText>
          </w:r>
          <w:r>
            <w:fldChar w:fldCharType="separate"/>
          </w:r>
          <w:r>
            <w:t>12</w:t>
          </w:r>
          <w:r>
            <w:fldChar w:fldCharType="end"/>
          </w:r>
          <w:r>
            <w:rPr>
              <w:rFonts w:ascii="Microsoft JhengHei" w:eastAsia="Microsoft JhengHei" w:hAnsi="Microsoft JhengHei" w:cs="Microsoft JhengHei"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1"/>
              <w:lang w:val="en-US" w:eastAsia="en-US" w:bidi="ar-SA"/>
            </w:rPr>
          </w:pPr>
          <w:r>
            <w:rPr>
              <w:rFonts w:ascii="Microsoft JhengHei" w:eastAsia="Microsoft JhengHei" w:hAnsi="Microsoft JhengHei" w:cs="Microsoft JhengHei"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spacing w:line="220" w:lineRule="auto"/>
        <w:textAlignment w:val="baseline"/>
        <w:rPr>
          <w:rFonts w:ascii="Times New Roman" w:eastAsia="Times New Roman" w:hAnsi="Times New Roman" w:cs="Times New Roman"/>
          <w:snapToGrid w:val="0"/>
          <w:color w:val="000000"/>
          <w:kern w:val="0"/>
          <w:sz w:val="21"/>
          <w:szCs w:val="21"/>
          <w:lang w:val="en-US" w:eastAsia="en-US" w:bidi="ar-SA"/>
        </w:rPr>
        <w:sectPr>
          <w:footerReference w:type="default" r:id="rId6"/>
          <w:pgSz w:w="11906" w:h="16839"/>
          <w:pgMar w:top="1431" w:right="1785" w:bottom="1152" w:left="1785" w:header="0" w:footer="992" w:gutter="0"/>
          <w:cols w:num="1" w:space="720"/>
        </w:sect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3" w:name="_Toc9580"/>
      <w:r>
        <w:rPr>
          <w:rFonts w:hint="eastAsia"/>
        </w:rPr>
        <w:t>目的</w:t>
      </w:r>
      <w:bookmarkEnd w:id="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为规范化管理运维服务业务中所承担运维项目的运维团队，指导运维项目管理的流程和要求，明确运维服务例行操作各环节的执行规范及交付过程中的风险管控策略，确保运维项目正常、有序、安全、高质量地开展，特制定本综合规范。</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4" w:name="_Toc16256"/>
      <w:r>
        <w:rPr>
          <w:rFonts w:hint="eastAsia"/>
        </w:rPr>
        <w:t>适用范围</w:t>
      </w:r>
      <w:bookmarkEnd w:id="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本规范适用于江苏云储智能科技有限公司所承接的所有运维服务项目。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5" w:name="_Toc716"/>
      <w:r>
        <w:rPr>
          <w:rFonts w:hint="eastAsia"/>
        </w:rPr>
        <w:t>岗位职责</w:t>
      </w:r>
      <w:bookmarkEnd w:id="5"/>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6" w:name="_Toc26686"/>
      <w:r>
        <w:rPr>
          <w:rFonts w:hint="eastAsia"/>
          <w:lang w:eastAsia="zh-CN"/>
        </w:rPr>
        <w:t>运维部</w:t>
      </w:r>
      <w:r>
        <w:rPr>
          <w:rFonts w:hint="eastAsia"/>
        </w:rPr>
        <w:t>经理</w:t>
      </w:r>
      <w:bookmarkEnd w:id="6"/>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负责收集驻场单位客户需求及反馈。</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负责项目的全面管理，对项目的质量、成本等全面负责。</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负责项目立项、团队组建、计划制定及验收收尾工作。</w:t>
      </w:r>
    </w:p>
    <w:p>
      <w:pPr>
        <w:pStyle w:val="a3"/>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牵头负责风险管控及应急管理。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7" w:name="_Toc15891"/>
      <w:r>
        <w:rPr>
          <w:rFonts w:hint="eastAsia"/>
        </w:rPr>
        <w:t>技术支持工程师</w:t>
      </w:r>
      <w:bookmarkEnd w:id="7"/>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负责项目实施前的需求调研、方案制定、投标等工作。</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负责收集非驻场单位（维保类）项目需求。</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负责驻场单位服务制度制定，执行体系文件。</w:t>
      </w:r>
    </w:p>
    <w:p>
      <w:pPr>
        <w:pStyle w:val="a3"/>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参与合同技术协议起草及评审。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8" w:name="_Toc11655"/>
      <w:r>
        <w:rPr>
          <w:rFonts w:hint="eastAsia"/>
        </w:rPr>
        <w:t>运维实施工程师</w:t>
      </w:r>
      <w:bookmarkEnd w:id="8"/>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进行项目的实施和维护工作，包括项目前期的支持、方案讲解。</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负责实施过程的监督管理、安装、培训、使用指导及维护协调。</w:t>
      </w:r>
    </w:p>
    <w:p>
      <w:pPr>
        <w:pStyle w:val="a3"/>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eastAsia"/>
        </w:rPr>
      </w:pPr>
      <w:r>
        <w:rPr>
          <w:rFonts w:hint="eastAsia"/>
        </w:rPr>
        <w:t>执行日常运维操作，填写相关服务记录。</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9" w:name="_Toc16900"/>
      <w:r>
        <w:rPr>
          <w:rFonts w:hint="eastAsia"/>
        </w:rPr>
        <w:t>场景分类</w:t>
      </w:r>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0" w:name="_Toc31468"/>
      <w:r>
        <w:rPr>
          <w:rFonts w:hint="eastAsia"/>
        </w:rPr>
        <w:t>运维模式</w:t>
      </w:r>
      <w:bookmarkEnd w:id="10"/>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运维类项目和维保类项目分为驻场服务和非驻场服务。</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1" w:name="_Toc20552"/>
      <w:r>
        <w:rPr>
          <w:rFonts w:hint="eastAsia"/>
        </w:rPr>
        <w:t>合作模式</w:t>
      </w:r>
      <w:bookmarkEnd w:id="11"/>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分为新建项目和续签类项目。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2" w:name="_Toc26221"/>
      <w:r>
        <w:rPr>
          <w:rFonts w:hint="eastAsia"/>
        </w:rPr>
        <w:t>交付管理总则</w:t>
      </w:r>
      <w:bookmarkEnd w:id="12"/>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公司在向客户提供运维服务的过程中，通过交付策划、交付实施、交付检查和交付改进等管理活动，确保交付质量得到有效控制，以达到服务级别协议要求。</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3" w:name="_Toc24071"/>
      <w:r>
        <w:rPr>
          <w:rFonts w:hint="eastAsia"/>
        </w:rPr>
        <w:t>项目需求分析</w:t>
      </w:r>
      <w:bookmarkEnd w:id="13"/>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项目需求主要来源于驻场单位（由</w:t>
      </w:r>
      <w:r>
        <w:rPr>
          <w:rFonts w:hint="eastAsia"/>
          <w:lang w:eastAsia="zh-CN"/>
        </w:rPr>
        <w:t>运维部</w:t>
      </w:r>
      <w:r>
        <w:rPr>
          <w:rFonts w:hint="eastAsia"/>
        </w:rPr>
        <w:t>经理收集）和非驻场单位（由技术支持工程师收集）。</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服务单位项目需求：新建项目由技术支持工程师接洽；续签项目由</w:t>
      </w:r>
      <w:r>
        <w:rPr>
          <w:rFonts w:hint="eastAsia"/>
          <w:lang w:eastAsia="zh-CN"/>
        </w:rPr>
        <w:t>运维部</w:t>
      </w:r>
      <w:r>
        <w:rPr>
          <w:rFonts w:hint="eastAsia"/>
        </w:rPr>
        <w:t>经理沟通SLA变化并协调市场部重新定价签约。</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维保类项目需求：由技术支持工程师负责收集、沟通并分类，移交相应部门承接。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4" w:name="_Toc4875"/>
      <w:r>
        <w:rPr>
          <w:rFonts w:hint="eastAsia"/>
        </w:rPr>
        <w:t>项目立项</w:t>
      </w:r>
      <w:bookmarkEnd w:id="14"/>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lang w:eastAsia="zh-CN"/>
        </w:rPr>
        <w:t>运维部</w:t>
      </w:r>
      <w:r>
        <w:rPr>
          <w:rFonts w:hint="eastAsia"/>
        </w:rPr>
        <w:t>经理在接收新项目后，负责立项，组建筹备组进行现场调研，编写项目方案或投标文件。中标后，协同市场部起草合同（商务合同由市场部起草，技术协议由</w:t>
      </w:r>
      <w:r>
        <w:rPr>
          <w:rFonts w:hint="eastAsia"/>
          <w:lang w:eastAsia="zh-CN"/>
        </w:rPr>
        <w:t>运维部</w:t>
      </w:r>
      <w:r>
        <w:rPr>
          <w:rFonts w:hint="eastAsia"/>
        </w:rPr>
        <w:t>经理起草），组织评审并报法务审批。</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本阶段交付物：《项目方案》/《投标文件》、《商务合同》、《技术协议》、《调研报告》。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5" w:name="_Toc695"/>
      <w:r>
        <w:rPr>
          <w:rFonts w:hint="eastAsia"/>
        </w:rPr>
        <w:t>项目启动及准备</w:t>
      </w:r>
      <w:bookmarkEnd w:id="1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6" w:name="_Toc8443"/>
      <w:r>
        <w:rPr>
          <w:rFonts w:hint="eastAsia"/>
        </w:rPr>
        <w:t>组建项目团队</w:t>
      </w:r>
      <w:bookmarkEnd w:id="16"/>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合同签订后，</w:t>
      </w:r>
      <w:r>
        <w:rPr>
          <w:rFonts w:hint="eastAsia"/>
          <w:lang w:eastAsia="zh-CN"/>
        </w:rPr>
        <w:t>运维部</w:t>
      </w:r>
      <w:r>
        <w:rPr>
          <w:rFonts w:hint="eastAsia"/>
        </w:rPr>
        <w:t>经理组建服务团队，建立服务台，召开项目启动会，明确职责分工。</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本阶段交付物：《项目启动会议纪要》、《项目职责分工表》、《项目联系人名单》。</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7" w:name="_Toc29189"/>
      <w:r>
        <w:rPr>
          <w:rFonts w:hint="eastAsia"/>
        </w:rPr>
        <w:t>技术准备</w:t>
      </w:r>
      <w:bookmarkEnd w:id="17"/>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在驻场单位建立自动运维脚本，提升效率，减少人工负荷。</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8" w:name="_Toc24666"/>
      <w:r>
        <w:rPr>
          <w:rFonts w:hint="eastAsia"/>
        </w:rPr>
        <w:t>过程准备</w:t>
      </w:r>
      <w:bookmarkEnd w:id="18"/>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制定运维服务计划、SOP技术手册、服务组制度规范及组织架构图。对团队成员进行上岗前培训。</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本阶段交付物：《运维服务计划》、《SOP手册》。</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19" w:name="_Toc562"/>
      <w:r>
        <w:rPr>
          <w:rFonts w:hint="eastAsia"/>
        </w:rPr>
        <w:t>资源准备</w:t>
      </w:r>
      <w:bookmarkEnd w:id="19"/>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整理客户配置信息并录入运维工具；建立监控机制；如需备件，提交《项目备件需求》；建立周报、月报等管理机制。</w:t>
      </w:r>
    </w:p>
    <w:p>
      <w:pPr>
        <w:pStyle w:val="a"/>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本阶段交付物：《项目备件需求》、《服务组工作规范》。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0" w:name="_Toc25232"/>
      <w:r>
        <w:rPr>
          <w:rFonts w:hint="eastAsia"/>
        </w:rPr>
        <w:t>项目实施</w:t>
      </w:r>
      <w:bookmarkEnd w:id="20"/>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1" w:name="_Toc2675"/>
      <w:r>
        <w:rPr>
          <w:rFonts w:hint="eastAsia"/>
        </w:rPr>
        <w:t>服务实施</w:t>
      </w:r>
      <w:bookmarkEnd w:id="21"/>
    </w:p>
    <w:p>
      <w:pPr>
        <w:pStyle w:val="a"/>
        <w:bidi w:val="0"/>
        <w:rPr>
          <w:rFonts w:hint="eastAsia"/>
        </w:rPr>
      </w:pPr>
      <w:r>
        <w:rPr>
          <w:rFonts w:hint="eastAsia"/>
        </w:rPr>
        <w:t>按照《运维服务管理计划》开展日常工作，包括值班巡检、系统维护、会议汇报、客户培训等，并严格执行事件和问题管理流程。</w:t>
      </w:r>
    </w:p>
    <w:p>
      <w:pPr>
        <w:pStyle w:val="a"/>
        <w:bidi w:val="0"/>
        <w:rPr>
          <w:rFonts w:hint="eastAsia"/>
        </w:rPr>
      </w:pPr>
      <w:r>
        <w:rPr>
          <w:rFonts w:hint="eastAsia"/>
        </w:rPr>
        <w:t>本阶段交付物：各类系统维护文档、日常记录、会议纪要、培训记录等（详见原表）。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bookmarkStart w:id="22" w:name="_Toc10183"/>
      <w:r>
        <w:rPr>
          <w:rFonts w:hint="eastAsia"/>
        </w:rPr>
        <w:t>服务监控</w:t>
      </w:r>
      <w:bookmarkEnd w:id="22"/>
    </w:p>
    <w:p>
      <w:pPr>
        <w:pStyle w:val="a"/>
        <w:bidi w:val="0"/>
        <w:rPr>
          <w:rFonts w:hint="eastAsia"/>
        </w:rPr>
      </w:pPr>
      <w:r>
        <w:rPr>
          <w:rFonts w:hint="eastAsia"/>
        </w:rPr>
        <w:t>对运维服务过程和质量进行监视测量，包括系统监控、服务质量检查、客户满意度调查等，确保SLA达成。</w:t>
      </w:r>
    </w:p>
    <w:p>
      <w:pPr>
        <w:pStyle w:val="a"/>
        <w:bidi w:val="0"/>
        <w:rPr>
          <w:rFonts w:hint="eastAsia"/>
        </w:rPr>
      </w:pPr>
      <w:r>
        <w:rPr>
          <w:rFonts w:hint="eastAsia"/>
        </w:rPr>
        <w:t>本阶段交付物：《系统运行监控报告》、《设备状态监控报告》、《客户满意度调查表》、《SLA达标情况检查》等。</w:t>
      </w:r>
    </w:p>
    <w:p>
      <w:pPr>
        <w:pStyle w:val="3"/>
        <w:bidi w:val="0"/>
        <w:rPr>
          <w:rFonts w:hint="eastAsia"/>
        </w:rPr>
      </w:pPr>
      <w:bookmarkStart w:id="23" w:name="_Toc258"/>
      <w:r>
        <w:rPr>
          <w:rFonts w:hint="eastAsia"/>
        </w:rPr>
        <w:t>服务改进</w:t>
      </w:r>
      <w:bookmarkEnd w:id="23"/>
    </w:p>
    <w:p>
      <w:pPr>
        <w:pStyle w:val="a"/>
        <w:bidi w:val="0"/>
        <w:rPr>
          <w:rFonts w:hint="eastAsia"/>
        </w:rPr>
      </w:pPr>
      <w:r>
        <w:rPr>
          <w:rFonts w:hint="eastAsia"/>
        </w:rPr>
        <w:t>基于监控和数据分析结果，识别差距，制定并实施改进计划，跟踪改进效果。重大改进需客户确认。</w:t>
      </w:r>
    </w:p>
    <w:p>
      <w:pPr>
        <w:pStyle w:val="a"/>
        <w:bidi w:val="0"/>
        <w:rPr>
          <w:rFonts w:hint="eastAsia"/>
        </w:rPr>
      </w:pPr>
      <w:r>
        <w:rPr>
          <w:rFonts w:hint="eastAsia"/>
        </w:rPr>
        <w:t>本阶段交付物：《服务改进记录》、《变更管理表》、《配置管理记录》。</w:t>
      </w:r>
    </w:p>
    <w:p>
      <w:pPr>
        <w:pStyle w:val="2"/>
        <w:bidi w:val="0"/>
        <w:rPr>
          <w:rFonts w:hint="eastAsia"/>
        </w:rPr>
      </w:pPr>
      <w:bookmarkStart w:id="24" w:name="_Toc20768"/>
      <w:r>
        <w:rPr>
          <w:rFonts w:hint="eastAsia"/>
        </w:rPr>
        <w:t>项目收尾阶段（项目验收）</w:t>
      </w:r>
      <w:bookmarkEnd w:id="24"/>
    </w:p>
    <w:p>
      <w:pPr>
        <w:pStyle w:val="a"/>
        <w:bidi w:val="0"/>
        <w:rPr>
          <w:rFonts w:hint="eastAsia"/>
        </w:rPr>
      </w:pPr>
      <w:r>
        <w:rPr>
          <w:rFonts w:hint="eastAsia"/>
        </w:rPr>
        <w:t>项目周期结束前，进行总结与验收，提出改进建议，归档所有项目文档。</w:t>
      </w:r>
    </w:p>
    <w:p>
      <w:pPr>
        <w:pStyle w:val="a"/>
        <w:bidi w:val="0"/>
        <w:rPr>
          <w:rFonts w:hint="eastAsia"/>
        </w:rPr>
      </w:pPr>
      <w:r>
        <w:rPr>
          <w:rFonts w:hint="eastAsia"/>
        </w:rPr>
        <w:t>本阶段交付物：《年运行服务报告》、《运维服务评价表》、《验收报告》、《整改建议书》、《运维项目文档集》。</w:t>
      </w:r>
    </w:p>
    <w:p>
      <w:pPr>
        <w:pStyle w:val="1"/>
        <w:bidi w:val="0"/>
        <w:rPr>
          <w:rFonts w:hint="eastAsia"/>
        </w:rPr>
      </w:pPr>
      <w:bookmarkStart w:id="25" w:name="_Toc16132"/>
      <w:r>
        <w:rPr>
          <w:rFonts w:hint="eastAsia"/>
        </w:rPr>
        <w:t>人员行为与操作规范</w:t>
      </w:r>
      <w:bookmarkEnd w:id="25"/>
    </w:p>
    <w:p>
      <w:pPr>
        <w:pStyle w:val="2"/>
        <w:bidi w:val="0"/>
        <w:rPr>
          <w:rFonts w:hint="eastAsia"/>
        </w:rPr>
      </w:pPr>
      <w:bookmarkStart w:id="26" w:name="_Toc17807"/>
      <w:r>
        <w:rPr>
          <w:rFonts w:hint="eastAsia"/>
        </w:rPr>
        <w:t>运维流程</w:t>
      </w:r>
      <w:bookmarkEnd w:id="26"/>
    </w:p>
    <w:p>
      <w:pPr>
        <w:pStyle w:val="a3"/>
        <w:numPr>
          <w:ilvl w:val="0"/>
          <w:numId w:val="5"/>
        </w:numPr>
        <w:bidi w:val="0"/>
        <w:ind w:left="425" w:hanging="425" w:leftChars="0" w:firstLineChars="0"/>
        <w:rPr>
          <w:rFonts w:hint="eastAsia"/>
        </w:rPr>
      </w:pPr>
      <w:r>
        <w:rPr>
          <w:rFonts w:hint="eastAsia"/>
        </w:rPr>
        <w:t>电话预约。</w:t>
      </w:r>
    </w:p>
    <w:p>
      <w:pPr>
        <w:pStyle w:val="a3"/>
        <w:numPr>
          <w:ilvl w:val="0"/>
          <w:numId w:val="5"/>
        </w:numPr>
        <w:bidi w:val="0"/>
        <w:ind w:left="425" w:hanging="425" w:leftChars="0" w:firstLineChars="0"/>
        <w:rPr>
          <w:rFonts w:hint="eastAsia"/>
        </w:rPr>
      </w:pPr>
      <w:r>
        <w:rPr>
          <w:rFonts w:hint="eastAsia"/>
        </w:rPr>
        <w:t>提前一周制定运维计划表并与客户确认。</w:t>
      </w:r>
    </w:p>
    <w:p>
      <w:pPr>
        <w:pStyle w:val="a3"/>
        <w:numPr>
          <w:ilvl w:val="0"/>
          <w:numId w:val="5"/>
        </w:numPr>
        <w:bidi w:val="0"/>
        <w:ind w:left="425" w:hanging="425" w:leftChars="0" w:firstLineChars="0"/>
        <w:rPr>
          <w:rFonts w:hint="eastAsia"/>
        </w:rPr>
      </w:pPr>
      <w:r>
        <w:rPr>
          <w:rFonts w:hint="eastAsia"/>
        </w:rPr>
        <w:t>按计划执行运维。</w:t>
      </w:r>
    </w:p>
    <w:p>
      <w:pPr>
        <w:pStyle w:val="a3"/>
        <w:numPr>
          <w:ilvl w:val="0"/>
          <w:numId w:val="5"/>
        </w:numPr>
        <w:bidi w:val="0"/>
        <w:ind w:left="425" w:hanging="425" w:leftChars="0" w:firstLineChars="0"/>
        <w:rPr>
          <w:rFonts w:hint="eastAsia"/>
        </w:rPr>
      </w:pPr>
      <w:r>
        <w:rPr>
          <w:rFonts w:hint="eastAsia"/>
        </w:rPr>
        <w:t>运维后三个工作日内提交报告及建议。</w:t>
      </w:r>
    </w:p>
    <w:p>
      <w:pPr>
        <w:pStyle w:val="a3"/>
        <w:numPr>
          <w:ilvl w:val="0"/>
          <w:numId w:val="5"/>
        </w:numPr>
        <w:bidi w:val="0"/>
        <w:ind w:left="425" w:hanging="425" w:leftChars="0" w:firstLineChars="0"/>
        <w:rPr>
          <w:rFonts w:hint="eastAsia"/>
        </w:rPr>
      </w:pPr>
      <w:r>
        <w:rPr>
          <w:rFonts w:hint="eastAsia"/>
        </w:rPr>
        <w:t>三日内现场回访。</w:t>
      </w:r>
    </w:p>
    <w:p>
      <w:pPr>
        <w:pStyle w:val="a3"/>
        <w:numPr>
          <w:ilvl w:val="0"/>
          <w:numId w:val="5"/>
        </w:numPr>
        <w:bidi w:val="0"/>
        <w:ind w:left="425" w:hanging="425" w:leftChars="0" w:firstLineChars="0"/>
        <w:rPr>
          <w:rFonts w:hint="eastAsia"/>
        </w:rPr>
      </w:pPr>
      <w:r>
        <w:rPr>
          <w:rFonts w:hint="eastAsia"/>
        </w:rPr>
        <w:t>针对问题依SLA提交解决方案。</w:t>
      </w:r>
    </w:p>
    <w:p>
      <w:pPr>
        <w:pStyle w:val="2"/>
        <w:bidi w:val="0"/>
        <w:rPr>
          <w:rFonts w:hint="eastAsia"/>
        </w:rPr>
      </w:pPr>
      <w:bookmarkStart w:id="27" w:name="_Toc16507"/>
      <w:r>
        <w:rPr>
          <w:rFonts w:hint="eastAsia"/>
        </w:rPr>
        <w:t>人员行为规范</w:t>
      </w:r>
      <w:bookmarkEnd w:id="27"/>
    </w:p>
    <w:p>
      <w:pPr>
        <w:pStyle w:val="3"/>
        <w:bidi w:val="0"/>
        <w:rPr>
          <w:rFonts w:hint="eastAsia"/>
        </w:rPr>
      </w:pPr>
      <w:bookmarkStart w:id="28" w:name="_Toc26237"/>
      <w:r>
        <w:rPr>
          <w:rFonts w:hint="eastAsia"/>
        </w:rPr>
        <w:t>服务礼仪规范</w:t>
      </w:r>
      <w:bookmarkEnd w:id="28"/>
    </w:p>
    <w:p>
      <w:pPr>
        <w:pStyle w:val="a"/>
        <w:bidi w:val="0"/>
        <w:rPr>
          <w:rFonts w:hint="eastAsia"/>
        </w:rPr>
      </w:pPr>
      <w:r>
        <w:rPr>
          <w:rFonts w:hint="eastAsia"/>
        </w:rPr>
        <w:t>着装整洁正装、佩戴工牌；保持仪容仪表得体；主动问候，态度热情诚恳；使用普通话和规范用语；维护客户现场整洁；严守客户机密；禁止使用服务禁语。</w:t>
      </w:r>
    </w:p>
    <w:p>
      <w:pPr>
        <w:pStyle w:val="3"/>
        <w:bidi w:val="0"/>
        <w:rPr>
          <w:rFonts w:hint="eastAsia"/>
        </w:rPr>
      </w:pPr>
      <w:bookmarkStart w:id="29" w:name="_Toc10453"/>
      <w:r>
        <w:rPr>
          <w:rFonts w:hint="eastAsia"/>
        </w:rPr>
        <w:t>服务响应规范</w:t>
      </w:r>
      <w:bookmarkEnd w:id="29"/>
    </w:p>
    <w:p>
      <w:pPr>
        <w:pStyle w:val="a"/>
        <w:bidi w:val="0"/>
        <w:rPr>
          <w:rFonts w:hint="eastAsia"/>
        </w:rPr>
      </w:pPr>
      <w:r>
        <w:rPr>
          <w:rFonts w:hint="eastAsia"/>
        </w:rPr>
        <w:t>严守时间约定；如需迟到必须提前致电客户并告知服务经理；离场时礼貌道别并说明结果；不随意承诺无法达成的时间。</w:t>
      </w:r>
    </w:p>
    <w:p>
      <w:pPr>
        <w:pStyle w:val="3"/>
        <w:bidi w:val="0"/>
        <w:rPr>
          <w:rFonts w:hint="eastAsia"/>
        </w:rPr>
      </w:pPr>
      <w:bookmarkStart w:id="30" w:name="_Toc6823"/>
      <w:r>
        <w:rPr>
          <w:rFonts w:hint="eastAsia"/>
        </w:rPr>
        <w:t>服务交付规范</w:t>
      </w:r>
      <w:bookmarkEnd w:id="30"/>
    </w:p>
    <w:p>
      <w:pPr>
        <w:pStyle w:val="a"/>
        <w:bidi w:val="0"/>
        <w:rPr>
          <w:rFonts w:hint="eastAsia"/>
        </w:rPr>
      </w:pPr>
      <w:r>
        <w:rPr>
          <w:rFonts w:hint="eastAsia"/>
        </w:rPr>
        <w:t>按标准流程作业；保持现场整洁；更换物料需客户书面同意；若现场无法解决，需明确告知下次上门时间；向客户简要说明运维结果及后续建议。</w:t>
      </w:r>
    </w:p>
    <w:p>
      <w:pPr>
        <w:pStyle w:val="3"/>
        <w:bidi w:val="0"/>
        <w:rPr>
          <w:rFonts w:hint="eastAsia"/>
        </w:rPr>
      </w:pPr>
      <w:bookmarkStart w:id="31" w:name="_Toc22740"/>
      <w:r>
        <w:rPr>
          <w:rFonts w:hint="eastAsia"/>
        </w:rPr>
        <w:t>文档填写规范</w:t>
      </w:r>
      <w:bookmarkEnd w:id="31"/>
    </w:p>
    <w:p>
      <w:pPr>
        <w:pStyle w:val="a"/>
        <w:bidi w:val="0"/>
        <w:rPr>
          <w:rFonts w:hint="eastAsia"/>
        </w:rPr>
      </w:pPr>
      <w:r>
        <w:rPr>
          <w:rFonts w:hint="eastAsia"/>
        </w:rPr>
        <w:t>完整、准确地填写客户信息、设备信息、故障处理步骤、遗留问题、备件更换说明等，并按要求定期提交服务报告。</w:t>
      </w:r>
    </w:p>
    <w:p>
      <w:pPr>
        <w:pStyle w:val="2"/>
        <w:bidi w:val="0"/>
        <w:rPr>
          <w:rFonts w:hint="eastAsia"/>
        </w:rPr>
      </w:pPr>
      <w:bookmarkStart w:id="32" w:name="_Toc26837"/>
      <w:r>
        <w:rPr>
          <w:rFonts w:hint="eastAsia"/>
        </w:rPr>
        <w:t>运维操作规范</w:t>
      </w:r>
      <w:bookmarkEnd w:id="32"/>
    </w:p>
    <w:p>
      <w:pPr>
        <w:pStyle w:val="3"/>
        <w:bidi w:val="0"/>
        <w:rPr>
          <w:rFonts w:hint="eastAsia"/>
        </w:rPr>
      </w:pPr>
      <w:bookmarkStart w:id="33" w:name="_Toc2279"/>
      <w:r>
        <w:rPr>
          <w:rFonts w:hint="eastAsia"/>
        </w:rPr>
        <w:t>视频会议运维操作规范</w:t>
      </w:r>
      <w:bookmarkEnd w:id="33"/>
    </w:p>
    <w:p>
      <w:pPr>
        <w:pStyle w:val="a"/>
        <w:bidi w:val="0"/>
        <w:rPr>
          <w:rFonts w:hint="eastAsia"/>
        </w:rPr>
      </w:pPr>
      <w:r>
        <w:rPr>
          <w:rFonts w:hint="eastAsia"/>
        </w:rPr>
        <w:t>检查会议室环境（温湿度、噪音、光线等）、外围设备、会议管理平台、多点控制单元(MCU)、会议功能及终端状态，确保各项指标和功能正常。</w:t>
      </w:r>
    </w:p>
    <w:p>
      <w:pPr>
        <w:pStyle w:val="3"/>
        <w:bidi w:val="0"/>
        <w:rPr>
          <w:rFonts w:hint="eastAsia"/>
        </w:rPr>
      </w:pPr>
      <w:bookmarkStart w:id="34" w:name="_Toc26971"/>
      <w:r>
        <w:rPr>
          <w:rFonts w:hint="eastAsia"/>
        </w:rPr>
        <w:t>网络、服务器及存储系统运维</w:t>
      </w:r>
      <w:bookmarkEnd w:id="34"/>
    </w:p>
    <w:p>
      <w:pPr>
        <w:pStyle w:val="a"/>
        <w:bidi w:val="0"/>
        <w:rPr>
          <w:rFonts w:hint="eastAsia"/>
        </w:rPr>
      </w:pPr>
      <w:r>
        <w:rPr>
          <w:rFonts w:hint="eastAsia"/>
        </w:rPr>
        <w:t>包括系统硬件（主机、磁盘阵列、光纤交换机、磁带库、UPS）状态检查与清洁；操作系统进程、日志、备份、性能优化；数据库参数、日志、备份恢复、性能调优；中间件状态分析等。</w:t>
      </w:r>
    </w:p>
    <w:p>
      <w:pPr>
        <w:pStyle w:val="3"/>
        <w:bidi w:val="0"/>
        <w:rPr>
          <w:rFonts w:hint="eastAsia"/>
        </w:rPr>
      </w:pPr>
      <w:bookmarkStart w:id="35" w:name="_Toc13109"/>
      <w:r>
        <w:rPr>
          <w:rFonts w:hint="eastAsia"/>
        </w:rPr>
        <w:t>软交换系统运维规范</w:t>
      </w:r>
      <w:bookmarkEnd w:id="35"/>
    </w:p>
    <w:p>
      <w:pPr>
        <w:pStyle w:val="a"/>
        <w:bidi w:val="0"/>
        <w:rPr>
          <w:rFonts w:hint="eastAsia"/>
        </w:rPr>
      </w:pPr>
      <w:r>
        <w:rPr>
          <w:rFonts w:hint="eastAsia"/>
        </w:rPr>
        <w:t>涵盖硬件机架、电源环境检查；前后台系统、数据安全、重要配置数据、计费服务器、后台数据库的检查；报警日志分析及网络性能分析。</w:t>
      </w:r>
    </w:p>
    <w:p>
      <w:pPr>
        <w:pStyle w:val="3"/>
        <w:bidi w:val="0"/>
        <w:rPr>
          <w:rFonts w:hint="eastAsia"/>
        </w:rPr>
      </w:pPr>
      <w:bookmarkStart w:id="36" w:name="_Toc19580"/>
      <w:r>
        <w:rPr>
          <w:rFonts w:hint="eastAsia"/>
        </w:rPr>
        <w:t>指挥调度系统运维</w:t>
      </w:r>
      <w:bookmarkEnd w:id="36"/>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rPr>
      </w:pPr>
      <w:r>
        <w:rPr>
          <w:rFonts w:hint="eastAsia"/>
        </w:rPr>
        <w:t>对调度主机、UPS、线路、控制软件进行检查；并对大屏显示系统、投影系统、LED、数字桌牌、电视墙等显示与控制功能进行全面检测。</w:t>
      </w:r>
    </w:p>
    <w:p>
      <w:pPr>
        <w:pStyle w:val="2"/>
        <w:bidi w:val="0"/>
        <w:rPr>
          <w:rFonts w:hint="default"/>
          <w:lang w:val="en-US" w:eastAsia="zh-CN"/>
        </w:rPr>
      </w:pPr>
      <w:bookmarkStart w:id="37" w:name="_Toc13011"/>
      <w:r>
        <w:rPr>
          <w:rFonts w:hint="eastAsia"/>
          <w:lang w:val="en-US" w:eastAsia="zh-CN"/>
        </w:rPr>
        <w:t>交付内容、方式与检查规范</w:t>
      </w:r>
      <w:bookmarkEnd w:id="37"/>
    </w:p>
    <w:p>
      <w:pPr>
        <w:pStyle w:val="3"/>
        <w:bidi w:val="0"/>
        <w:rPr>
          <w:rFonts w:hint="default"/>
          <w:lang w:val="en-US" w:eastAsia="zh-CN"/>
        </w:rPr>
      </w:pPr>
      <w:bookmarkStart w:id="38" w:name="_Toc25909"/>
      <w:r>
        <w:rPr>
          <w:rFonts w:hint="eastAsia"/>
          <w:lang w:val="en-US" w:eastAsia="zh-CN"/>
        </w:rPr>
        <w:t>交付内容规范</w:t>
      </w:r>
      <w:bookmarkEnd w:id="38"/>
    </w:p>
    <w:p>
      <w:pPr>
        <w:pStyle w:val="a"/>
        <w:bidi w:val="0"/>
      </w:pPr>
      <w:r>
        <w:t>为保障服务过程透明、结果可追溯，各阶段须产生并交付标准化的文档与报告。主要交付物清单及要求如下：</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805"/>
        <w:gridCol w:w="2328"/>
        <w:gridCol w:w="2447"/>
        <w:gridCol w:w="1859"/>
        <w:gridCol w:w="1287"/>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805"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阶段</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交付物名称</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核心内容要求</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输出责任人</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交付对象</w:t>
            </w:r>
          </w:p>
        </w:tc>
      </w:tr>
      <w:tr>
        <w:tblPrEx>
          <w:tblW w:w="0" w:type="auto"/>
          <w:tblInd w:w="0" w:type="dxa"/>
          <w:shd w:val="clear" w:color="auto" w:fill="auto"/>
          <w:tblCellMar>
            <w:top w:w="15" w:type="dxa"/>
            <w:left w:w="15" w:type="dxa"/>
            <w:bottom w:w="15" w:type="dxa"/>
            <w:right w:w="15" w:type="dxa"/>
          </w:tblCellMar>
        </w:tblPrEx>
        <w:tc>
          <w:tcPr>
            <w:tcW w:w="805" w:type="dxa"/>
            <w:vMerge w:val="restart"/>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立项与准备</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《项目实施方案》</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项目目标、范围、团队、计划、SLA确认</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bdr w:val="nil"/>
                <w:lang w:val="en-US" w:eastAsia="zh-CN"/>
              </w:rPr>
              <w:t>运维实施</w:t>
            </w:r>
            <w:r>
              <w:rPr>
                <w:rFonts w:ascii="Segoe UI" w:eastAsia="Segoe UI" w:hAnsi="Segoe UI" w:cs="Segoe UI" w:hint="default"/>
                <w:i w:val="0"/>
                <w:iCs w:val="0"/>
                <w:caps w:val="0"/>
                <w:snapToGrid w:val="0"/>
                <w:color w:val="000000"/>
                <w:spacing w:val="0"/>
                <w:kern w:val="0"/>
                <w:sz w:val="18"/>
                <w:szCs w:val="18"/>
                <w:bdr w:val="nil"/>
                <w:lang w:val="en-US" w:eastAsia="zh-CN"/>
              </w:rPr>
              <w:t>工程师/运维部经理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《运维服务计划》</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月度/季度服务安排、巡检计划、资源清单</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客户接口人</w:t>
            </w:r>
          </w:p>
        </w:tc>
      </w:tr>
      <w:tr>
        <w:tblPrEx>
          <w:tblW w:w="0" w:type="auto"/>
          <w:tblInd w:w="0" w:type="dxa"/>
          <w:shd w:val="clear" w:color="auto" w:fill="auto"/>
          <w:tblCellMar>
            <w:top w:w="15" w:type="dxa"/>
            <w:left w:w="15" w:type="dxa"/>
            <w:bottom w:w="15" w:type="dxa"/>
            <w:right w:w="15" w:type="dxa"/>
          </w:tblCellMar>
        </w:tblPrEx>
        <w:tc>
          <w:tcPr>
            <w:tcW w:w="805" w:type="dxa"/>
            <w:vMerge w:val="restart"/>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实施与监控</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《系统健康检查报告》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硬件状态、性能指标、日志分析、风险预警</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运维实施工程师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客户技术部门</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《服务月度报告》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本月服务摘要、事件统计、SLA达成率、下月计划</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客户管理层/接口人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《客户满意度调查报告》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调查结果、客户反馈、改进措施</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技术支持工程师</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val="restart"/>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改进与收尾</w:t>
            </w: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《服务改进方案》</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问题根因、改进措施、计划、预期效果</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《项目验收报告》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项目成果总结、SLA终验情况、文档清单</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客户项目负责人</w:t>
            </w:r>
          </w:p>
        </w:tc>
      </w:tr>
      <w:tr>
        <w:tblPrEx>
          <w:tblW w:w="0" w:type="auto"/>
          <w:tblInd w:w="0" w:type="dxa"/>
          <w:shd w:val="clear" w:color="auto" w:fill="auto"/>
          <w:tblCellMar>
            <w:top w:w="15" w:type="dxa"/>
            <w:left w:w="15" w:type="dxa"/>
            <w:bottom w:w="15" w:type="dxa"/>
            <w:right w:w="15" w:type="dxa"/>
          </w:tblCellMar>
        </w:tblPrEx>
        <w:tc>
          <w:tcPr>
            <w:tcW w:w="805" w:type="dxa"/>
            <w:vMerge/>
            <w:shd w:val="clear" w:color="auto" w:fill="auto"/>
            <w:tcMar>
              <w:top w:w="120" w:type="dxa"/>
              <w:left w:w="0" w:type="dxa"/>
              <w:bottom w:w="120" w:type="dxa"/>
              <w:right w:w="192" w:type="dxa"/>
            </w:tcMar>
            <w:vAlign w:val="center"/>
          </w:tcPr>
          <w:p>
            <w:pPr>
              <w:rPr>
                <w:rFonts w:ascii="Segoe UI" w:eastAsia="Segoe UI" w:hAnsi="Segoe UI" w:cs="Segoe UI" w:hint="default"/>
                <w:i w:val="0"/>
                <w:iCs w:val="0"/>
                <w:caps w:val="0"/>
                <w:color w:val="0F1115"/>
                <w:spacing w:val="0"/>
                <w:sz w:val="18"/>
                <w:szCs w:val="18"/>
              </w:rPr>
            </w:pPr>
          </w:p>
        </w:tc>
        <w:tc>
          <w:tcPr>
            <w:tcW w:w="232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《年度运维总结报告》</w:t>
            </w:r>
          </w:p>
        </w:tc>
        <w:tc>
          <w:tcPr>
            <w:tcW w:w="2447"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全年服务回顾、价值呈现、后续建议</w:t>
            </w:r>
          </w:p>
        </w:tc>
        <w:tc>
          <w:tcPr>
            <w:tcW w:w="0" w:type="auto"/>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运维部经理</w:t>
            </w:r>
          </w:p>
        </w:tc>
        <w:tc>
          <w:tcPr>
            <w:tcW w:w="0" w:type="auto"/>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客户管理层</w:t>
            </w:r>
          </w:p>
        </w:tc>
      </w:tr>
    </w:tbl>
    <w:p>
      <w:pPr>
        <w:pStyle w:val="3"/>
        <w:bidi w:val="0"/>
        <w:rPr>
          <w:rFonts w:hint="eastAsia"/>
        </w:rPr>
      </w:pPr>
      <w:bookmarkStart w:id="39" w:name="_Toc27152"/>
      <w:r>
        <w:rPr>
          <w:rFonts w:hint="eastAsia"/>
          <w:lang w:val="en-US" w:eastAsia="zh-CN"/>
        </w:rPr>
        <w:t>交付方式规范</w:t>
      </w:r>
      <w:bookmarkEnd w:id="39"/>
    </w:p>
    <w:p>
      <w:pPr>
        <w:pStyle w:val="a"/>
        <w:rPr>
          <w:rFonts w:hint="eastAsia"/>
        </w:rPr>
      </w:pPr>
      <w:r>
        <w:rPr>
          <w:rFonts w:hint="eastAsia"/>
        </w:rPr>
        <w:t>电子交付：所有报告、文档均应以PDF等不可编辑格式，通过公司指定邮箱或双方确认的加密传输平台发送。邮件主题须统一格式，如：[运维服务报告]-[客户名称]-[报告类型]-[YYYYMMDD]。</w:t>
      </w:r>
    </w:p>
    <w:p>
      <w:pPr>
        <w:pStyle w:val="a"/>
        <w:rPr>
          <w:rFonts w:hint="eastAsia"/>
        </w:rPr>
      </w:pPr>
      <w:r>
        <w:rPr>
          <w:rFonts w:hint="eastAsia"/>
        </w:rPr>
        <w:t>纸质交付：如合同约定或客户要求，可将重要文档（如验收报告）打印、装订、盖章后当面递交，并保留《文件签收单》。</w:t>
      </w:r>
    </w:p>
    <w:p>
      <w:pPr>
        <w:pStyle w:val="a"/>
        <w:rPr>
          <w:rFonts w:hint="eastAsia"/>
        </w:rPr>
      </w:pPr>
      <w:r>
        <w:rPr>
          <w:rFonts w:hint="eastAsia"/>
        </w:rPr>
        <w:t>交付确认：关键交付物（如《项目验收报告》）发出后，应主动与客户确认接收，并获取书面（签字或邮件）认可。</w:t>
      </w:r>
    </w:p>
    <w:p>
      <w:pPr>
        <w:pStyle w:val="3"/>
        <w:bidi w:val="0"/>
        <w:rPr>
          <w:rFonts w:hint="default"/>
          <w:lang w:val="en-US" w:eastAsia="zh-CN"/>
        </w:rPr>
      </w:pPr>
      <w:bookmarkStart w:id="40" w:name="_Toc25324"/>
      <w:r>
        <w:rPr>
          <w:rFonts w:hint="eastAsia"/>
          <w:lang w:val="en-US" w:eastAsia="zh-CN"/>
        </w:rPr>
        <w:t>交付检查机制</w:t>
      </w:r>
      <w:bookmarkEnd w:id="40"/>
    </w:p>
    <w:p>
      <w:pPr>
        <w:pStyle w:val="a"/>
        <w:rPr>
          <w:rFonts w:hint="default"/>
          <w:lang w:val="en-US" w:eastAsia="zh-CN"/>
        </w:rPr>
      </w:pPr>
      <w:r>
        <w:rPr>
          <w:rFonts w:hint="default"/>
          <w:lang w:val="en-US" w:eastAsia="zh-CN"/>
        </w:rPr>
        <w:t>内部检查：</w:t>
      </w:r>
    </w:p>
    <w:p>
      <w:pPr>
        <w:pStyle w:val="a"/>
        <w:rPr>
          <w:rFonts w:hint="default"/>
          <w:lang w:val="en-US" w:eastAsia="zh-CN"/>
        </w:rPr>
      </w:pPr>
      <w:r>
        <w:rPr>
          <w:rFonts w:hint="default"/>
          <w:lang w:val="en-US" w:eastAsia="zh-CN"/>
        </w:rPr>
        <w:t>所有交付物在提交客户前，必须经</w:t>
      </w:r>
      <w:r>
        <w:rPr>
          <w:rFonts w:hint="eastAsia"/>
          <w:lang w:val="en-US" w:eastAsia="zh-CN"/>
        </w:rPr>
        <w:t>运维项目经理</w:t>
      </w:r>
      <w:r>
        <w:rPr>
          <w:rFonts w:hint="default"/>
          <w:lang w:val="en-US" w:eastAsia="zh-CN"/>
        </w:rPr>
        <w:t>进行技术内容审核，并经运维部经理进行格式与合规性审批。</w:t>
      </w:r>
    </w:p>
    <w:p>
      <w:pPr>
        <w:pStyle w:val="a"/>
        <w:rPr>
          <w:rFonts w:hint="default"/>
          <w:lang w:val="en-US" w:eastAsia="zh-CN"/>
        </w:rPr>
      </w:pPr>
      <w:r>
        <w:rPr>
          <w:rFonts w:hint="default"/>
          <w:lang w:val="en-US" w:eastAsia="zh-CN"/>
        </w:rPr>
        <w:t>检查重点：内容准确性、数据完整性、符合SLA要求、格式规范、无客户敏感信息泄露风险。</w:t>
      </w:r>
    </w:p>
    <w:p>
      <w:pPr>
        <w:pStyle w:val="a"/>
        <w:rPr>
          <w:rFonts w:hint="default"/>
          <w:lang w:val="en-US" w:eastAsia="zh-CN"/>
        </w:rPr>
      </w:pPr>
      <w:r>
        <w:rPr>
          <w:rFonts w:hint="default"/>
          <w:lang w:val="en-US" w:eastAsia="zh-CN"/>
        </w:rPr>
        <w:t>客户确认：</w:t>
      </w:r>
    </w:p>
    <w:p>
      <w:pPr>
        <w:pStyle w:val="a"/>
        <w:rPr>
          <w:rFonts w:hint="default"/>
          <w:lang w:val="en-US" w:eastAsia="zh-CN"/>
        </w:rPr>
      </w:pPr>
      <w:r>
        <w:rPr>
          <w:rFonts w:hint="default"/>
          <w:lang w:val="en-US" w:eastAsia="zh-CN"/>
        </w:rPr>
        <w:t>定期报告（如月报）交付后，应跟进客户反馈。</w:t>
      </w:r>
    </w:p>
    <w:p>
      <w:pPr>
        <w:pStyle w:val="a"/>
        <w:rPr>
          <w:rFonts w:hint="default"/>
          <w:lang w:val="en-US" w:eastAsia="zh-CN"/>
        </w:rPr>
      </w:pPr>
      <w:r>
        <w:rPr>
          <w:rFonts w:hint="default"/>
          <w:lang w:val="en-US" w:eastAsia="zh-CN"/>
        </w:rPr>
        <w:t>里程碑文档（如实施方案、验收报告）必须获得客户的正式书面确认。</w:t>
      </w:r>
    </w:p>
    <w:p>
      <w:pPr>
        <w:pStyle w:val="a"/>
        <w:rPr>
          <w:rFonts w:hint="default"/>
          <w:lang w:val="en-US" w:eastAsia="zh-CN"/>
        </w:rPr>
      </w:pPr>
      <w:r>
        <w:rPr>
          <w:rFonts w:hint="default"/>
          <w:lang w:val="en-US" w:eastAsia="zh-CN"/>
        </w:rPr>
        <w:t>归档检查：</w:t>
      </w:r>
    </w:p>
    <w:p>
      <w:pPr>
        <w:pStyle w:val="a"/>
        <w:rPr>
          <w:rFonts w:hint="default"/>
          <w:lang w:val="en-US" w:eastAsia="zh-CN"/>
        </w:rPr>
      </w:pPr>
      <w:r>
        <w:rPr>
          <w:rFonts w:hint="default"/>
          <w:lang w:val="en-US" w:eastAsia="zh-CN"/>
        </w:rPr>
        <w:t>项目收尾时，由公司质量管理部门或指定人员对照《项目文档清单》，检查所有交付物是否已完整归档至公司知识库，确保版本正确、可追溯。</w:t>
      </w:r>
    </w:p>
    <w:p>
      <w:pPr>
        <w:pStyle w:val="1"/>
        <w:bidi w:val="0"/>
        <w:rPr>
          <w:rFonts w:hint="eastAsia"/>
        </w:rPr>
      </w:pPr>
      <w:bookmarkStart w:id="41" w:name="_GoBack"/>
      <w:bookmarkEnd w:id="41"/>
      <w:bookmarkStart w:id="42" w:name="_Toc4025"/>
      <w:r>
        <w:rPr>
          <w:rFonts w:hint="eastAsia"/>
        </w:rPr>
        <w:t>风险控制管理</w:t>
      </w:r>
      <w:bookmarkEnd w:id="42"/>
    </w:p>
    <w:p>
      <w:pPr>
        <w:pStyle w:val="2"/>
        <w:bidi w:val="0"/>
        <w:rPr>
          <w:rFonts w:hint="eastAsia"/>
        </w:rPr>
      </w:pPr>
      <w:bookmarkStart w:id="43" w:name="_Toc31264"/>
      <w:r>
        <w:rPr>
          <w:rFonts w:hint="eastAsia"/>
        </w:rPr>
        <w:t>管控目标</w:t>
      </w:r>
      <w:bookmarkEnd w:id="43"/>
    </w:p>
    <w:p>
      <w:pPr>
        <w:pStyle w:val="a"/>
        <w:bidi w:val="0"/>
        <w:rPr>
          <w:rFonts w:hint="eastAsia"/>
        </w:rPr>
      </w:pPr>
      <w:r>
        <w:rPr>
          <w:rFonts w:hint="eastAsia"/>
        </w:rPr>
        <w:t>识别、分析、应对和监控运维项目全过程中的各类风险（包括内部资源、过程、技术风险及外部预算、环境、客户支持、政策风险），保障信息系统安全稳定运行，确保项目目标达成。</w:t>
      </w:r>
    </w:p>
    <w:p>
      <w:pPr>
        <w:pStyle w:val="2"/>
        <w:bidi w:val="0"/>
        <w:rPr>
          <w:rFonts w:hint="eastAsia"/>
        </w:rPr>
      </w:pPr>
      <w:bookmarkStart w:id="44" w:name="_Toc949"/>
      <w:r>
        <w:rPr>
          <w:rFonts w:hint="eastAsia"/>
        </w:rPr>
        <w:t>风险管理过程</w:t>
      </w:r>
      <w:bookmarkEnd w:id="44"/>
    </w:p>
    <w:p>
      <w:pPr>
        <w:pStyle w:val="3"/>
        <w:bidi w:val="0"/>
        <w:rPr>
          <w:rFonts w:hint="eastAsia"/>
        </w:rPr>
      </w:pPr>
      <w:bookmarkStart w:id="45" w:name="_Toc31499"/>
      <w:r>
        <w:rPr>
          <w:rFonts w:hint="eastAsia"/>
        </w:rPr>
        <w:t>风险识别</w:t>
      </w:r>
      <w:bookmarkEnd w:id="45"/>
    </w:p>
    <w:p>
      <w:pPr>
        <w:pStyle w:val="a"/>
        <w:bidi w:val="0"/>
        <w:rPr>
          <w:rFonts w:hint="eastAsia"/>
        </w:rPr>
      </w:pPr>
      <w:r>
        <w:rPr>
          <w:rFonts w:hint="eastAsia"/>
        </w:rPr>
        <w:t>通过分解项目范围与结构，从项目组内部（资源、过程、变更、技术风险）和项目组外部（预算、运维环境、客户支持、策略风险）两方面识别潜在风险。</w:t>
      </w:r>
    </w:p>
    <w:p>
      <w:pPr>
        <w:pStyle w:val="3"/>
        <w:bidi w:val="0"/>
        <w:rPr>
          <w:rFonts w:hint="eastAsia"/>
        </w:rPr>
      </w:pPr>
      <w:bookmarkStart w:id="46" w:name="_Toc19834"/>
      <w:r>
        <w:rPr>
          <w:rFonts w:hint="eastAsia"/>
        </w:rPr>
        <w:t>风险定性定量分析</w:t>
      </w:r>
      <w:bookmarkEnd w:id="46"/>
    </w:p>
    <w:p>
      <w:pPr>
        <w:pStyle w:val="a"/>
        <w:bidi w:val="0"/>
        <w:rPr>
          <w:rFonts w:hint="eastAsia"/>
        </w:rPr>
      </w:pPr>
      <w:r>
        <w:rPr>
          <w:rFonts w:hint="eastAsia"/>
        </w:rPr>
        <w:t>从风险发生概率(P)、风险影响程度(I)、发生时段(T)三个维度进行量化评分（1-3分），计算 风险等级值 = P * I * T。</w:t>
      </w:r>
    </w:p>
    <w:p>
      <w:pPr>
        <w:pStyle w:val="a3"/>
        <w:bidi w:val="0"/>
        <w:rPr>
          <w:rFonts w:hint="eastAsia"/>
        </w:rPr>
      </w:pPr>
      <w:r>
        <w:rPr>
          <w:rFonts w:hint="eastAsia"/>
        </w:rPr>
        <w:t>风险等级：</w:t>
      </w:r>
    </w:p>
    <w:p>
      <w:pPr>
        <w:pStyle w:val="a3"/>
        <w:bidi w:val="0"/>
        <w:rPr>
          <w:rFonts w:hint="eastAsia"/>
        </w:rPr>
      </w:pPr>
      <w:r>
        <w:rPr>
          <w:rFonts w:hint="eastAsia"/>
        </w:rPr>
        <w:t>1级（低级，值1-4）：项目组内部审批处理，可接受。</w:t>
      </w:r>
    </w:p>
    <w:p>
      <w:pPr>
        <w:pStyle w:val="a3"/>
        <w:bidi w:val="0"/>
        <w:rPr>
          <w:rFonts w:hint="eastAsia"/>
        </w:rPr>
      </w:pPr>
      <w:r>
        <w:rPr>
          <w:rFonts w:hint="eastAsia"/>
        </w:rPr>
        <w:t>2级（中级，值6-12）：项目组制定措施，运维项目经理审批。</w:t>
      </w:r>
    </w:p>
    <w:p>
      <w:pPr>
        <w:pStyle w:val="a3"/>
        <w:bidi w:val="0"/>
        <w:rPr>
          <w:rFonts w:hint="eastAsia"/>
        </w:rPr>
      </w:pPr>
      <w:r>
        <w:rPr>
          <w:rFonts w:hint="eastAsia"/>
        </w:rPr>
        <w:t>3级（高级，值18-27）：需由运维项目经理牵头，召集客户领导及项目总监共同制定应对策略，申请资源支援。</w:t>
      </w:r>
    </w:p>
    <w:p>
      <w:pPr>
        <w:pStyle w:val="3"/>
        <w:bidi w:val="0"/>
        <w:rPr>
          <w:rFonts w:hint="eastAsia"/>
        </w:rPr>
      </w:pPr>
      <w:bookmarkStart w:id="47" w:name="_Toc3789"/>
      <w:r>
        <w:rPr>
          <w:rFonts w:hint="eastAsia"/>
        </w:rPr>
        <w:t>风险应对措施</w:t>
      </w:r>
      <w:bookmarkEnd w:id="47"/>
    </w:p>
    <w:p>
      <w:pPr>
        <w:pStyle w:val="a"/>
        <w:bidi w:val="0"/>
        <w:rPr>
          <w:rFonts w:hint="eastAsia"/>
        </w:rPr>
      </w:pPr>
      <w:r>
        <w:rPr>
          <w:rFonts w:hint="eastAsia"/>
        </w:rPr>
        <w:t>策略包括：预防（培训、按程序办事）、回避（修改目标或范围）、接受、制定后备措施（费用、时间、技术）。成立应急管理小组，根据风险等级制定相应的缓解计划与应急计划。</w:t>
      </w:r>
    </w:p>
    <w:p>
      <w:pPr>
        <w:pStyle w:val="3"/>
        <w:bidi w:val="0"/>
        <w:rPr>
          <w:rFonts w:hint="eastAsia"/>
        </w:rPr>
      </w:pPr>
      <w:bookmarkStart w:id="48" w:name="_Toc15137"/>
      <w:r>
        <w:rPr>
          <w:rFonts w:hint="eastAsia"/>
        </w:rPr>
        <w:t>风险跟踪与监控</w:t>
      </w:r>
      <w:bookmarkEnd w:id="48"/>
    </w:p>
    <w:p>
      <w:pPr>
        <w:pStyle w:val="a"/>
        <w:bidi w:val="0"/>
        <w:rPr>
          <w:rFonts w:hint="eastAsia"/>
        </w:rPr>
      </w:pPr>
      <w:r>
        <w:rPr>
          <w:rFonts w:hint="eastAsia"/>
        </w:rPr>
        <w:t>使用《风险识别和跟踪表》记录风险，定期（每周或事件驱动）跟踪状态（未处理、处理中、接受、已消失），重新评估风险参数，动态更新管理策略。</w:t>
      </w:r>
    </w:p>
    <w:p>
      <w:pPr>
        <w:pStyle w:val="3"/>
        <w:bidi w:val="0"/>
        <w:rPr>
          <w:rFonts w:hint="eastAsia"/>
        </w:rPr>
      </w:pPr>
      <w:bookmarkStart w:id="49" w:name="_Toc22188"/>
      <w:r>
        <w:rPr>
          <w:rFonts w:hint="eastAsia"/>
        </w:rPr>
        <w:t>运维项目后续风险管理</w:t>
      </w:r>
      <w:bookmarkEnd w:id="49"/>
    </w:p>
    <w:p>
      <w:pPr>
        <w:pStyle w:val="a"/>
        <w:bidi w:val="0"/>
        <w:rPr>
          <w:rFonts w:hint="eastAsia"/>
        </w:rPr>
      </w:pPr>
      <w:r>
        <w:rPr>
          <w:rFonts w:hint="eastAsia"/>
        </w:rPr>
        <w:t>项目结束后，风险资料归档至组织过程资产库。运维部定期维护和更新组织级《风险来源和分类一览表》。</w:t>
      </w:r>
    </w:p>
    <w:p>
      <w:pPr>
        <w:pStyle w:val="3"/>
        <w:bidi w:val="0"/>
        <w:rPr>
          <w:rFonts w:hint="eastAsia"/>
        </w:rPr>
      </w:pPr>
      <w:bookmarkStart w:id="50" w:name="_Toc3623"/>
      <w:r>
        <w:rPr>
          <w:rFonts w:hint="eastAsia"/>
        </w:rPr>
        <w:t>风险控制流程</w:t>
      </w:r>
      <w:bookmarkEnd w:id="50"/>
    </w:p>
    <w:p>
      <w:pPr>
        <w:pStyle w:val="a"/>
        <w:bidi w:val="0"/>
        <w:rPr>
          <w:rFonts w:hint="eastAsia"/>
        </w:rPr>
      </w:pPr>
      <w:r>
        <w:rPr>
          <w:rFonts w:hint="eastAsia"/>
        </w:rPr>
        <w:t>遵循系统性的风险识别、分析、应对计划制定、跟踪监控、直至关闭的闭环管理流程。</w:t>
      </w:r>
    </w:p>
    <w:p>
      <w:pPr>
        <w:pStyle w:val="1"/>
        <w:bidi w:val="0"/>
        <w:rPr>
          <w:rFonts w:hint="eastAsia"/>
        </w:rPr>
      </w:pPr>
      <w:bookmarkStart w:id="51" w:name="_Toc18006"/>
      <w:r>
        <w:rPr>
          <w:rFonts w:hint="eastAsia"/>
        </w:rPr>
        <w:t>考核指标</w:t>
      </w:r>
      <w:bookmarkEnd w:id="51"/>
    </w:p>
    <w:tbl>
      <w:tblPr>
        <w:tblStyle w:val="TableNormal"/>
        <w:tblW w:w="89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
      <w:tblGrid>
        <w:gridCol w:w="829"/>
        <w:gridCol w:w="1476"/>
        <w:gridCol w:w="4548"/>
        <w:gridCol w:w="969"/>
        <w:gridCol w:w="1107"/>
      </w:tblGrid>
      <w:tr>
        <w:tblPrEx>
          <w:tblW w:w="89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15" w:type="dxa"/>
            <w:left w:w="15" w:type="dxa"/>
            <w:bottom w:w="15" w:type="dxa"/>
            <w:right w:w="15" w:type="dxa"/>
          </w:tblCellMar>
        </w:tblPrEx>
        <w:trPr>
          <w:tblHeader/>
        </w:trPr>
        <w:tc>
          <w:tcPr>
            <w:tcW w:w="829" w:type="dxa"/>
            <w:shd w:val="clear" w:color="auto" w:fill="C0C0C0"/>
            <w:tcMar>
              <w:top w:w="120" w:type="dxa"/>
              <w:left w:w="0"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144" w:leftChars="0"/>
              <w:textAlignment w:val="baseline"/>
              <w:rPr>
                <w:rFonts w:ascii="宋体" w:eastAsia="宋体" w:hAnsi="宋体" w:cs="宋体" w:hint="default"/>
                <w:snapToGrid w:val="0"/>
                <w:color w:val="000000"/>
                <w:kern w:val="0"/>
                <w:sz w:val="22"/>
                <w:szCs w:val="22"/>
                <w:lang w:val="en-US" w:eastAsia="zh-CN" w:bidi="ar-SA"/>
              </w:rPr>
            </w:pPr>
            <w:r>
              <w:rPr>
                <w:rFonts w:ascii="宋体" w:eastAsia="宋体" w:hAnsi="宋体" w:cs="宋体"/>
                <w:b/>
                <w:bCs/>
                <w:spacing w:val="-5"/>
                <w:sz w:val="22"/>
                <w:szCs w:val="22"/>
              </w:rPr>
              <w:t>序号</w:t>
            </w:r>
          </w:p>
        </w:tc>
        <w:tc>
          <w:tcPr>
            <w:tcW w:w="1476" w:type="dxa"/>
            <w:shd w:val="clear" w:color="auto" w:fill="C0C0C0"/>
            <w:tcMar>
              <w:top w:w="120" w:type="dxa"/>
              <w:left w:w="0"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snapToGrid w:val="0"/>
                <w:color w:val="000000"/>
                <w:kern w:val="0"/>
                <w:sz w:val="22"/>
                <w:szCs w:val="22"/>
                <w:lang w:val="en-US" w:eastAsia="en-US" w:bidi="ar-SA"/>
              </w:rPr>
            </w:pPr>
            <w:r>
              <w:rPr>
                <w:rFonts w:ascii="宋体" w:eastAsia="宋体" w:hAnsi="宋体" w:cs="宋体"/>
                <w:b/>
                <w:bCs/>
                <w:spacing w:val="-4"/>
                <w:sz w:val="22"/>
                <w:szCs w:val="22"/>
              </w:rPr>
              <w:t>衡量指标</w:t>
            </w:r>
          </w:p>
        </w:tc>
        <w:tc>
          <w:tcPr>
            <w:tcW w:w="4548" w:type="dxa"/>
            <w:shd w:val="clear" w:color="auto" w:fill="C0C0C0"/>
            <w:tcMar>
              <w:top w:w="120" w:type="dxa"/>
              <w:left w:w="192"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hint="eastAsia"/>
                <w:snapToGrid w:val="0"/>
                <w:color w:val="000000"/>
                <w:kern w:val="0"/>
                <w:sz w:val="22"/>
                <w:szCs w:val="22"/>
                <w:lang w:val="en-US" w:eastAsia="zh-CN" w:bidi="ar-SA"/>
              </w:rPr>
            </w:pPr>
            <w:r>
              <w:rPr>
                <w:rFonts w:ascii="宋体" w:hAnsi="宋体" w:cs="宋体" w:hint="eastAsia"/>
                <w:b/>
                <w:bCs/>
                <w:spacing w:val="-4"/>
                <w:sz w:val="22"/>
                <w:szCs w:val="22"/>
                <w:lang w:val="en-US" w:eastAsia="zh-CN"/>
              </w:rPr>
              <w:t>说明</w:t>
            </w:r>
          </w:p>
        </w:tc>
        <w:tc>
          <w:tcPr>
            <w:tcW w:w="969" w:type="dxa"/>
            <w:shd w:val="clear" w:color="auto" w:fill="C0C0C0"/>
            <w:tcMar>
              <w:top w:w="120" w:type="dxa"/>
              <w:left w:w="192"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ind w:left="0" w:right="0" w:firstLine="0" w:leftChars="0" w:rightChars="0" w:firstLineChars="0"/>
              <w:jc w:val="center"/>
              <w:textAlignment w:val="baseline"/>
              <w:rPr>
                <w:rFonts w:ascii="宋体" w:eastAsia="宋体" w:hAnsi="宋体" w:cs="宋体" w:hint="eastAsia"/>
                <w:snapToGrid w:val="0"/>
                <w:color w:val="000000"/>
                <w:kern w:val="0"/>
                <w:sz w:val="22"/>
                <w:szCs w:val="22"/>
                <w:lang w:val="en-US" w:eastAsia="zh-CN" w:bidi="ar-SA"/>
              </w:rPr>
            </w:pPr>
            <w:r>
              <w:rPr>
                <w:rFonts w:ascii="宋体" w:hAnsi="宋体" w:cs="宋体" w:hint="eastAsia"/>
                <w:b/>
                <w:bCs/>
                <w:spacing w:val="-6"/>
                <w:sz w:val="22"/>
                <w:szCs w:val="22"/>
                <w:lang w:val="en-US" w:eastAsia="zh-CN"/>
              </w:rPr>
              <w:t>频次</w:t>
            </w:r>
          </w:p>
        </w:tc>
        <w:tc>
          <w:tcPr>
            <w:tcW w:w="1107" w:type="dxa"/>
            <w:shd w:val="clear" w:color="auto" w:fill="C0C0C0"/>
            <w:tcMar>
              <w:top w:w="120" w:type="dxa"/>
              <w:left w:w="192" w:type="dxa"/>
              <w:bottom w:w="120" w:type="dxa"/>
              <w:right w:w="192" w:type="dxa"/>
            </w:tcMar>
          </w:tcPr>
          <w:p>
            <w:pPr>
              <w:keepNext w:val="0"/>
              <w:keepLines w:val="0"/>
              <w:pageBreakBefore w:val="0"/>
              <w:widowControl w:val="0"/>
              <w:kinsoku w:val="0"/>
              <w:wordWrap/>
              <w:overflowPunct/>
              <w:topLinePunct w:val="0"/>
              <w:autoSpaceDE w:val="0"/>
              <w:autoSpaceDN w:val="0"/>
              <w:bidi w:val="0"/>
              <w:adjustRightInd w:val="0"/>
              <w:snapToGrid w:val="0"/>
              <w:spacing w:before="47" w:line="215" w:lineRule="auto"/>
              <w:textAlignment w:val="baseline"/>
              <w:rPr>
                <w:rFonts w:ascii="宋体" w:eastAsia="宋体" w:hAnsi="宋体" w:cs="宋体" w:hint="default"/>
                <w:b/>
                <w:bCs/>
                <w:snapToGrid w:val="0"/>
                <w:color w:val="000000"/>
                <w:spacing w:val="-6"/>
                <w:kern w:val="0"/>
                <w:sz w:val="22"/>
                <w:szCs w:val="22"/>
                <w:lang w:val="en-US" w:eastAsia="zh-CN" w:bidi="ar-SA"/>
              </w:rPr>
            </w:pPr>
            <w:r>
              <w:rPr>
                <w:rFonts w:ascii="宋体" w:hAnsi="宋体" w:cs="宋体" w:hint="eastAsia"/>
                <w:b/>
                <w:bCs/>
                <w:snapToGrid w:val="0"/>
                <w:color w:val="000000"/>
                <w:spacing w:val="-6"/>
                <w:kern w:val="0"/>
                <w:sz w:val="22"/>
                <w:szCs w:val="22"/>
                <w:lang w:val="en-US" w:eastAsia="zh-CN" w:bidi="ar-SA"/>
              </w:rPr>
              <w:t>目标值</w:t>
            </w:r>
          </w:p>
        </w:tc>
      </w:tr>
      <w:tr>
        <w:tblPrEx>
          <w:tblW w:w="8929" w:type="dxa"/>
          <w:tblInd w:w="0" w:type="dxa"/>
          <w:shd w:val="clear" w:color="auto" w:fill="auto"/>
          <w:tblCellMar>
            <w:top w:w="15" w:type="dxa"/>
            <w:left w:w="15" w:type="dxa"/>
            <w:bottom w:w="15" w:type="dxa"/>
            <w:right w:w="15" w:type="dxa"/>
          </w:tblCellMar>
        </w:tblPrEx>
        <w:tc>
          <w:tcPr>
            <w:tcW w:w="829"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1</w:t>
            </w:r>
          </w:p>
        </w:tc>
        <w:tc>
          <w:tcPr>
            <w:tcW w:w="1476" w:type="dxa"/>
            <w:shd w:val="clear" w:color="auto" w:fill="auto"/>
            <w:tcMar>
              <w:top w:w="120" w:type="dxa"/>
              <w:left w:w="0"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交付文档合规性</w:t>
            </w:r>
          </w:p>
        </w:tc>
        <w:tc>
          <w:tcPr>
            <w:tcW w:w="4548" w:type="dxa"/>
            <w:shd w:val="clear" w:color="auto" w:fill="auto"/>
            <w:tcMar>
              <w:top w:w="120" w:type="dxa"/>
              <w:left w:w="192" w:type="dxa"/>
              <w:bottom w:w="120" w:type="dxa"/>
              <w:right w:w="192"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（符合规范的文档数量 / 归档文件总数量）</w:t>
            </w:r>
            <w:r>
              <w:rPr>
                <w:rFonts w:ascii="Segoe UI" w:eastAsia="Segoe UI" w:hAnsi="Segoe UI" w:cs="Segoe UI" w:hint="eastAsia"/>
                <w:i w:val="0"/>
                <w:iCs w:val="0"/>
                <w:caps w:val="0"/>
                <w:snapToGrid w:val="0"/>
                <w:color w:val="000000"/>
                <w:spacing w:val="0"/>
                <w:kern w:val="0"/>
                <w:sz w:val="18"/>
                <w:szCs w:val="18"/>
                <w:lang w:val="en-US" w:eastAsia="zh-CN"/>
              </w:rPr>
              <w:t>*</w:t>
            </w:r>
            <w:r>
              <w:rPr>
                <w:rFonts w:ascii="Segoe UI" w:eastAsia="Segoe UI" w:hAnsi="Segoe UI" w:cs="Segoe UI" w:hint="default"/>
                <w:i w:val="0"/>
                <w:iCs w:val="0"/>
                <w:caps w:val="0"/>
                <w:snapToGrid w:val="0"/>
                <w:color w:val="000000"/>
                <w:spacing w:val="0"/>
                <w:kern w:val="0"/>
                <w:sz w:val="18"/>
                <w:szCs w:val="18"/>
                <w:lang w:val="en-US" w:eastAsia="zh-CN"/>
              </w:rPr>
              <w:t>100%</w:t>
            </w:r>
          </w:p>
        </w:tc>
        <w:tc>
          <w:tcPr>
            <w:tcW w:w="969"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按季度</w:t>
            </w:r>
          </w:p>
        </w:tc>
        <w:tc>
          <w:tcPr>
            <w:tcW w:w="1107" w:type="dxa"/>
            <w:shd w:val="clear" w:color="auto" w:fill="auto"/>
            <w:tcMar>
              <w:top w:w="120" w:type="dxa"/>
              <w:left w:w="192" w:type="dxa"/>
              <w:bottom w:w="120" w:type="dxa"/>
              <w:right w:w="0" w:type="dxa"/>
            </w:tcMar>
            <w:vAlign w:val="center"/>
          </w:tcPr>
          <w:p>
            <w:pPr>
              <w:keepNext w:val="0"/>
              <w:keepLines w:val="0"/>
              <w:widowControl/>
              <w:suppressLineNumbers w:val="0"/>
              <w:spacing w:line="300" w:lineRule="atLeast"/>
              <w:jc w:val="left"/>
              <w:rPr>
                <w:rFonts w:ascii="Segoe UI" w:eastAsia="Segoe UI" w:hAnsi="Segoe UI" w:cs="Segoe UI" w:hint="default"/>
                <w:i w:val="0"/>
                <w:iCs w:val="0"/>
                <w:caps w:val="0"/>
                <w:snapToGrid w:val="0"/>
                <w:color w:val="000000"/>
                <w:spacing w:val="0"/>
                <w:kern w:val="0"/>
                <w:sz w:val="18"/>
                <w:szCs w:val="18"/>
                <w:lang w:val="en-US" w:eastAsia="zh-CN"/>
              </w:rPr>
            </w:pPr>
            <w:r>
              <w:rPr>
                <w:rFonts w:ascii="Segoe UI" w:eastAsia="Segoe UI" w:hAnsi="Segoe UI" w:cs="Segoe UI" w:hint="eastAsia"/>
                <w:i w:val="0"/>
                <w:iCs w:val="0"/>
                <w:caps w:val="0"/>
                <w:snapToGrid w:val="0"/>
                <w:color w:val="000000"/>
                <w:spacing w:val="0"/>
                <w:kern w:val="0"/>
                <w:sz w:val="18"/>
                <w:szCs w:val="18"/>
                <w:lang w:val="en-US" w:eastAsia="zh-CN"/>
              </w:rPr>
              <w:t>≥95%</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p>
    <w:sectPr>
      <w:footerReference w:type="default" r:id="rId7"/>
      <w:pgSz w:w="11906" w:h="16839"/>
      <w:pgMar w:top="1431" w:right="1686" w:bottom="1152" w:left="1686" w:header="0" w:footer="992" w:gutter="0"/>
      <w:cols w:num="1"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43"/>
      <w:rPr>
        <w:rFonts w:ascii="Times New Roman" w:eastAsia="Times New Roman" w:hAnsi="Times New Roman" w:cs="Times New Roman"/>
        <w:sz w:val="18"/>
        <w:szCs w:val="18"/>
      </w:rPr>
    </w:pPr>
    <w:r>
      <w:rPr>
        <w:rFonts w:ascii="Times New Roman" w:eastAsia="Times New Roman" w:hAnsi="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25"/>
      <w:rPr>
        <w:rFonts w:ascii="Times New Roman" w:eastAsia="Times New Roman" w:hAnsi="Times New Roman" w:cs="Times New Roman"/>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29"/>
      <w:rPr>
        <w:rFonts w:ascii="Times New Roman" w:eastAsia="Times New Roman" w:hAnsi="Times New Roman" w:cs="Times New Roman"/>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174" w:lineRule="auto"/>
      <w:ind w:left="4197"/>
      <w:rPr>
        <w:rFonts w:ascii="Times New Roman" w:eastAsia="Times New Roman" w:hAnsi="Times New Roman" w:cs="Times New Roman"/>
        <w:sz w:val="18"/>
        <w:szCs w:val="18"/>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9BEC6AB0"/>
    <w:multiLevelType w:val="singleLevel"/>
    <w:tmpl w:val="9BEC6AB0"/>
    <w:lvl w:ilvl="0">
      <w:start w:val="1"/>
      <w:numFmt w:val="decimal"/>
      <w:lvlText w:val="%1."/>
      <w:lvlJc w:val="left"/>
      <w:pPr>
        <w:ind w:left="425" w:hanging="425"/>
      </w:pPr>
      <w:rPr>
        <w:rFonts w:hint="default"/>
      </w:rPr>
    </w:lvl>
  </w:abstractNum>
  <w:abstractNum w:abstractNumId="2">
    <w:nsid w:val="4F4F86F5"/>
    <w:multiLevelType w:val="singleLevel"/>
    <w:tmpl w:val="4F4F86F5"/>
    <w:lvl w:ilvl="0">
      <w:start w:val="1"/>
      <w:numFmt w:val="decimal"/>
      <w:lvlText w:val="%1."/>
      <w:lvlJc w:val="left"/>
      <w:pPr>
        <w:ind w:left="425" w:hanging="425"/>
      </w:pPr>
      <w:rPr>
        <w:rFonts w:hint="default"/>
      </w:rPr>
    </w:lvl>
  </w:abstractNum>
  <w:abstractNum w:abstractNumId="3">
    <w:nsid w:val="6677E562"/>
    <w:multiLevelType w:val="singleLevel"/>
    <w:tmpl w:val="6677E562"/>
    <w:lvl w:ilvl="0">
      <w:start w:val="1"/>
      <w:numFmt w:val="decimal"/>
      <w:lvlText w:val="%1."/>
      <w:lvlJc w:val="left"/>
      <w:pPr>
        <w:ind w:left="425" w:hanging="425"/>
      </w:pPr>
      <w:rPr>
        <w:rFonts w:hint="default"/>
      </w:rPr>
    </w:lvl>
  </w:abstractNum>
  <w:abstractNum w:abstractNumId="4">
    <w:nsid w:val="777F0E43"/>
    <w:multiLevelType w:val="singleLevel"/>
    <w:tmpl w:val="777F0E43"/>
    <w:lvl w:ilvl="0">
      <w:start w:val="1"/>
      <w:numFmt w:val="decimal"/>
      <w:lvlText w:val="%1."/>
      <w:lvlJc w:val="left"/>
      <w:pPr>
        <w:ind w:left="425" w:hanging="425"/>
      </w:pPr>
      <w:rPr>
        <w:rFonts w:hint="default"/>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noPunctuationKerning/>
  <w:characterSpacingControl w:val="doNotCompress"/>
  <w:compat>
    <w:spaceForUL/>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
    <w:link w:val="1Char"/>
    <w:qFormat/>
    <w:pPr>
      <w:spacing w:before="100" w:after="90" w:line="360" w:lineRule="auto"/>
    </w:pPr>
    <w:rPr>
      <w:rFonts w:ascii="Arial" w:eastAsia="宋体" w:hAnsi="Arial"/>
      <w:sz w:val="32"/>
    </w:rPr>
  </w:style>
  <w:style w:type="paragraph" w:customStyle="1" w:styleId="a">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
    <w:qFormat/>
    <w:pPr>
      <w:spacing w:line="360" w:lineRule="auto"/>
    </w:pPr>
    <w:rPr>
      <w:rFonts w:ascii="Arial" w:eastAsia="宋体" w:hAnsi="Arial"/>
      <w:sz w:val="28"/>
    </w:rPr>
  </w:style>
  <w:style w:type="paragraph" w:customStyle="1" w:styleId="3">
    <w:name w:val="柴_标题3"/>
    <w:basedOn w:val="Heading3"/>
    <w:next w:val="a"/>
    <w:qFormat/>
    <w:pPr>
      <w:spacing w:line="360" w:lineRule="auto"/>
      <w:ind w:left="0" w:firstLine="472" w:firstLineChars="200"/>
    </w:pPr>
    <w:rPr>
      <w:rFonts w:ascii="宋体" w:eastAsia="宋体" w:hAnsi="宋体" w:cs="宋体"/>
      <w:spacing w:val="-2"/>
      <w:sz w:val="24"/>
      <w:szCs w:val="24"/>
    </w:rPr>
  </w:style>
  <w:style w:type="paragraph" w:customStyle="1" w:styleId="a0">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a1">
    <w:name w:val="柴_公司名"/>
    <w:basedOn w:val="Title"/>
    <w:qFormat/>
    <w:pPr>
      <w:spacing w:after="600" w:afterLines="600"/>
    </w:pPr>
    <w:rPr>
      <w:rFonts w:ascii="宋体" w:eastAsia="宋体" w:hAnsi="宋体" w:cs="宋体" w:hint="eastAsia"/>
      <w:bCs/>
      <w:spacing w:val="-6"/>
      <w:sz w:val="52"/>
      <w:szCs w:val="52"/>
    </w:rPr>
  </w:style>
  <w:style w:type="paragraph" w:customStyle="1" w:styleId="a2">
    <w:name w:val="柴_文档名"/>
    <w:basedOn w:val="Title"/>
    <w:qFormat/>
    <w:pPr>
      <w:spacing w:after="900" w:afterLines="900"/>
    </w:pPr>
    <w:rPr>
      <w:rFonts w:ascii="黑体" w:eastAsia="黑体" w:hAnsi="黑体" w:cs="黑体"/>
      <w:bCs/>
      <w:spacing w:val="-7"/>
      <w:sz w:val="52"/>
      <w:szCs w:val="52"/>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footer" Target="footer4.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10</TotalTime>
  <Pages>12</Pages>
  <Words>4082</Words>
  <Characters>4371</Characters>
  <Application>Microsoft Office Word</Application>
  <DocSecurity>0</DocSecurity>
  <Lines>0</Lines>
  <Paragraphs>0</Paragraphs>
  <ScaleCrop>false</ScaleCrop>
  <Company/>
  <LinksUpToDate>false</LinksUpToDate>
  <CharactersWithSpaces>4957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2022-05-05T04:14:00Z</dcterms:created>
  <dcterms:modified xsi:type="dcterms:W3CDTF">2026-01-08T16:04:21Z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2025-08-30T22:28:59Z</vt:filetime>
  </property>
  <property fmtid="{D5CDD505-2E9C-101B-9397-08002B2CF9AE}" pid="3" name="CRO">
    <vt:lpwstr>wqlLaW5nc29mdCBQREYgdG8gV1BTIDExNQ</vt:lpwstr>
  </property>
  <property fmtid="{D5CDD505-2E9C-101B-9397-08002B2CF9AE}" pid="4" name="ICV">
    <vt:lpwstr>5BA88F4F2C6B496D86D9EDC2811F01B7_12</vt:lpwstr>
  </property>
  <property fmtid="{D5CDD505-2E9C-101B-9397-08002B2CF9AE}" pid="5" name="KSOProductBuildVer">
    <vt:lpwstr>2052-12.1.0.24034</vt:lpwstr>
  </property>
  <property fmtid="{D5CDD505-2E9C-101B-9397-08002B2CF9AE}" pid="6" name="KSOTemplateDocerSaveRecord">
    <vt:lpwstr>eyJoZGlkIjoiMDY5NmFjMmM4ZTljMGJiZDAxN2JmYTc0NGI0NmFiNDgiLCJ1c2VySWQiOiIxMDc1MzgyOSJ9</vt:lpwstr>
  </property>
</Properties>
</file>